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 xml:space="preserve">x </w:t>
      </w: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2013</w:t>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7"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_____to_____</w:t>
      </w:r>
    </w:p>
    <w:p>
      <w:pPr>
        <w:spacing w:after="0" w:line="35" w:lineRule="exact"/>
        <w:rPr>
          <w:sz w:val="24"/>
          <w:szCs w:val="24"/>
          <w:color w:val="auto"/>
        </w:rPr>
      </w:pPr>
    </w:p>
    <w:tbl>
      <w:tblPr>
        <w:tblLayout w:type="fixed"/>
        <w:tblInd w:w="190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20"/>
                <w:szCs w:val="20"/>
                <w:b w:val="1"/>
                <w:bCs w:val="1"/>
                <w:color w:val="auto"/>
                <w:w w:val="98"/>
              </w:rPr>
              <w:t>Commission File Number: 001-35146</w:t>
            </w:r>
          </w:p>
        </w:tc>
      </w:tr>
      <w:tr>
        <w:trPr>
          <w:trHeight w:val="287"/>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22"/>
                <w:szCs w:val="22"/>
                <w:b w:val="1"/>
                <w:bCs w:val="1"/>
                <w:color w:val="auto"/>
                <w:w w:val="98"/>
              </w:rPr>
              <w:t>————————————————</w:t>
            </w:r>
          </w:p>
        </w:tc>
      </w:tr>
      <w:tr>
        <w:trPr>
          <w:trHeight w:val="558"/>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43"/>
                <w:szCs w:val="43"/>
                <w:b w:val="1"/>
                <w:bCs w:val="1"/>
                <w:color w:val="auto"/>
              </w:rPr>
              <w:t>RPX Corporation</w:t>
            </w:r>
          </w:p>
        </w:tc>
      </w:tr>
      <w:tr>
        <w:trPr>
          <w:trHeight w:val="169"/>
        </w:trPr>
        <w:tc>
          <w:tcPr>
            <w:tcW w:w="2000" w:type="dxa"/>
            <w:vAlign w:val="bottom"/>
          </w:tcPr>
          <w:p>
            <w:pPr>
              <w:spacing w:after="0"/>
              <w:rPr>
                <w:sz w:val="14"/>
                <w:szCs w:val="14"/>
                <w:color w:val="auto"/>
              </w:rPr>
            </w:pPr>
          </w:p>
        </w:tc>
        <w:tc>
          <w:tcPr>
            <w:tcW w:w="5240" w:type="dxa"/>
            <w:vAlign w:val="bottom"/>
          </w:tcPr>
          <w:p>
            <w:pPr>
              <w:jc w:val="center"/>
              <w:ind w:right="150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87"/>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22"/>
                <w:szCs w:val="22"/>
                <w:b w:val="1"/>
                <w:bCs w:val="1"/>
                <w:color w:val="auto"/>
                <w:w w:val="98"/>
              </w:rPr>
              <w:t>————————————————</w:t>
            </w:r>
          </w:p>
        </w:tc>
      </w:tr>
      <w:tr>
        <w:trPr>
          <w:trHeight w:val="341"/>
        </w:trPr>
        <w:tc>
          <w:tcPr>
            <w:tcW w:w="200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tcPr>
          <w:p>
            <w:pPr>
              <w:jc w:val="center"/>
              <w:ind w:left="4001"/>
              <w:spacing w:after="0"/>
              <w:rPr>
                <w:sz w:val="20"/>
                <w:szCs w:val="20"/>
                <w:color w:val="auto"/>
              </w:rPr>
            </w:pPr>
            <w:r>
              <w:rPr>
                <w:rFonts w:ascii="Times New Roman" w:cs="Times New Roman" w:eastAsia="Times New Roman" w:hAnsi="Times New Roman"/>
                <w:sz w:val="18"/>
                <w:szCs w:val="18"/>
                <w:b w:val="1"/>
                <w:bCs w:val="1"/>
                <w:color w:val="auto"/>
                <w:w w:val="98"/>
              </w:rPr>
              <w:t>26-2990113</w:t>
            </w:r>
          </w:p>
        </w:tc>
      </w:tr>
      <w:tr>
        <w:trPr>
          <w:trHeight w:val="149"/>
        </w:trPr>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40" w:type="dxa"/>
            <w:vAlign w:val="bottom"/>
          </w:tcPr>
          <w:p>
            <w:pPr>
              <w:jc w:val="center"/>
              <w:ind w:left="40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40" w:type="dxa"/>
            <w:vAlign w:val="bottom"/>
          </w:tcPr>
          <w:p>
            <w:pPr>
              <w:jc w:val="center"/>
              <w:ind w:left="40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2000" w:type="dxa"/>
            <w:vAlign w:val="bottom"/>
          </w:tcPr>
          <w:p>
            <w:pPr>
              <w:spacing w:after="0"/>
              <w:rPr>
                <w:sz w:val="23"/>
                <w:szCs w:val="23"/>
                <w:color w:val="auto"/>
              </w:rPr>
            </w:pPr>
          </w:p>
        </w:tc>
        <w:tc>
          <w:tcPr>
            <w:tcW w:w="5240" w:type="dxa"/>
            <w:vAlign w:val="bottom"/>
          </w:tcPr>
          <w:p>
            <w:pPr>
              <w:jc w:val="center"/>
              <w:ind w:right="1501"/>
              <w:spacing w:after="0"/>
              <w:rPr>
                <w:sz w:val="20"/>
                <w:szCs w:val="20"/>
                <w:color w:val="auto"/>
              </w:rPr>
            </w:pPr>
            <w:r>
              <w:rPr>
                <w:rFonts w:ascii="Times New Roman" w:cs="Times New Roman" w:eastAsia="Times New Roman" w:hAnsi="Times New Roman"/>
                <w:sz w:val="18"/>
                <w:szCs w:val="18"/>
                <w:b w:val="1"/>
                <w:bCs w:val="1"/>
                <w:color w:val="auto"/>
                <w:w w:val="99"/>
              </w:rPr>
              <w:t>ONE MARKET PLAZA, SUITE 800</w:t>
            </w:r>
          </w:p>
        </w:tc>
      </w:tr>
      <w:tr>
        <w:trPr>
          <w:trHeight w:val="214"/>
        </w:trPr>
        <w:tc>
          <w:tcPr>
            <w:tcW w:w="2000" w:type="dxa"/>
            <w:vAlign w:val="bottom"/>
          </w:tcPr>
          <w:p>
            <w:pPr>
              <w:spacing w:after="0"/>
              <w:rPr>
                <w:sz w:val="18"/>
                <w:szCs w:val="18"/>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94105</w:t>
            </w:r>
          </w:p>
        </w:tc>
      </w:tr>
      <w:tr>
        <w:trPr>
          <w:trHeight w:val="190"/>
        </w:trPr>
        <w:tc>
          <w:tcPr>
            <w:tcW w:w="2000" w:type="dxa"/>
            <w:vAlign w:val="bottom"/>
          </w:tcPr>
          <w:p>
            <w:pPr>
              <w:spacing w:after="0"/>
              <w:rPr>
                <w:sz w:val="16"/>
                <w:szCs w:val="16"/>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779-7641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00"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right="30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1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4"/>
          <w:szCs w:val="24"/>
          <w:color w:val="auto"/>
        </w:rPr>
      </w:pPr>
    </w:p>
    <w:p>
      <w:pPr>
        <w:sectPr>
          <w:pgSz w:w="11900" w:h="16838" w:orient="portrait"/>
          <w:cols w:equalWidth="0" w:num="4">
            <w:col w:w="2180" w:space="720"/>
            <w:col w:w="5000" w:space="720"/>
            <w:col w:w="1760" w:space="720"/>
            <w:col w:w="280"/>
          </w:cols>
          <w:pgMar w:left="240" w:top="229" w:right="27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3" w:lineRule="exact"/>
        <w:rPr>
          <w:sz w:val="20"/>
          <w:szCs w:val="20"/>
          <w:color w:val="auto"/>
        </w:rPr>
      </w:pPr>
      <w:r>
        <w:rPr>
          <w:rFonts w:ascii="MS PGothic" w:cs="MS PGothic" w:eastAsia="MS PGothic" w:hAnsi="MS PGothic"/>
          <w:sz w:val="18"/>
          <w:szCs w:val="18"/>
          <w:color w:val="auto"/>
        </w:rPr>
        <w:t>☐</w:t>
      </w:r>
    </w:p>
    <w:p>
      <w:pPr>
        <w:spacing w:after="0" w:line="124" w:lineRule="exact"/>
        <w:rPr>
          <w:sz w:val="24"/>
          <w:szCs w:val="24"/>
          <w:color w:val="auto"/>
        </w:rPr>
      </w:pPr>
    </w:p>
    <w:p>
      <w:pPr>
        <w:sectPr>
          <w:pgSz w:w="11900" w:h="16838" w:orient="portrait"/>
          <w:cols w:equalWidth="0" w:num="5">
            <w:col w:w="2200" w:space="720"/>
            <w:col w:w="160" w:space="40"/>
            <w:col w:w="4780" w:space="720"/>
            <w:col w:w="1760" w:space="720"/>
            <w:col w:w="280"/>
          </w:cols>
          <w:pgMar w:left="240" w:top="229" w:right="27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84" w:lineRule="exact"/>
        <w:rPr>
          <w:sz w:val="24"/>
          <w:szCs w:val="24"/>
          <w:color w:val="auto"/>
        </w:rPr>
      </w:pPr>
    </w:p>
    <w:p>
      <w:pPr>
        <w:sectPr>
          <w:pgSz w:w="11900" w:h="16838" w:orient="portrait"/>
          <w:cols w:equalWidth="0" w:num="4">
            <w:col w:w="7380" w:space="140"/>
            <w:col w:w="320" w:space="80"/>
            <w:col w:w="140" w:space="160"/>
            <w:col w:w="3160"/>
          </w:cols>
          <w:pgMar w:left="240" w:top="229"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There were 51,573,567 shares of the registrant’s common stock issued and outstanding as of April 30, 2013.</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 Quarterly Report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660" w:type="dxa"/>
            <w:vAlign w:val="bottom"/>
            <w:gridSpan w:val="2"/>
          </w:tcPr>
          <w:p>
            <w:pPr>
              <w:spacing w:after="0" w:line="170" w:lineRule="exact"/>
              <w:rPr>
                <w:rFonts w:ascii="Times New Roman" w:cs="Times New Roman" w:eastAsia="Times New Roman" w:hAnsi="Times New Roman"/>
                <w:sz w:val="18"/>
                <w:szCs w:val="18"/>
                <w:b w:val="1"/>
                <w:bCs w:val="1"/>
                <w:color w:val="0000FF"/>
              </w:rPr>
            </w:pPr>
            <w:hyperlink w:anchor="page2">
              <w:r>
                <w:rPr>
                  <w:rFonts w:ascii="Times New Roman" w:cs="Times New Roman" w:eastAsia="Times New Roman" w:hAnsi="Times New Roman"/>
                  <w:sz w:val="18"/>
                  <w:szCs w:val="18"/>
                  <w:b w:val="1"/>
                  <w:bCs w:val="1"/>
                  <w:color w:val="0000FF"/>
                </w:rPr>
                <w:t>PART I</w:t>
              </w:r>
            </w:hyperlink>
          </w:p>
        </w:tc>
        <w:tc>
          <w:tcPr>
            <w:tcW w:w="260" w:type="dxa"/>
            <w:vAlign w:val="bottom"/>
          </w:tcPr>
          <w:p>
            <w:pPr>
              <w:spacing w:after="0"/>
              <w:rPr>
                <w:sz w:val="17"/>
                <w:szCs w:val="17"/>
                <w:color w:val="auto"/>
              </w:rPr>
            </w:pPr>
          </w:p>
        </w:tc>
        <w:tc>
          <w:tcPr>
            <w:tcW w:w="9580" w:type="dxa"/>
            <w:vAlign w:val="bottom"/>
            <w:gridSpan w:val="17"/>
          </w:tcPr>
          <w:p>
            <w:pPr>
              <w:spacing w:after="0" w:line="170" w:lineRule="exact"/>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FINANCIAL INFORMATION</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60" w:type="dxa"/>
            <w:vAlign w:val="bottom"/>
          </w:tcPr>
          <w:p>
            <w:pPr>
              <w:spacing w:after="0"/>
              <w:rPr>
                <w:sz w:val="24"/>
                <w:szCs w:val="24"/>
                <w:color w:val="auto"/>
              </w:rPr>
            </w:pPr>
          </w:p>
        </w:tc>
        <w:tc>
          <w:tcPr>
            <w:tcW w:w="15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Financial Statements</w:t>
              </w:r>
            </w:hyperlink>
          </w:p>
        </w:tc>
        <w:tc>
          <w:tcPr>
            <w:tcW w:w="740" w:type="dxa"/>
            <w:vAlign w:val="bottom"/>
            <w:tcBorders>
              <w:top w:val="single" w:sz="8" w:color="0000FF"/>
            </w:tcBorders>
            <w:gridSpan w:val="3"/>
          </w:tcPr>
          <w:p>
            <w:pPr>
              <w:spacing w:after="0"/>
              <w:rPr>
                <w:sz w:val="24"/>
                <w:szCs w:val="24"/>
                <w:color w:val="auto"/>
              </w:rPr>
            </w:pPr>
          </w:p>
        </w:tc>
        <w:tc>
          <w:tcPr>
            <w:tcW w:w="734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Condensed Consolidated Balance Sheets as of March 31, 2013 (unaudited) and December 31, 2012</w:t>
              </w:r>
            </w:hyperlink>
          </w:p>
        </w:tc>
        <w:tc>
          <w:tcPr>
            <w:tcW w:w="7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5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Condensed Consolidated Statements of Operations for the Three Months Ended March 31, 2013 and 2012 (unaudited)</w:t>
              </w:r>
            </w:hyperlink>
          </w:p>
        </w:tc>
        <w:tc>
          <w:tcPr>
            <w:tcW w:w="1060" w:type="dxa"/>
            <w:vAlign w:val="bottom"/>
            <w:gridSpan w:val="3"/>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Condensed Consolidated Statements of Comprehensive Income for the Three Months Ended March 31, 2013 and 2012 (unaudited)</w:t>
              </w:r>
            </w:hyperlink>
          </w:p>
        </w:tc>
        <w:tc>
          <w:tcPr>
            <w:tcW w:w="14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580" w:type="dxa"/>
            <w:vAlign w:val="bottom"/>
            <w:gridSpan w:val="17"/>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Condensed Consolidated Statements of Cash Flows for the Three Months Ended March 31, 2013 and 2012 (unaudited)</w:t>
              </w:r>
            </w:hyperlink>
          </w:p>
        </w:tc>
        <w:tc>
          <w:tcPr>
            <w:tcW w:w="7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4</w:t>
              </w:r>
            </w:hyperlink>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56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Notes to Condensed Consolidated Financial Statements</w:t>
              </w:r>
            </w:hyperlink>
          </w:p>
        </w:tc>
        <w:tc>
          <w:tcPr>
            <w:tcW w:w="1020" w:type="dxa"/>
            <w:vAlign w:val="bottom"/>
            <w:gridSpan w:val="2"/>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2"/>
          </w:tcPr>
          <w:p>
            <w:pPr>
              <w:spacing w:after="0"/>
              <w:rPr>
                <w:rFonts w:ascii="Times New Roman" w:cs="Times New Roman" w:eastAsia="Times New Roman" w:hAnsi="Times New Roman"/>
                <w:sz w:val="18"/>
                <w:szCs w:val="18"/>
                <w:color w:val="0000FF"/>
                <w:w w:val="99"/>
              </w:rPr>
            </w:pPr>
            <w:hyperlink w:anchor="page16">
              <w:r>
                <w:rPr>
                  <w:rFonts w:ascii="Times New Roman" w:cs="Times New Roman" w:eastAsia="Times New Roman" w:hAnsi="Times New Roman"/>
                  <w:sz w:val="18"/>
                  <w:szCs w:val="18"/>
                  <w:color w:val="0000FF"/>
                  <w:w w:val="99"/>
                </w:rPr>
                <w:t>Management’s Discussion and Analysis of Financial Condition and Results of Operations</w:t>
              </w:r>
            </w:hyperlink>
          </w:p>
        </w:tc>
        <w:tc>
          <w:tcPr>
            <w:tcW w:w="3120" w:type="dxa"/>
            <w:vAlign w:val="bottom"/>
            <w:gridSpan w:val="5"/>
          </w:tcPr>
          <w:p>
            <w:pPr>
              <w:spacing w:after="0"/>
              <w:rPr>
                <w:sz w:val="21"/>
                <w:szCs w:val="21"/>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16">
              <w:r>
                <w:rPr>
                  <w:rFonts w:ascii="Times New Roman" w:cs="Times New Roman" w:eastAsia="Times New Roman" w:hAnsi="Times New Roman"/>
                  <w:sz w:val="18"/>
                  <w:szCs w:val="18"/>
                  <w:color w:val="0000FF"/>
                </w:rPr>
                <w:t>14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1"/>
          </w:tcPr>
          <w:p>
            <w:pPr>
              <w:spacing w:after="0"/>
              <w:rPr>
                <w:rFonts w:ascii="Times New Roman" w:cs="Times New Roman" w:eastAsia="Times New Roman" w:hAnsi="Times New Roman"/>
                <w:sz w:val="18"/>
                <w:szCs w:val="18"/>
                <w:color w:val="0000FF"/>
                <w:w w:val="98"/>
              </w:rPr>
            </w:pPr>
            <w:hyperlink w:anchor="page20">
              <w:r>
                <w:rPr>
                  <w:rFonts w:ascii="Times New Roman" w:cs="Times New Roman" w:eastAsia="Times New Roman" w:hAnsi="Times New Roman"/>
                  <w:sz w:val="18"/>
                  <w:szCs w:val="18"/>
                  <w:color w:val="0000FF"/>
                  <w:w w:val="98"/>
                </w:rPr>
                <w:t>Quantitative and Qualitative Disclosures About Market Risk</w:t>
              </w:r>
            </w:hyperlink>
          </w:p>
        </w:tc>
        <w:tc>
          <w:tcPr>
            <w:tcW w:w="2120" w:type="dxa"/>
            <w:vAlign w:val="bottom"/>
          </w:tcPr>
          <w:p>
            <w:pPr>
              <w:spacing w:after="0"/>
              <w:rPr>
                <w:sz w:val="21"/>
                <w:szCs w:val="21"/>
                <w:color w:val="auto"/>
              </w:rPr>
            </w:pPr>
          </w:p>
        </w:tc>
        <w:tc>
          <w:tcPr>
            <w:tcW w:w="3120" w:type="dxa"/>
            <w:vAlign w:val="bottom"/>
            <w:gridSpan w:val="5"/>
          </w:tcPr>
          <w:p>
            <w:pPr>
              <w:spacing w:after="0"/>
              <w:rPr>
                <w:sz w:val="21"/>
                <w:szCs w:val="21"/>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20">
              <w:r>
                <w:rPr>
                  <w:rFonts w:ascii="Times New Roman" w:cs="Times New Roman" w:eastAsia="Times New Roman" w:hAnsi="Times New Roman"/>
                  <w:sz w:val="18"/>
                  <w:szCs w:val="18"/>
                  <w:color w:val="0000FF"/>
                </w:rPr>
                <w:t>18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40" w:type="dxa"/>
            <w:vAlign w:val="bottom"/>
            <w:tcBorders>
              <w:left w:val="single" w:sz="8" w:color="0000FF"/>
            </w:tcBorders>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1"/>
          </w:tcPr>
          <w:p>
            <w:pPr>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Controls and Procedures</w:t>
              </w:r>
            </w:hyperlink>
          </w:p>
        </w:tc>
        <w:tc>
          <w:tcPr>
            <w:tcW w:w="5240" w:type="dxa"/>
            <w:vAlign w:val="bottom"/>
            <w:gridSpan w:val="6"/>
          </w:tcPr>
          <w:p>
            <w:pPr>
              <w:spacing w:after="0"/>
              <w:rPr>
                <w:sz w:val="21"/>
                <w:szCs w:val="21"/>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20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rFonts w:ascii="Times New Roman" w:cs="Times New Roman" w:eastAsia="Times New Roman" w:hAnsi="Times New Roman"/>
                <w:sz w:val="18"/>
                <w:szCs w:val="18"/>
                <w:b w:val="1"/>
                <w:bCs w:val="1"/>
                <w:color w:val="0000FF"/>
                <w:w w:val="94"/>
              </w:rPr>
            </w:pPr>
            <w:hyperlink w:anchor="page22">
              <w:r>
                <w:rPr>
                  <w:rFonts w:ascii="Times New Roman" w:cs="Times New Roman" w:eastAsia="Times New Roman" w:hAnsi="Times New Roman"/>
                  <w:sz w:val="18"/>
                  <w:szCs w:val="18"/>
                  <w:b w:val="1"/>
                  <w:bCs w:val="1"/>
                  <w:color w:val="0000FF"/>
                  <w:w w:val="94"/>
                </w:rPr>
                <w:t>PART II</w:t>
              </w:r>
            </w:hyperlink>
          </w:p>
        </w:tc>
        <w:tc>
          <w:tcPr>
            <w:tcW w:w="260" w:type="dxa"/>
            <w:vAlign w:val="bottom"/>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60" w:type="dxa"/>
            <w:vAlign w:val="bottom"/>
            <w:tcBorders>
              <w:bottom w:val="single" w:sz="8" w:color="0000FF"/>
            </w:tcBorders>
            <w:gridSpan w:val="2"/>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8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7"/>
              </w:rPr>
            </w:pPr>
            <w:hyperlink w:anchor="page22">
              <w:r>
                <w:rPr>
                  <w:rFonts w:ascii="Times New Roman" w:cs="Times New Roman" w:eastAsia="Times New Roman" w:hAnsi="Times New Roman"/>
                  <w:sz w:val="18"/>
                  <w:szCs w:val="18"/>
                  <w:color w:val="0000FF"/>
                  <w:w w:val="97"/>
                </w:rPr>
                <w:t>OTHER INFORMATION</w:t>
              </w:r>
            </w:hyperlink>
          </w:p>
        </w:tc>
        <w:tc>
          <w:tcPr>
            <w:tcW w:w="770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7"/>
          </w:tcPr>
          <w:p>
            <w:pPr>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Legal Proceedings</w:t>
              </w:r>
            </w:hyperlink>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rFonts w:ascii="Times New Roman" w:cs="Times New Roman" w:eastAsia="Times New Roman" w:hAnsi="Times New Roman"/>
                <w:sz w:val="18"/>
                <w:szCs w:val="18"/>
                <w:color w:val="0000FF"/>
                <w:w w:val="97"/>
              </w:rPr>
            </w:pPr>
            <w:hyperlink w:anchor="page23">
              <w:r>
                <w:rPr>
                  <w:rFonts w:ascii="Times New Roman" w:cs="Times New Roman" w:eastAsia="Times New Roman" w:hAnsi="Times New Roman"/>
                  <w:sz w:val="18"/>
                  <w:szCs w:val="18"/>
                  <w:color w:val="0000FF"/>
                  <w:w w:val="97"/>
                </w:rPr>
                <w:t>Risk Factors</w:t>
              </w:r>
            </w:hyperlink>
          </w:p>
        </w:tc>
        <w:tc>
          <w:tcPr>
            <w:tcW w:w="400" w:type="dxa"/>
            <w:vAlign w:val="bottom"/>
          </w:tcPr>
          <w:p>
            <w:pPr>
              <w:spacing w:after="0"/>
              <w:rPr>
                <w:sz w:val="21"/>
                <w:szCs w:val="21"/>
                <w:color w:val="auto"/>
              </w:rPr>
            </w:pPr>
          </w:p>
        </w:tc>
        <w:tc>
          <w:tcPr>
            <w:tcW w:w="8280" w:type="dxa"/>
            <w:vAlign w:val="bottom"/>
            <w:gridSpan w:val="13"/>
          </w:tcPr>
          <w:p>
            <w:pPr>
              <w:spacing w:after="0"/>
              <w:rPr>
                <w:sz w:val="21"/>
                <w:szCs w:val="21"/>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7"/>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Unregistered Sales of Equity Securities and Use of Proceeds</w:t>
              </w:r>
            </w:hyperlink>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9"/>
          </w:tcPr>
          <w:p>
            <w:pPr>
              <w:spacing w:after="0"/>
              <w:rPr>
                <w:rFonts w:ascii="Times New Roman" w:cs="Times New Roman" w:eastAsia="Times New Roman" w:hAnsi="Times New Roman"/>
                <w:sz w:val="18"/>
                <w:szCs w:val="18"/>
                <w:color w:val="0000FF"/>
                <w:w w:val="98"/>
              </w:rPr>
            </w:pPr>
            <w:hyperlink w:anchor="page35">
              <w:r>
                <w:rPr>
                  <w:rFonts w:ascii="Times New Roman" w:cs="Times New Roman" w:eastAsia="Times New Roman" w:hAnsi="Times New Roman"/>
                  <w:sz w:val="18"/>
                  <w:szCs w:val="18"/>
                  <w:color w:val="0000FF"/>
                  <w:w w:val="98"/>
                </w:rPr>
                <w:t>Defaults Upon Senior Securities</w:t>
              </w:r>
            </w:hyperlink>
          </w:p>
        </w:tc>
        <w:tc>
          <w:tcPr>
            <w:tcW w:w="2020" w:type="dxa"/>
            <w:vAlign w:val="bottom"/>
            <w:gridSpan w:val="2"/>
          </w:tcPr>
          <w:p>
            <w:pPr>
              <w:spacing w:after="0"/>
              <w:rPr>
                <w:sz w:val="21"/>
                <w:szCs w:val="21"/>
                <w:color w:val="auto"/>
              </w:rPr>
            </w:pPr>
          </w:p>
        </w:tc>
        <w:tc>
          <w:tcPr>
            <w:tcW w:w="5240" w:type="dxa"/>
            <w:vAlign w:val="bottom"/>
            <w:gridSpan w:val="6"/>
          </w:tcPr>
          <w:p>
            <w:pPr>
              <w:spacing w:after="0"/>
              <w:rPr>
                <w:sz w:val="21"/>
                <w:szCs w:val="21"/>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2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9"/>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Mine Safety Disclosures</w:t>
              </w:r>
            </w:hyperlink>
          </w:p>
        </w:tc>
        <w:tc>
          <w:tcPr>
            <w:tcW w:w="7260" w:type="dxa"/>
            <w:vAlign w:val="bottom"/>
            <w:gridSpan w:val="8"/>
          </w:tcPr>
          <w:p>
            <w:pPr>
              <w:spacing w:after="0"/>
              <w:rPr>
                <w:sz w:val="21"/>
                <w:szCs w:val="21"/>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6"/>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Other Information</w:t>
              </w:r>
            </w:hyperlink>
          </w:p>
        </w:tc>
        <w:tc>
          <w:tcPr>
            <w:tcW w:w="7820" w:type="dxa"/>
            <w:vAlign w:val="bottom"/>
            <w:gridSpan w:val="11"/>
          </w:tcPr>
          <w:p>
            <w:pPr>
              <w:spacing w:after="0"/>
              <w:rPr>
                <w:sz w:val="21"/>
                <w:szCs w:val="21"/>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2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rFonts w:ascii="Times New Roman" w:cs="Times New Roman" w:eastAsia="Times New Roman" w:hAnsi="Times New Roman"/>
                <w:sz w:val="18"/>
                <w:szCs w:val="18"/>
                <w:color w:val="0000FF"/>
                <w:w w:val="96"/>
              </w:rPr>
            </w:pPr>
            <w:hyperlink w:anchor="page35">
              <w:r>
                <w:rPr>
                  <w:rFonts w:ascii="Times New Roman" w:cs="Times New Roman" w:eastAsia="Times New Roman" w:hAnsi="Times New Roman"/>
                  <w:sz w:val="18"/>
                  <w:szCs w:val="18"/>
                  <w:color w:val="0000FF"/>
                  <w:w w:val="96"/>
                </w:rPr>
                <w:t>Exhibits</w:t>
              </w:r>
            </w:hyperlink>
          </w:p>
        </w:tc>
        <w:tc>
          <w:tcPr>
            <w:tcW w:w="700" w:type="dxa"/>
            <w:vAlign w:val="bottom"/>
            <w:gridSpan w:val="3"/>
          </w:tcPr>
          <w:p>
            <w:pPr>
              <w:spacing w:after="0"/>
              <w:rPr>
                <w:sz w:val="21"/>
                <w:szCs w:val="21"/>
                <w:color w:val="auto"/>
              </w:rPr>
            </w:pPr>
          </w:p>
        </w:tc>
        <w:tc>
          <w:tcPr>
            <w:tcW w:w="8280" w:type="dxa"/>
            <w:vAlign w:val="bottom"/>
            <w:gridSpan w:val="13"/>
          </w:tcPr>
          <w:p>
            <w:pPr>
              <w:spacing w:after="0"/>
              <w:rPr>
                <w:sz w:val="21"/>
                <w:szCs w:val="21"/>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spacing w:after="0"/>
              <w:rPr>
                <w:rFonts w:ascii="Times New Roman" w:cs="Times New Roman" w:eastAsia="Times New Roman" w:hAnsi="Times New Roman"/>
                <w:sz w:val="18"/>
                <w:szCs w:val="18"/>
                <w:color w:val="0000FF"/>
                <w:w w:val="97"/>
              </w:rPr>
            </w:pPr>
            <w:hyperlink w:anchor="page35">
              <w:r>
                <w:rPr>
                  <w:rFonts w:ascii="Times New Roman" w:cs="Times New Roman" w:eastAsia="Times New Roman" w:hAnsi="Times New Roman"/>
                  <w:sz w:val="18"/>
                  <w:szCs w:val="18"/>
                  <w:color w:val="0000FF"/>
                  <w:w w:val="97"/>
                </w:rPr>
                <w:t>Signatures</w:t>
              </w:r>
            </w:hyperlink>
          </w:p>
        </w:tc>
        <w:tc>
          <w:tcPr>
            <w:tcW w:w="8820" w:type="dxa"/>
            <w:vAlign w:val="bottom"/>
            <w:gridSpan w:val="15"/>
          </w:tcPr>
          <w:p>
            <w:pPr>
              <w:spacing w:after="0"/>
              <w:rPr>
                <w:sz w:val="21"/>
                <w:szCs w:val="21"/>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1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gridSpan w:val="3"/>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4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0"/>
        </w:trPr>
        <w:tc>
          <w:tcPr>
            <w:tcW w:w="7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48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8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RPX Corporation</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8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65"/>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2013</w:t>
            </w:r>
          </w:p>
        </w:tc>
        <w:tc>
          <w:tcPr>
            <w:tcW w:w="140" w:type="dxa"/>
            <w:vAlign w:val="bottom"/>
          </w:tcPr>
          <w:p>
            <w:pPr>
              <w:spacing w:after="0"/>
              <w:rPr>
                <w:sz w:val="24"/>
                <w:szCs w:val="24"/>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135,745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73,638</w:t>
            </w:r>
          </w:p>
        </w:tc>
      </w:tr>
      <w:tr>
        <w:trPr>
          <w:trHeight w:val="243"/>
        </w:trPr>
        <w:tc>
          <w:tcPr>
            <w:tcW w:w="3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147,677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126,092</w:t>
            </w: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25,144</w:t>
            </w:r>
          </w:p>
        </w:tc>
      </w:tr>
      <w:tr>
        <w:trPr>
          <w:trHeight w:val="243"/>
        </w:trPr>
        <w:tc>
          <w:tcPr>
            <w:tcW w:w="3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33,775</w:t>
            </w: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5,237</w:t>
            </w:r>
          </w:p>
        </w:tc>
      </w:tr>
      <w:tr>
        <w:trPr>
          <w:trHeight w:val="243"/>
        </w:trPr>
        <w:tc>
          <w:tcPr>
            <w:tcW w:w="3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7,658</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271,544</w:t>
            </w:r>
          </w:p>
        </w:tc>
      </w:tr>
      <w:tr>
        <w:trPr>
          <w:trHeight w:val="243"/>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Patent assets, net</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199,314</w:t>
            </w: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3,144</w:t>
            </w:r>
          </w:p>
        </w:tc>
      </w:tr>
      <w:tr>
        <w:trPr>
          <w:trHeight w:val="243"/>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3,226</w:t>
            </w:r>
          </w:p>
        </w:tc>
      </w:tr>
      <w:tr>
        <w:trPr>
          <w:trHeight w:val="27"/>
        </w:trPr>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16,460</w:t>
            </w:r>
          </w:p>
        </w:tc>
      </w:tr>
      <w:tr>
        <w:trPr>
          <w:trHeight w:val="243"/>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535,839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493,967</w:t>
            </w:r>
          </w:p>
        </w:tc>
      </w:tr>
      <w:tr>
        <w:trPr>
          <w:trHeight w:val="20"/>
        </w:trPr>
        <w:tc>
          <w:tcPr>
            <w:tcW w:w="1280" w:type="dxa"/>
            <w:vAlign w:val="bottom"/>
            <w:tcBorders>
              <w:top w:val="single" w:sz="8" w:color="CCEEFF"/>
            </w:tcBorders>
            <w:gridSpan w:val="2"/>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568</w:t>
            </w:r>
          </w:p>
        </w:tc>
      </w:tr>
      <w:tr>
        <w:trPr>
          <w:trHeight w:val="243"/>
        </w:trPr>
        <w:tc>
          <w:tcPr>
            <w:tcW w:w="3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7,206</w:t>
            </w: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114,291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101,249</w:t>
            </w:r>
          </w:p>
        </w:tc>
      </w:tr>
      <w:tr>
        <w:trPr>
          <w:trHeight w:val="243"/>
        </w:trPr>
        <w:tc>
          <w:tcPr>
            <w:tcW w:w="3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payment obligations</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1,813</w:t>
            </w:r>
          </w:p>
        </w:tc>
      </w:tr>
      <w:tr>
        <w:trPr>
          <w:trHeight w:val="237"/>
        </w:trPr>
        <w:tc>
          <w:tcPr>
            <w:tcW w:w="38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132,678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111,336</w:t>
            </w: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3,122</w:t>
            </w:r>
          </w:p>
        </w:tc>
      </w:tr>
      <w:tr>
        <w:trPr>
          <w:trHeight w:val="243"/>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18,108</w:t>
            </w: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4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1,142</w:t>
            </w:r>
          </w:p>
        </w:tc>
      </w:tr>
      <w:tr>
        <w:trPr>
          <w:trHeight w:val="237"/>
        </w:trPr>
        <w:tc>
          <w:tcPr>
            <w:tcW w:w="38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4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155,443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133,708</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286,872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281,530</w:t>
            </w:r>
          </w:p>
        </w:tc>
      </w:tr>
      <w:tr>
        <w:trPr>
          <w:trHeight w:val="243"/>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4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93,439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78,744</w:t>
            </w:r>
          </w:p>
        </w:tc>
      </w:tr>
      <w:tr>
        <w:trPr>
          <w:trHeight w:val="27"/>
        </w:trPr>
        <w:tc>
          <w:tcPr>
            <w:tcW w:w="128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38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380,396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360,259</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535,839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493,967</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43,849</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18,017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13,223</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patent assets, net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12,786</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12,766</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4,685</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14,678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51"/>
        </w:trPr>
        <w:tc>
          <w:tcPr>
            <w:tcW w:w="8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7,853</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51,201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48,308</w:t>
            </w:r>
          </w:p>
        </w:tc>
        <w:tc>
          <w:tcPr>
            <w:tcW w:w="0" w:type="dxa"/>
            <w:vAlign w:val="bottom"/>
          </w:tcPr>
          <w:p>
            <w:pPr>
              <w:spacing w:after="0"/>
              <w:rPr>
                <w:sz w:val="1"/>
                <w:szCs w:val="1"/>
                <w:color w:val="auto"/>
              </w:rPr>
            </w:pPr>
          </w:p>
        </w:tc>
      </w:tr>
      <w:tr>
        <w:trPr>
          <w:trHeight w:val="251"/>
        </w:trPr>
        <w:tc>
          <w:tcPr>
            <w:tcW w:w="8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51,226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121" w:right="2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8,081</w:t>
            </w:r>
          </w:p>
        </w:tc>
      </w:tr>
      <w:tr>
        <w:trPr>
          <w:trHeight w:val="237"/>
        </w:trPr>
        <w:tc>
          <w:tcPr>
            <w:tcW w:w="8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holding gains arising during the period</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 for (gains) losses included in net income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gains on available-for-sale securities, net of tax</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8,094</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360"/>
          </w:cols>
          <w:pgMar w:left="240" w:top="121" w:right="299" w:bottom="1440" w:gutter="0" w:footer="0" w:header="0"/>
        </w:sect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121" w:right="29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18,125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Imputed interest on deferred payment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patent assets</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premium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25,990</w:t>
            </w:r>
          </w:p>
        </w:tc>
      </w:tr>
      <w:tr>
        <w:trPr>
          <w:trHeight w:val="223"/>
        </w:trPr>
        <w:tc>
          <w:tcPr>
            <w:tcW w:w="8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investments classified as available-for-sale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 and sales of investments classified as 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53,844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restricted cash</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of patent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patent assets</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w:t>
            </w:r>
          </w:p>
        </w:tc>
      </w:tr>
      <w:tr>
        <w:trPr>
          <w:trHeight w:val="223"/>
        </w:trPr>
        <w:tc>
          <w:tcPr>
            <w:tcW w:w="8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principal on deferred payment obligations</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exercise of stock options and other common stock issuances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4,494</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2,971</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62,107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73,638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106,749</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135,745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101,569</w:t>
            </w:r>
          </w:p>
        </w:tc>
      </w:tr>
      <w:tr>
        <w:trPr>
          <w:trHeight w:val="217"/>
        </w:trPr>
        <w:tc>
          <w:tcPr>
            <w:tcW w:w="8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patent assets purchased and accrued but not paid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other assets purchased and accrued but not paid</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8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during the year ended December 31, 2012, the Company began underwriting patent infringement liability insurance policies to insure against certain costs of litigation from non-practicing entities (“NPEs”). The effect of the insurance policies that have been issued was not material to the Company’s results of operations or financial condition for the three months ended March 31, 2013.</w:t>
      </w:r>
    </w:p>
    <w:p>
      <w:pPr>
        <w:spacing w:after="0" w:line="169" w:lineRule="exact"/>
        <w:rPr>
          <w:sz w:val="20"/>
          <w:szCs w:val="20"/>
          <w:color w:val="auto"/>
        </w:rPr>
      </w:pPr>
    </w:p>
    <w:p>
      <w:pPr>
        <w:ind w:left="620" w:hanging="612"/>
        <w:spacing w:after="0"/>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1" w:lineRule="exact"/>
        <w:rPr>
          <w:sz w:val="20"/>
          <w:szCs w:val="20"/>
          <w:color w:val="auto"/>
        </w:rPr>
      </w:pPr>
    </w:p>
    <w:p>
      <w:pPr>
        <w:ind w:right="180" w:firstLine="486"/>
        <w:spacing w:after="0" w:line="28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have been included in the accompanying financial statements state fairly the results of the interim periods.</w:t>
      </w:r>
    </w:p>
    <w:p>
      <w:pPr>
        <w:spacing w:after="0" w:line="232" w:lineRule="exact"/>
        <w:rPr>
          <w:sz w:val="20"/>
          <w:szCs w:val="20"/>
          <w:color w:val="auto"/>
        </w:rPr>
      </w:pPr>
    </w:p>
    <w:p>
      <w:pPr>
        <w:ind w:right="400" w:firstLine="486"/>
        <w:spacing w:after="0" w:line="276" w:lineRule="auto"/>
        <w:rPr>
          <w:sz w:val="20"/>
          <w:szCs w:val="20"/>
          <w:color w:val="auto"/>
        </w:rPr>
      </w:pPr>
      <w:r>
        <w:rPr>
          <w:rFonts w:ascii="Times New Roman" w:cs="Times New Roman" w:eastAsia="Times New Roman" w:hAnsi="Times New Roman"/>
          <w:sz w:val="17"/>
          <w:szCs w:val="17"/>
          <w:color w:val="auto"/>
        </w:rPr>
        <w:t>The unaudited condensed consolidated financial statements should be read in conjunction with the audited financial statements and accompanying notes included in the Company’s Annual Report on Form 10-K for the year ended December 31, 2012. Operating results for the three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2013 are not necessarily indicative of the results that may be expected for any subsequent interim period or for the year ending December 31, 2013.</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79" w:lineRule="exact"/>
        <w:rPr>
          <w:sz w:val="20"/>
          <w:szCs w:val="20"/>
          <w:color w:val="auto"/>
        </w:rPr>
      </w:pPr>
    </w:p>
    <w:p>
      <w:pPr>
        <w:ind w:right="60" w:firstLine="486"/>
        <w:spacing w:after="0" w:line="275" w:lineRule="auto"/>
        <w:rPr>
          <w:sz w:val="20"/>
          <w:szCs w:val="20"/>
          <w:color w:val="auto"/>
        </w:rPr>
      </w:pPr>
      <w:r>
        <w:rPr>
          <w:rFonts w:ascii="Times New Roman" w:cs="Times New Roman" w:eastAsia="Times New Roman" w:hAnsi="Times New Roman"/>
          <w:sz w:val="17"/>
          <w:szCs w:val="17"/>
          <w:color w:val="auto"/>
        </w:rPr>
        <w:t xml:space="preserve">In February 2013, the Financial Accounting Standards Board (“FASB”) issued Accounting Standards Update (“ASU”) 2013-02, </w:t>
      </w:r>
      <w:r>
        <w:rPr>
          <w:rFonts w:ascii="Times New Roman" w:cs="Times New Roman" w:eastAsia="Times New Roman" w:hAnsi="Times New Roman"/>
          <w:sz w:val="17"/>
          <w:szCs w:val="17"/>
          <w:i w:val="1"/>
          <w:iCs w:val="1"/>
          <w:color w:val="auto"/>
        </w:rPr>
        <w:t>Reporting of Amounts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of Reclassified Out of Accumulated Other Comprehensive Income </w:t>
      </w:r>
      <w:r>
        <w:rPr>
          <w:rFonts w:ascii="Times New Roman" w:cs="Times New Roman" w:eastAsia="Times New Roman" w:hAnsi="Times New Roman"/>
          <w:sz w:val="17"/>
          <w:szCs w:val="17"/>
          <w:color w:val="auto"/>
        </w:rPr>
        <w:t>(“ASU 2013-02”), which amends</w:t>
      </w:r>
      <w:r>
        <w:rPr>
          <w:rFonts w:ascii="Times New Roman" w:cs="Times New Roman" w:eastAsia="Times New Roman" w:hAnsi="Times New Roman"/>
          <w:sz w:val="17"/>
          <w:szCs w:val="17"/>
          <w:i w:val="1"/>
          <w:iCs w:val="1"/>
          <w:color w:val="auto"/>
        </w:rPr>
        <w:t xml:space="preserve"> Comprehensive Income (Topic 220) </w:t>
      </w:r>
      <w:r>
        <w:rPr>
          <w:rFonts w:ascii="Times New Roman" w:cs="Times New Roman" w:eastAsia="Times New Roman" w:hAnsi="Times New Roman"/>
          <w:sz w:val="17"/>
          <w:szCs w:val="17"/>
          <w:color w:val="auto"/>
        </w:rPr>
        <w:t>in the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Standards Codification (“ASC”). These amendments require an entity to provide information about the amounts reclassified out of accumulated other comprehensive income by component. In addition, an entity is required to present significant amounts reclassified out of accumulated other comprehensive income by the respective line items of net income. The amendments in ASU 2013-02 are effective for the Company's interim and annual fiscal periods beginning January 1, 2013. The adoption of ASU 2013-02 did not have a material impact on the Company’s financial position or results of operations.</w:t>
      </w:r>
    </w:p>
    <w:p>
      <w:pPr>
        <w:spacing w:after="0" w:line="16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October 2012, the FASB issued ASU 2012-04, </w:t>
      </w:r>
      <w:r>
        <w:rPr>
          <w:rFonts w:ascii="Times New Roman" w:cs="Times New Roman" w:eastAsia="Times New Roman" w:hAnsi="Times New Roman"/>
          <w:sz w:val="18"/>
          <w:szCs w:val="18"/>
          <w:i w:val="1"/>
          <w:iCs w:val="1"/>
          <w:color w:val="auto"/>
        </w:rPr>
        <w:t>Technical Corrections and Improvements</w:t>
      </w:r>
      <w:r>
        <w:rPr>
          <w:rFonts w:ascii="Times New Roman" w:cs="Times New Roman" w:eastAsia="Times New Roman" w:hAnsi="Times New Roman"/>
          <w:sz w:val="18"/>
          <w:szCs w:val="18"/>
          <w:color w:val="auto"/>
        </w:rPr>
        <w:t xml:space="preserve"> (“ASU 2012-04”), which amends a wide range of topics in the ASC. These amendments include technical corrections and improvements to the ASC and conforming amendments related to fair value measurements. The amendments in ASU 2012-04 are effective for the Company's interim and annual fiscal periods beginning January 1, 2013. The adoption of ASU 2012-04 did not have a material impact on the Company’s financial position or results of operations.</w:t>
      </w:r>
    </w:p>
    <w:p>
      <w:pPr>
        <w:spacing w:after="0" w:line="180"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July 2012, the FASB issued ASU 2012-02, </w:t>
      </w:r>
      <w:r>
        <w:rPr>
          <w:rFonts w:ascii="Times New Roman" w:cs="Times New Roman" w:eastAsia="Times New Roman" w:hAnsi="Times New Roman"/>
          <w:sz w:val="18"/>
          <w:szCs w:val="18"/>
          <w:i w:val="1"/>
          <w:iCs w:val="1"/>
          <w:color w:val="auto"/>
        </w:rPr>
        <w:t>Intangibles - Goodwill and Other (Topic 350): Testing Indefinite-Lived Intangible Assets for Impairment</w:t>
      </w:r>
      <w:r>
        <w:rPr>
          <w:rFonts w:ascii="Times New Roman" w:cs="Times New Roman" w:eastAsia="Times New Roman" w:hAnsi="Times New Roman"/>
          <w:sz w:val="18"/>
          <w:szCs w:val="18"/>
          <w:color w:val="auto"/>
        </w:rPr>
        <w:t xml:space="preserve"> (“ASU 2012-02”), which amends ASU 2011-08, </w:t>
      </w:r>
      <w:r>
        <w:rPr>
          <w:rFonts w:ascii="Times New Roman" w:cs="Times New Roman" w:eastAsia="Times New Roman" w:hAnsi="Times New Roman"/>
          <w:sz w:val="18"/>
          <w:szCs w:val="18"/>
          <w:i w:val="1"/>
          <w:iCs w:val="1"/>
          <w:color w:val="auto"/>
        </w:rPr>
        <w:t>Intangibles - Goodwill and Other (Topic 350): Testing Indefinite-Lived Intangible Assets for Impairment</w:t>
      </w:r>
      <w:r>
        <w:rPr>
          <w:rFonts w:ascii="Times New Roman" w:cs="Times New Roman" w:eastAsia="Times New Roman" w:hAnsi="Times New Roman"/>
          <w:sz w:val="18"/>
          <w:szCs w:val="18"/>
          <w:color w:val="auto"/>
        </w:rPr>
        <w:t xml:space="preserve"> and permits an entity to first assess qualitative factors to determine whether it is more likely than not that an indefinite-lived intangible asset is impaired as a basis for determining whether it is necessary to perform the quantitative impairment test in accordance with Subtopic 350-30, </w:t>
      </w:r>
      <w:r>
        <w:rPr>
          <w:rFonts w:ascii="Times New Roman" w:cs="Times New Roman" w:eastAsia="Times New Roman" w:hAnsi="Times New Roman"/>
          <w:sz w:val="18"/>
          <w:szCs w:val="18"/>
          <w:i w:val="1"/>
          <w:iCs w:val="1"/>
          <w:color w:val="auto"/>
        </w:rPr>
        <w:t>Intangibles - Goodwill and Other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Intangibles Other than Goodwill</w:t>
      </w:r>
      <w:r>
        <w:rPr>
          <w:rFonts w:ascii="Times New Roman" w:cs="Times New Roman" w:eastAsia="Times New Roman" w:hAnsi="Times New Roman"/>
          <w:sz w:val="18"/>
          <w:szCs w:val="18"/>
          <w:color w:val="auto"/>
        </w:rPr>
        <w:t>. The amendments in ASU 2012-02 are effective for the Company's interim and annual fiscal periods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2013. The adoption of ASU 2012-02 did not have a material impact on the Company’s financial position or results of operations.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Available to Common Stockholders</w:t>
      </w:r>
    </w:p>
    <w:p>
      <w:pPr>
        <w:spacing w:after="0" w:line="81" w:lineRule="exact"/>
        <w:rPr>
          <w:sz w:val="20"/>
          <w:szCs w:val="20"/>
          <w:color w:val="auto"/>
        </w:rPr>
      </w:pPr>
    </w:p>
    <w:p>
      <w:pPr>
        <w:ind w:right="800" w:firstLine="446"/>
        <w:spacing w:after="0" w:line="282" w:lineRule="auto"/>
        <w:rPr>
          <w:sz w:val="20"/>
          <w:szCs w:val="20"/>
          <w:color w:val="auto"/>
        </w:rPr>
      </w:pPr>
      <w:r>
        <w:rPr>
          <w:rFonts w:ascii="Times New Roman" w:cs="Times New Roman" w:eastAsia="Times New Roman" w:hAnsi="Times New Roman"/>
          <w:sz w:val="18"/>
          <w:szCs w:val="18"/>
          <w:color w:val="auto"/>
        </w:rPr>
        <w:t>Basic and diluted net income per share available to common stockholders are presented in conformity with the two-class method required for participating securities. The holders of restricted common stock are entitled to receive non-forfeitable dividends if declared.</w:t>
      </w:r>
    </w:p>
    <w:p>
      <w:pPr>
        <w:spacing w:after="0" w:line="162"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Under the two-class method, basic net income per share available to common stockholders is computed by dividing the net income available to common stockholders by the weighted-average number of shares of common stock outstanding during the period. Net income available to common stockholders is determined by allocating undistributed earnings between common and restricted common stockholders.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available to common stockholders (in thousands,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69"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38735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Allocation of net income to participating stockholders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14,678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Undistributed earnings re-allocated to common stockholders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14,678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7,853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shares: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available to common stockholders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48,308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 shares: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available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48,308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 using treasury-stock method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Weighted-average shares used in computing diluted net income available to common stockholders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52,653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51,226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2013 and 2012, the following securities were not included in the calculation of diluted shares outstanding, as the effect would have been anti-dilutive (in thousands):</w:t>
      </w:r>
    </w:p>
    <w:p>
      <w:pPr>
        <w:spacing w:after="0" w:line="12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38735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20" w:type="dxa"/>
            <w:vAlign w:val="bottom"/>
            <w:gridSpan w:val="2"/>
          </w:tcPr>
          <w:p>
            <w:pPr>
              <w:ind w:left="9100"/>
              <w:spacing w:after="0"/>
              <w:rPr>
                <w:sz w:val="20"/>
                <w:szCs w:val="20"/>
                <w:color w:val="auto"/>
              </w:rPr>
            </w:pPr>
            <w:r>
              <w:rPr>
                <w:rFonts w:ascii="Times New Roman" w:cs="Times New Roman" w:eastAsia="Times New Roman" w:hAnsi="Times New Roman"/>
                <w:sz w:val="16"/>
                <w:szCs w:val="16"/>
                <w:b w:val="1"/>
                <w:bCs w:val="1"/>
                <w:color w:val="auto"/>
                <w:w w:val="93"/>
              </w:rPr>
              <w:t>2013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2,622</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1,377</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of common stock subject to repurchase</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1,483</w:t>
            </w:r>
          </w:p>
        </w:tc>
      </w:tr>
    </w:tbl>
    <w:p>
      <w:pPr>
        <w:spacing w:after="0" w:line="221"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81" w:lineRule="exact"/>
        <w:rPr>
          <w:sz w:val="20"/>
          <w:szCs w:val="20"/>
          <w:color w:val="auto"/>
        </w:rPr>
      </w:pPr>
    </w:p>
    <w:p>
      <w:pPr>
        <w:ind w:right="82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financial assets measured at fair value on a recurring basis as of March 31, 2013 and December 31, 2012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2013</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20"/>
                <w:szCs w:val="20"/>
                <w:color w:val="auto"/>
              </w:rPr>
            </w:pPr>
          </w:p>
        </w:tc>
        <w:tc>
          <w:tcPr>
            <w:tcW w:w="10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33"/>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61,898</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61,898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10,512</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8,557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81,057</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80,967</w:t>
            </w:r>
          </w:p>
        </w:tc>
      </w:tr>
      <w:tr>
        <w:trPr>
          <w:trHeight w:val="67"/>
        </w:trPr>
        <w:tc>
          <w:tcPr>
            <w:tcW w:w="70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7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137,135</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5,499</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5,043</w:t>
            </w:r>
          </w:p>
        </w:tc>
      </w:tr>
      <w:tr>
        <w:trPr>
          <w:trHeight w:val="237"/>
        </w:trPr>
        <w:tc>
          <w:tcPr>
            <w:tcW w:w="7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147,677</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147,677</w:t>
            </w: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69"/>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20"/>
                <w:szCs w:val="20"/>
                <w:color w:val="auto"/>
              </w:rPr>
            </w:pPr>
          </w:p>
        </w:tc>
        <w:tc>
          <w:tcPr>
            <w:tcW w:w="10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33"/>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19,800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9,000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3,992</w:t>
            </w:r>
          </w:p>
        </w:tc>
      </w:tr>
      <w:tr>
        <w:trPr>
          <w:trHeight w:val="237"/>
        </w:trPr>
        <w:tc>
          <w:tcPr>
            <w:tcW w:w="7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47,462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14,670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32,792</w:t>
            </w:r>
          </w:p>
        </w:tc>
      </w:tr>
      <w:tr>
        <w:trPr>
          <w:trHeight w:val="67"/>
        </w:trPr>
        <w:tc>
          <w:tcPr>
            <w:tcW w:w="70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7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105,515</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13,697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6,880</w:t>
            </w:r>
          </w:p>
        </w:tc>
      </w:tr>
      <w:tr>
        <w:trPr>
          <w:trHeight w:val="237"/>
        </w:trPr>
        <w:tc>
          <w:tcPr>
            <w:tcW w:w="7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126,092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126,092</w:t>
            </w: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As of March 31, 2013 and December 31, 2012, the Company did not use level 3 inputs to measure financial assets or liabilities at fair value.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81" w:lineRule="exact"/>
        <w:rPr>
          <w:sz w:val="20"/>
          <w:szCs w:val="20"/>
          <w:color w:val="auto"/>
        </w:rPr>
      </w:pPr>
    </w:p>
    <w:p>
      <w:pPr>
        <w:ind w:right="80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investments in available-for-sale securities as of March 31, 2013 and December 31, 2012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3"/>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9"/>
              </w:rPr>
              <w:t>March 31, 2013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3"/>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194"/>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137,135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147,602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147,677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3"/>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3"/>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194"/>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105,536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105,515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126,113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126,092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446"/>
        <w:spacing w:after="0" w:line="266" w:lineRule="auto"/>
        <w:rPr>
          <w:sz w:val="20"/>
          <w:szCs w:val="20"/>
          <w:color w:val="auto"/>
        </w:rPr>
      </w:pPr>
      <w:r>
        <w:rPr>
          <w:rFonts w:ascii="Times New Roman" w:cs="Times New Roman" w:eastAsia="Times New Roman" w:hAnsi="Times New Roman"/>
          <w:sz w:val="18"/>
          <w:szCs w:val="18"/>
          <w:color w:val="auto"/>
        </w:rPr>
        <w:t>Available-for-sale securities are reported at fair value, with unrealized gains and losses, net of tax, included as a separate component of stockholders’ equity within accumulated other comprehensive income (loss). Realized gains and losses on available-for-sale securities are included in other income (expense), net in the Company’s condensed consolidated statements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weighted-average remaining maturity of the Company’s investment portfolio was less than one year as of March 31, 2013 and December 31,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2013, no individual securities incurred continuous unrealized losses for greater than 12 months.</w:t>
      </w:r>
    </w:p>
    <w:p>
      <w:pPr>
        <w:spacing w:after="0" w:line="203"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Patent assets, net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00" w:type="dxa"/>
            <w:vAlign w:val="bottom"/>
          </w:tcPr>
          <w:p>
            <w:pPr>
              <w:spacing w:after="0"/>
              <w:rPr>
                <w:sz w:val="18"/>
                <w:szCs w:val="18"/>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403,875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433,312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(227,117)</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199,314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206,195</w:t>
            </w: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March 31, 2013, the estimated economic useful lives of the Company’s patent assets generally ranged from 24 to 60 months. As of March 31, 2013, the weighted-average estimated economic useful life at the time of acquisition, excluding fully amortized patent assets, was 46 months.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expected future annual amortization expense of patent assets as of March 31, 2013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 (remainder)</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65,080</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2014</w:t>
            </w:r>
          </w:p>
        </w:tc>
        <w:tc>
          <w:tcPr>
            <w:tcW w:w="8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64,064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2015</w:t>
            </w:r>
          </w:p>
        </w:tc>
        <w:tc>
          <w:tcPr>
            <w:tcW w:w="8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46,212</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2016</w:t>
            </w:r>
          </w:p>
        </w:tc>
        <w:tc>
          <w:tcPr>
            <w:tcW w:w="8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24,955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2017</w:t>
            </w:r>
          </w:p>
        </w:tc>
        <w:tc>
          <w:tcPr>
            <w:tcW w:w="8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206,195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6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Amortization expense was $22.6 million and $17.7 million for the three months ended March 31, 2013 and 2012, respectively.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 w:type="dxa"/>
            <w:vAlign w:val="bottom"/>
          </w:tcPr>
          <w:p>
            <w:pPr>
              <w:spacing w:after="0"/>
              <w:rPr>
                <w:sz w:val="24"/>
                <w:szCs w:val="24"/>
                <w:color w:val="auto"/>
              </w:rPr>
            </w:pPr>
          </w:p>
        </w:tc>
        <w:tc>
          <w:tcPr>
            <w:tcW w:w="96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24"/>
                <w:szCs w:val="24"/>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70"/>
        </w:trPr>
        <w:tc>
          <w:tcPr>
            <w:tcW w:w="420" w:type="dxa"/>
            <w:vAlign w:val="bottom"/>
          </w:tcPr>
          <w:p>
            <w:pPr>
              <w:spacing w:after="0"/>
              <w:rPr>
                <w:sz w:val="23"/>
                <w:szCs w:val="23"/>
                <w:color w:val="auto"/>
              </w:rPr>
            </w:pPr>
          </w:p>
        </w:tc>
        <w:tc>
          <w:tcPr>
            <w:tcW w:w="8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Internal-use software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57"/>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446"/>
        <w:spacing w:after="0" w:line="313" w:lineRule="auto"/>
        <w:rPr>
          <w:sz w:val="20"/>
          <w:szCs w:val="20"/>
          <w:color w:val="auto"/>
        </w:rPr>
      </w:pPr>
      <w:r>
        <w:rPr>
          <w:rFonts w:ascii="Times New Roman" w:cs="Times New Roman" w:eastAsia="Times New Roman" w:hAnsi="Times New Roman"/>
          <w:sz w:val="17"/>
          <w:szCs w:val="17"/>
          <w:color w:val="auto"/>
        </w:rPr>
        <w:t>Depreciation and amortization expense was $0.4 million and $0.2 million for the three months ended March 31, 2013 and 2012, respectively. Stock-based compensation capitalized as part of the cost of internal-use software was $0.1 million for both the three months ended March 31, 2013 and 2012.</w:t>
      </w:r>
    </w:p>
    <w:p>
      <w:pPr>
        <w:spacing w:after="0" w:line="134"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net, as of March 31, 2013 and December 31, 2012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March 31, 2013</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7"/>
        </w:trPr>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264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26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1,253</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Proprietary data and models</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1,236</w:t>
            </w:r>
          </w:p>
        </w:tc>
      </w:tr>
      <w:tr>
        <w:trPr>
          <w:trHeight w:val="27"/>
        </w:trPr>
        <w:tc>
          <w:tcPr>
            <w:tcW w:w="2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Covenant not to compete</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2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in-progress</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6,311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3,226</w:t>
            </w:r>
          </w:p>
        </w:tc>
      </w:tr>
      <w:tr>
        <w:trPr>
          <w:trHeight w:val="20"/>
        </w:trPr>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2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gridSpan w:val="3"/>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20" w:type="dxa"/>
            <w:vAlign w:val="bottom"/>
          </w:tcPr>
          <w:p>
            <w:pPr>
              <w:spacing w:after="0"/>
              <w:rPr>
                <w:sz w:val="24"/>
                <w:szCs w:val="24"/>
                <w:color w:val="auto"/>
              </w:rPr>
            </w:pPr>
          </w:p>
        </w:tc>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estimated future amortization expenses for intangible assets are summarized below (in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80" w:type="dxa"/>
            <w:vAlign w:val="bottom"/>
            <w:gridSpan w:val="2"/>
          </w:tcPr>
          <w:p>
            <w:pPr>
              <w:spacing w:after="0"/>
              <w:rPr>
                <w:sz w:val="11"/>
                <w:szCs w:val="11"/>
                <w:color w:val="auto"/>
              </w:rPr>
            </w:pPr>
          </w:p>
        </w:tc>
        <w:tc>
          <w:tcPr>
            <w:tcW w:w="7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 (remainder)</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2014</w:t>
            </w:r>
          </w:p>
        </w:tc>
        <w:tc>
          <w:tcPr>
            <w:tcW w:w="86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2015</w:t>
            </w:r>
          </w:p>
        </w:tc>
        <w:tc>
          <w:tcPr>
            <w:tcW w:w="86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2016</w:t>
            </w:r>
          </w:p>
        </w:tc>
        <w:tc>
          <w:tcPr>
            <w:tcW w:w="86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6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Amortization expense was $0.4 million and $0.3 million for the three months ended March 31, 2013 and 2012, respectively.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 w:type="dxa"/>
            <w:vAlign w:val="bottom"/>
          </w:tcPr>
          <w:p>
            <w:pPr>
              <w:spacing w:after="0"/>
              <w:rPr>
                <w:sz w:val="24"/>
                <w:szCs w:val="24"/>
                <w:color w:val="auto"/>
              </w:rPr>
            </w:pPr>
          </w:p>
        </w:tc>
        <w:tc>
          <w:tcPr>
            <w:tcW w:w="964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24"/>
                <w:szCs w:val="24"/>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70"/>
        </w:trPr>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1280" w:type="dxa"/>
            <w:vAlign w:val="bottom"/>
            <w:gridSpan w:val="2"/>
          </w:tcPr>
          <w:p>
            <w:pPr>
              <w:spacing w:after="0"/>
              <w:rPr>
                <w:sz w:val="2"/>
                <w:szCs w:val="2"/>
                <w:color w:val="auto"/>
              </w:rPr>
            </w:pPr>
          </w:p>
        </w:tc>
        <w:tc>
          <w:tcPr>
            <w:tcW w:w="7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Accrued payroll-related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6,567</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5,122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7,206</w:t>
            </w:r>
          </w:p>
        </w:tc>
        <w:tc>
          <w:tcPr>
            <w:tcW w:w="0" w:type="dxa"/>
            <w:vAlign w:val="bottom"/>
          </w:tcPr>
          <w:p>
            <w:pPr>
              <w:spacing w:after="0"/>
              <w:rPr>
                <w:sz w:val="1"/>
                <w:szCs w:val="1"/>
                <w:color w:val="auto"/>
              </w:rPr>
            </w:pPr>
          </w:p>
        </w:tc>
      </w:tr>
      <w:tr>
        <w:trPr>
          <w:trHeight w:val="311"/>
        </w:trPr>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7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Patent and other assets purchased but not paid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57"/>
        </w:trPr>
        <w:tc>
          <w:tcPr>
            <w:tcW w:w="8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12,265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 w:type="dxa"/>
            <w:vAlign w:val="bottom"/>
            <w:vMerge w:val="continue"/>
          </w:tcPr>
          <w:p>
            <w:pPr>
              <w:spacing w:after="0"/>
              <w:rPr>
                <w:sz w:val="24"/>
                <w:szCs w:val="24"/>
                <w:color w:val="auto"/>
              </w:rPr>
            </w:pPr>
          </w:p>
        </w:tc>
        <w:tc>
          <w:tcPr>
            <w:tcW w:w="8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8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200" w:firstLine="446"/>
        <w:spacing w:after="0" w:line="261" w:lineRule="auto"/>
        <w:rPr>
          <w:sz w:val="20"/>
          <w:szCs w:val="20"/>
          <w:color w:val="auto"/>
        </w:rPr>
      </w:pPr>
      <w:r>
        <w:rPr>
          <w:rFonts w:ascii="Times New Roman" w:cs="Times New Roman" w:eastAsia="Times New Roman" w:hAnsi="Times New Roman"/>
          <w:sz w:val="18"/>
          <w:szCs w:val="18"/>
          <w:color w:val="auto"/>
        </w:rPr>
        <w:t>The Company generally does not enter into long-term minimum purchase commitments. Its principal commitments consist of obligations under operating leases for office space. There were no substantial changes to its contractual obligations or commitments during the three months ended March 31, 2013 as presented under the heading “Commitments and Contingencies” in Note 14 of the Notes to Consolidated Financial Statements in Part II, Item 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“Consolidated Financial Statements and Supplementary Data” included in the Annual Report on Form 10-K for its fiscal year ended December 31, 2012.</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Rent expense related to non-cancelable operating leases was $0.6 million for both the three months ended March 31, 2013 and 2012.</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legal contingencies. A liability is recorded when and if it is determined that such a liability for litigation or contingencies is both probable and reasonably estimable. No liability for litigation or legal contingencies was recorded as of March 31, 2013 or December 31, 2012.</w:t>
      </w:r>
    </w:p>
    <w:p>
      <w:pPr>
        <w:spacing w:after="0" w:line="18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February 2013, Volkswagen Group of America, Inc. (“Volkswagen”) filed a third party complaint (the “Complaint”) against the Company as part of an existing patent infringement lawsuit in the U.S. District Court for the Eastern District of Texas that was originally filed by Norman IP Holdings, LLC (“Norman”) and in which Volkswagen is a defendant. The Complaint relates to a patent license and acquisition transaction that the Company entered into with Norman and Saxon in January 2010. The claims allege that the Company, together with Norman and Saxon Innovations, LLC (“Saxon”), violated federal antitrust law and Texas antitrust law. Volkswagen seeks declaratory relief, unspecified monetary damages, and injunctive relief. Because the case is at a very early stage, the Company is not currently able to determine whether there is a reasonable possibility that a loss has been incurred nor can it estimate the range of the potential loss that may result from this litigation.</w:t>
      </w:r>
    </w:p>
    <w:p>
      <w:pPr>
        <w:spacing w:after="0" w:line="18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March 2012, Cascades Computer Innovations LLC filed a lawsuit in U.S. District Court for the Northern District of California (the “Court”) against the Company and five of its clients (collectively the “Defendants”). The lawsuit alleges that the Defendants violated federal antitrust law, California antitrust law and California unfair competition law. The lawsuit claims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The Company is not currently able to determine whether there is a reasonable possibility that a loss has been incurred, nor can it estimate the potential loss or range of the potential loss that may result from this litigation.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8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March 31, 2013 or December 31, 2012.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76" w:lineRule="exact"/>
        <w:rPr>
          <w:sz w:val="20"/>
          <w:szCs w:val="20"/>
          <w:color w:val="auto"/>
        </w:rPr>
      </w:pPr>
    </w:p>
    <w:p>
      <w:pPr>
        <w:ind w:left="500" w:right="9300" w:hanging="492"/>
        <w:spacing w:after="0" w:line="365" w:lineRule="auto"/>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Equity Plans</w:t>
      </w:r>
    </w:p>
    <w:p>
      <w:pPr>
        <w:spacing w:after="0" w:line="90"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Company’s activity under its equity award plans and related information is as follows (in thousands, except per share data):</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3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Available for</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40" w:type="dxa"/>
            <w:vAlign w:val="bottom"/>
          </w:tcPr>
          <w:p>
            <w:pPr>
              <w:spacing w:after="0"/>
              <w:rPr>
                <w:sz w:val="17"/>
                <w:szCs w:val="17"/>
                <w:color w:val="auto"/>
              </w:rPr>
            </w:pP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2"/>
        </w:trPr>
        <w:tc>
          <w:tcPr>
            <w:tcW w:w="43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40" w:type="dxa"/>
            <w:vAlign w:val="bottom"/>
          </w:tcPr>
          <w:p>
            <w:pPr>
              <w:spacing w:after="0"/>
              <w:rPr>
                <w:sz w:val="18"/>
                <w:szCs w:val="18"/>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r>
      <w:tr>
        <w:trPr>
          <w:trHeight w:val="33"/>
        </w:trPr>
        <w:tc>
          <w:tcPr>
            <w:tcW w:w="4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2012</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5,710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authorized</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forfeited</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97"/>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 March 31, 2013</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2,747</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5,152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color w:val="auto"/>
              </w:rPr>
              <w:t>30,232</w:t>
            </w:r>
          </w:p>
        </w:tc>
      </w:tr>
      <w:tr>
        <w:trPr>
          <w:trHeight w:val="251"/>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 March 31, 2013</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12,058</w:t>
            </w:r>
          </w:p>
        </w:tc>
      </w:tr>
      <w:tr>
        <w:trPr>
          <w:trHeight w:val="20"/>
        </w:trPr>
        <w:tc>
          <w:tcPr>
            <w:tcW w:w="4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1"/>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 March 31, 2013</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28,131</w:t>
            </w:r>
          </w:p>
        </w:tc>
      </w:tr>
      <w:tr>
        <w:trPr>
          <w:trHeight w:val="20"/>
        </w:trPr>
        <w:tc>
          <w:tcPr>
            <w:tcW w:w="4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900" w:firstLine="486"/>
        <w:spacing w:after="0" w:line="282" w:lineRule="auto"/>
        <w:rPr>
          <w:sz w:val="20"/>
          <w:szCs w:val="20"/>
          <w:color w:val="auto"/>
        </w:rPr>
      </w:pPr>
      <w:r>
        <w:rPr>
          <w:rFonts w:ascii="Times New Roman" w:cs="Times New Roman" w:eastAsia="Times New Roman" w:hAnsi="Times New Roman"/>
          <w:sz w:val="18"/>
          <w:szCs w:val="18"/>
          <w:color w:val="auto"/>
        </w:rPr>
        <w:t>The total intrinsic value for options exercised during the three months ended March 31, 2013 and 2012 was $4.0 million and $14.3 million,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summary of restricted stock unit activity is as follows: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140" w:type="dxa"/>
            <w:vAlign w:val="bottom"/>
          </w:tcPr>
          <w:p>
            <w:pPr>
              <w:spacing w:after="0"/>
              <w:rPr>
                <w:sz w:val="17"/>
                <w:szCs w:val="17"/>
                <w:color w:val="auto"/>
              </w:rPr>
            </w:pPr>
          </w:p>
        </w:tc>
        <w:tc>
          <w:tcPr>
            <w:tcW w:w="12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12"/>
        </w:trPr>
        <w:tc>
          <w:tcPr>
            <w:tcW w:w="7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2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r>
      <w:tr>
        <w:trPr>
          <w:trHeight w:val="33"/>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 December 31, 2012</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 March 31, 2013</w:t>
            </w: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20,933</w:t>
            </w: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Related to Employees and Non-Employee Directors</w:t>
      </w:r>
    </w:p>
    <w:p>
      <w:pPr>
        <w:spacing w:after="0" w:line="8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Stock-based compensation expense for employees and non-employee directors is based on the fair value of the award on the date of grant and is recognized on a straight-line basis over the requisite service period of the award. The Company estimates the fair value of stock options using the Black-Scholes option pricing model. Option valuation models, including the Black-Scholes option pricing model, require the input of various assumptions such as expected term, expected volatility and risk-free interest rates. Changes in the assumptions can materially affect the fair value and ultimately how much stock-based compensation expense is recognized. These inputs are subjective and generally require significant analysis and judgment to develop. For all stock options granted to date, the Company calculated the expected term using the SEC simplified method. The Company has limited information on its past volatility and has a limited operating history. Therefore, it has estimated the volatility data based on a study of publicly traded industry peer companies. For purposes of identifying these peer companies, the Company considered the industry, stage of development, size and financial leverage of potential comparable companies. The estimated forfeiture rate is derived primarily from the Company's historical data, and the risk-free interest rate is based on the yield available on U.S. Treasury zero-coupon issues similar in duration to the expected term of the Company’s stock options.</w:t>
      </w:r>
    </w:p>
    <w:p>
      <w:pPr>
        <w:spacing w:after="0" w:line="18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There were no stock options granted to employees or non-employee directors during the three months ended March 31, 2013. The weighted-average assumptions used to estimate the fair value of stock options granted to employees and non-employee directors during the three months ended March 31, 2012 and the resulting fair values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4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rate</w:t>
            </w:r>
          </w:p>
        </w:tc>
        <w:tc>
          <w:tcPr>
            <w:tcW w:w="4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58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4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45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58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 date fair value</w:t>
            </w:r>
          </w:p>
        </w:tc>
        <w:tc>
          <w:tcPr>
            <w:tcW w:w="4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9.08</w:t>
            </w:r>
          </w:p>
        </w:tc>
      </w:tr>
      <w:tr>
        <w:trPr>
          <w:trHeight w:val="27"/>
        </w:trPr>
        <w:tc>
          <w:tcPr>
            <w:tcW w:w="586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units granted to employees and non-employee directors is measured by reference to the fair value of the underlying shares on the date of grant.</w:t>
      </w:r>
    </w:p>
    <w:p>
      <w:pPr>
        <w:spacing w:after="0" w:line="16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granted to employees and non-employee directors was $2.4 million and $1.9 million for the three months ended March 31, 2013 and 2012, respectively. Stock-based compensation expense related to restricted stock units granted to employees and non-employee directors was $1.1 million and $0.4 million for the three months ended March 31, 2013 and 2012, respectively.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2013, there was $17.1 million and $19.5 million of unrecognized compensation cost related to stock options and restricted stock units, respectively, which was expected to be recognized over a weighted-average period of 2.5 years and 3.6 years, respectively. Future grants of equity awards will increase the amount of stock-based compensation expense to be recorded.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Related to Non-Employees</w:t>
      </w:r>
    </w:p>
    <w:p>
      <w:pPr>
        <w:spacing w:after="0" w:line="8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Company periodically grants equity awards to non-employees in exchange for goods and services. No awards were granted to non-employees in exchange for goods and services during the three months ended March 31, 2013 and 2012,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5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options or restricted stock units is revalued until the awards vest on the measurement date.</w:t>
      </w:r>
    </w:p>
    <w:p>
      <w:pPr>
        <w:spacing w:after="0" w:line="18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Non-employee stock-based compensation expense related to stock options was $0.1 million and $0.2 million for the three months ended March 31, 2013 and 2012, respectively. Non-employee stock-based compensation expense related to restricted stock units was $0.1 million and $0.2 million for the three months ended March 31, 2013 and 2012, respectively.</w:t>
      </w:r>
    </w:p>
    <w:p>
      <w:pPr>
        <w:spacing w:after="0" w:line="172"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81"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36% and 37% for the three months ended March 31, 2013 and 2012, respectively. The Company's effective tax rate remained consistent with prior period changing only by 1%.</w:t>
      </w:r>
    </w:p>
    <w:p>
      <w:pPr>
        <w:spacing w:after="0" w:line="172"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81" w:lineRule="exact"/>
        <w:rPr>
          <w:sz w:val="20"/>
          <w:szCs w:val="20"/>
          <w:color w:val="auto"/>
        </w:rPr>
      </w:pPr>
    </w:p>
    <w:p>
      <w:pPr>
        <w:ind w:right="240" w:firstLine="44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2013, three members of the Company’s Board of Directors also served on the boards of directors of RPX clients. The Company recognized subscription fee revenue of $1.2 million related to these clients. During the three months ended March 31, 2012, two members of the Company’s Board of Directors also served on the boards of directors of RPX clients. The Company recognized subscription fee revenue of $0.8 million related to these clients. As of March 31, 2013 and December 31, 2012, there were no receivables due from these clients.</w:t>
      </w:r>
    </w:p>
    <w:p>
      <w:pPr>
        <w:spacing w:after="0" w:line="176"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81" w:lineRule="exact"/>
        <w:rPr>
          <w:sz w:val="20"/>
          <w:szCs w:val="20"/>
          <w:color w:val="auto"/>
        </w:rPr>
      </w:pPr>
    </w:p>
    <w:p>
      <w:pPr>
        <w:ind w:right="40" w:firstLine="486"/>
        <w:spacing w:after="0" w:line="281" w:lineRule="auto"/>
        <w:rPr>
          <w:sz w:val="20"/>
          <w:szCs w:val="20"/>
          <w:color w:val="auto"/>
        </w:rPr>
      </w:pPr>
      <w:r>
        <w:rPr>
          <w:rFonts w:ascii="Times New Roman" w:cs="Times New Roman" w:eastAsia="Times New Roman" w:hAnsi="Times New Roman"/>
          <w:sz w:val="17"/>
          <w:szCs w:val="17"/>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6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Company markets its solution to companies around the world. Revenue is generally attributed to geographic areas based on the country in which the client is domiciled.</w:t>
      </w:r>
    </w:p>
    <w:p>
      <w:pPr>
        <w:spacing w:after="0" w:line="162"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by location and revenue generated by country as a percentage of total revenue for the applicable period, for countries representing 10% or more of revenues for the periods presented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4"/>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gridSpan w:val="3"/>
          </w:tcPr>
          <w:p>
            <w:pPr>
              <w:jc w:val="right"/>
              <w:ind w:right="1280"/>
              <w:spacing w:after="0"/>
              <w:rPr>
                <w:sz w:val="20"/>
                <w:szCs w:val="20"/>
                <w:color w:val="auto"/>
              </w:rPr>
            </w:pPr>
            <w:r>
              <w:rPr>
                <w:rFonts w:ascii="Times New Roman" w:cs="Times New Roman" w:eastAsia="Times New Roman" w:hAnsi="Times New Roman"/>
                <w:sz w:val="16"/>
                <w:szCs w:val="16"/>
                <w:b w:val="1"/>
                <w:bCs w:val="1"/>
                <w:color w:val="auto"/>
                <w:w w:val="99"/>
              </w:rPr>
              <w:t>2012</w:t>
            </w:r>
          </w:p>
        </w:tc>
      </w:tr>
      <w:tr>
        <w:trPr>
          <w:trHeight w:val="33"/>
        </w:trPr>
        <w:tc>
          <w:tcPr>
            <w:tcW w:w="5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Taiwan</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5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61,194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43,849</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Long-lived assets information by location is presented below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8"/>
                <w:szCs w:val="18"/>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4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long-lived assets</w:t>
            </w:r>
          </w:p>
        </w:tc>
        <w:tc>
          <w:tcPr>
            <w:tcW w:w="5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79" w:lineRule="exact"/>
        <w:rPr>
          <w:sz w:val="20"/>
          <w:szCs w:val="20"/>
          <w:color w:val="auto"/>
        </w:rPr>
      </w:pPr>
    </w:p>
    <w:p>
      <w:pPr>
        <w:ind w:right="160" w:firstLine="44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on March 11, 2013.</w:t>
      </w:r>
    </w:p>
    <w:p>
      <w:pPr>
        <w:spacing w:after="0" w:line="174" w:lineRule="exact"/>
        <w:rPr>
          <w:sz w:val="20"/>
          <w:szCs w:val="20"/>
          <w:color w:val="auto"/>
        </w:rPr>
      </w:pPr>
    </w:p>
    <w:p>
      <w:pPr>
        <w:ind w:right="40" w:firstLine="446"/>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Securities and Exchange Commission on March 11, 2013.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62" w:lineRule="exact"/>
        <w:rPr>
          <w:sz w:val="20"/>
          <w:szCs w:val="20"/>
          <w:color w:val="auto"/>
        </w:rPr>
      </w:pPr>
    </w:p>
    <w:p>
      <w:pPr>
        <w:jc w:val="both"/>
        <w:ind w:right="440" w:firstLine="446"/>
        <w:spacing w:after="0" w:line="266" w:lineRule="auto"/>
        <w:rPr>
          <w:sz w:val="20"/>
          <w:szCs w:val="20"/>
          <w:color w:val="auto"/>
        </w:rPr>
      </w:pPr>
      <w:r>
        <w:rPr>
          <w:rFonts w:ascii="Times New Roman" w:cs="Times New Roman" w:eastAsia="Times New Roman" w:hAnsi="Times New Roman"/>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76" w:lineRule="exact"/>
        <w:rPr>
          <w:sz w:val="20"/>
          <w:szCs w:val="20"/>
          <w:color w:val="auto"/>
        </w:rPr>
      </w:pPr>
    </w:p>
    <w:p>
      <w:pPr>
        <w:ind w:right="260" w:firstLine="446"/>
        <w:spacing w:after="0" w:line="266" w:lineRule="auto"/>
        <w:rPr>
          <w:sz w:val="20"/>
          <w:szCs w:val="20"/>
          <w:color w:val="auto"/>
        </w:rPr>
      </w:pPr>
      <w:r>
        <w:rPr>
          <w:rFonts w:ascii="Times New Roman" w:cs="Times New Roman" w:eastAsia="Times New Roman" w:hAnsi="Times New Roman"/>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76" w:lineRule="exact"/>
        <w:rPr>
          <w:sz w:val="20"/>
          <w:szCs w:val="20"/>
          <w:color w:val="auto"/>
        </w:rPr>
      </w:pPr>
    </w:p>
    <w:p>
      <w:pPr>
        <w:ind w:right="340" w:firstLine="44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2013, revenue grew to $61.2 million from $43.8 million for the three months ended March 31, 2012. Our client count increased by 6 clients bringing our total client network to 146 as of March 31, 2013. At March 31, 2013, we had deferred revenue of $118.2 million.</w:t>
      </w:r>
    </w:p>
    <w:p>
      <w:pPr>
        <w:spacing w:after="0" w:line="176" w:lineRule="exact"/>
        <w:rPr>
          <w:sz w:val="20"/>
          <w:szCs w:val="20"/>
          <w:color w:val="auto"/>
        </w:rPr>
      </w:pPr>
    </w:p>
    <w:p>
      <w:pPr>
        <w:ind w:right="200" w:firstLine="446"/>
        <w:spacing w:after="0" w:line="256" w:lineRule="auto"/>
        <w:rPr>
          <w:sz w:val="20"/>
          <w:szCs w:val="20"/>
          <w:color w:val="auto"/>
        </w:rPr>
      </w:pPr>
      <w:r>
        <w:rPr>
          <w:rFonts w:ascii="Times New Roman" w:cs="Times New Roman" w:eastAsia="Times New Roman" w:hAnsi="Times New Roman"/>
          <w:sz w:val="18"/>
          <w:szCs w:val="18"/>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and structured acquisitions above and beyond their subscription fees and the “net spend” represents only the net incremental investment of our own capital. During the three months ended March 31, 2013, we completed 11 acquisitions of patent assets and our gross and net acquisition spend totaled $29.4 million. From our inception through March 31, 2013, we have completed 131 acquisitions of patent assets with gross and net acquisition spend of $652.9 million and $435.8 million, respectively.</w:t>
      </w:r>
    </w:p>
    <w:p>
      <w:pPr>
        <w:spacing w:after="0" w:line="188"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Insuring against the costs of non-practicing entity (“NPE”) litigation is a natural extension of our core defensive patent acquisition service. In 2012, we started to offer NPE patent infringement liability insurance, which is a liability insurance policy for operating companies that covers certain costs associated with patent infringement lawsuits by NPEs. The insurance product complements our core defensive patent acquisition service, enabling policyholders, who must be members of our client network, to better manage and mitigate the risk of NPE patent litigation. For the three months ended March 31, 2013, the effect of the insurance policies that have been issued was not material to our results of operations or financial condition.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Historically, the majority of our revenue has consisted of fees paid by our clients under subscription agreements. We expect that subscription fee revenue will increase with the growth of our client network. Subscription revenue will be positively or negatively impacted by the financial performance of our clients since their subscription fees are typically reset annually based upon their most recently reported annual financial results. In 2012, we launched our insurance product and we started to recognize revenue from insurance premiums. Although we expect this revenue to increase as we sell more policies in the future, for the three months ended March 31, 2013, revenue from insurance premiums was not material to the Company’s results of operations. From time to time, we also recognize revenue from the sale of licenses and advisory fee income in connection with structured acquisitions. In the future, we may receive other revenue and fee income from newly introduced products and services. While we expect to continue to experience revenue growth, we do not believe that our rate of growth since inception is representative of anticipated future revenue growth.</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81"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Cost of revenue primarily consists of amortization expenses related to acquired patent assets. Acquired patent assets are capitalized and amortized ratably over their estimated useful lives. Also included in the cost of revenue are expenses incurred to maintain our patents and prosecute our patent applications and amortization expense for acquired intangible assets and internally developed software. With the launch of our insurance offering in 2012, cost of revenue also includes premiums ceded to reinsurers and loss reserves. We expect our cost of revenue to increase in the future as we add additional patent assets to our existing portfolio to support our existing and future clients and as our insurance business grows.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and related expenses, including stock-based compensation expenses, costs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likely that our deferred tax assets will be fully realized. Accordingly, we have not applied a valuation allowance against our net deferred tax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81"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17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three months ended March 31, 2013, as compared to those described in our Annual Report on Form 10-K filed with the SEC on March 11, 2013.</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121" w:right="27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1"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for each of the periods indicated (in thousands). Our historical results are not necessarily indicative of our results of operations to be expected for any future period.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61,194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43,849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18,017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13,223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patent assets, net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12,786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12,766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4,685</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8,081</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consolidated statements of operations data as a percentage of revenue.</w:t>
      </w:r>
    </w:p>
    <w:p>
      <w:pPr>
        <w:spacing w:after="0" w:line="18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38735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360" w:type="dxa"/>
            <w:vAlign w:val="bottom"/>
            <w:gridSpan w:val="2"/>
          </w:tcPr>
          <w:p>
            <w:pPr>
              <w:ind w:left="8980"/>
              <w:spacing w:after="0"/>
              <w:rPr>
                <w:sz w:val="20"/>
                <w:szCs w:val="20"/>
                <w:color w:val="auto"/>
              </w:rPr>
            </w:pPr>
            <w:r>
              <w:rPr>
                <w:rFonts w:ascii="Times New Roman" w:cs="Times New Roman" w:eastAsia="Times New Roman" w:hAnsi="Times New Roman"/>
                <w:sz w:val="16"/>
                <w:szCs w:val="16"/>
                <w:b w:val="1"/>
                <w:bCs w:val="1"/>
                <w:color w:val="auto"/>
              </w:rPr>
              <w:t>2013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8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9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8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9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on sale of patent assets, net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9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9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revenue for the three months ended March 31, 2013 was $61.2 million compared to $43.8 million during the same period a year ago, an increase of $17.3 million, or 40%. Subscription revenue, which includes membership subscription services and premiums earned from insurance policies, for the three months ended March 31, 2013 was $54.0 million compared to $43.8 million for the three months ended March 31, 2012. The increase in subscription revenue was attributable to an increase in membership fees, which was composed of $7.2 million from new clients who joined our network subsequent to March 31, 2012, $0.3 million from clients who joined our network during the three month period ended March 31, 2012, and $2.7 million from clients who joined our network prior to March 31, 2012. As of March 31, 2013 we had a total client network of 146 companies as compared to 116 as of March 31, 2012. Revenue for the three months ended March 31, 2013 also included $3.6 million from advisory fees and $3.6 million from the sale of perpetual licenses, as compared to nil in the same period in 2012.</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8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cost of revenue for the three months ended March 31, 2013 was $23.7 million compared to $18.0 million during the same period a year ago, an increase of $5.7 million, or 31%. The increase was primarily attributable to a $4.9 million increase in patent amortization expense as result of an increase in our patent assets. Cost of revenue for the three months ended March 31, 2013 also included $0.5 million of fees paid to a third-party service provider in connection with our performance of advisory services.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for the three months ended March 31, 2013 were $14.5 million compared to $13.2 million during the same period a year ago, an increase of $1.3 million or 9%. The increase was primarily due to a $1.2 million increase in stock-based compensation. We expect that in the foreseeable future, selling, general and administrative expenses will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as we seek to serve more clients, develop new products and services, and support our operations and compliance requirements as a public company.</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8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Other income (expense), net for the three months ended March 31, 2013 was $51,000 compared to other income (expense), net of ($20,000) during the same period a year ago, a change of $71,000. The change was primarily due to the payoff of our outstanding deferred payment obligations in July 2012, which resulted in lower interest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tax provision for the three months ended March 31, 2013 was $8.4 million compared to $4.7 million for the three months ended March 31, 2012. Our effective tax rate for three months ended March 31, 2013 was 36% compared to 37% for the three months ended March 31, 2012. Our effective tax rate remained consistent with prior period changing only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1"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We have financed substantially all of our operations and patent asset acquisitions through the sale of equity securities, subscription fees collected from our clients and patent-seller financing. As of March 31, 2013, we had $135.7 million of cash and cash equivalents and $147.7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and development of new products and services.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100,197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25,990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(34,141)</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2,971</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62,107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8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March 31, 2013 was $100.2 million, consisting of changes in working capital and non-current assets and liabilities of $59.3 million, adjustments for non-cash items totaling $26.2 million, and net income of $14.7 million. The change in working capital resulted primarily from a $33.8 million decrease in other receivables representing the collection of client contributions outstanding as a result of the completion of a syndicated patent acquisition and licensing transaction, a $12.0 million decrease in accounts receivable and a $13.8 million increase in deferred revenue. The increase in deferred revenue was due to $67.8 million in revenue billings to new and existing clients and was partially offset by revenue recognized during the period of $54.0 million. The amount of deferred revenue in any given period varies with the addition of new clients, the mix of payment terms that we offer and the timing of invoicing existing clients. Non-cash adjustments to net income primarily consisted of $23.3 million of depreciation and amortization, $3.7 million of stock-based compensation, a reduction of $1.0 million due to excess tax benefit from stock-based compensation, $1.3 million of amortization of premium on investments and a $1.2 million net increase in our deferred tax liabilities.</w:t>
      </w:r>
    </w:p>
    <w:p>
      <w:pPr>
        <w:spacing w:after="0" w:line="189" w:lineRule="exact"/>
        <w:rPr>
          <w:sz w:val="20"/>
          <w:szCs w:val="20"/>
          <w:color w:val="auto"/>
        </w:rPr>
      </w:pPr>
    </w:p>
    <w:p>
      <w:pPr>
        <w:jc w:val="both"/>
        <w:ind w:right="200" w:firstLine="486"/>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March 31, 2012 was $26.0 million, consisting of adjustments for non-cash items of $17.0 million, net income of $8.1 million and changes in working capital and non-current assets and liabilities totaling $0.9 million. The change in working capital resulted primarily from a decrease in accounts receivable of $9.7 million, a decrease in accrued liabilities of $5.0 million, and a decrease in deferred revenue of $2.5 million. The decrease in deferred revenue was due to $44.1 million of revenue and other adjustments recognized during the period and was partially offset by revenue billings to new and existing clients of $41.6 million.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2013 was $40.1 million, of which $20.2 million represented net purchases of short-term marketable securities, $19.4 million represented our acquisitions of patent assets and $0.4 million represented our acquisitions of property and equipment. We expect our cash used in investing activities to increase in the future as we acquire additional patents.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2012 was $34.1 million, of which $21.4 million represented net purchases of short-term investments, $12.5 million represented our acquisitions of patent assets and $0.9 million represented acquisitions of property and equipment.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8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2013 was $2.0 million, the result of excess tax benefit from stock-based compensation of $1.0 million and proceeds from exercise of stock options of $1.0 million.</w:t>
      </w:r>
    </w:p>
    <w:p>
      <w:pPr>
        <w:spacing w:after="0" w:line="162"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2012 was $3.0 million, the result of excess tax benefit from stock-based compensation of $4.5 million and proceeds from exercise of stock options of $1.7 million, which were partially offset by $3.3 million of principal payments on our deferred payment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8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generally do not enter into long-term minimum purchase commitments. Our principal commitments consist of obligations under operating leases for office space. There were no substantial changes to our contractual obligations or commitments during the three months ended March 31, 2013 as presented under the heading “Contractual Obligations and Commitments” in Part II, Item 7 “Management’s Discussion and Analysis of Financial Condition and Results of Operations” or the heading “Commitments and Contingencies” in Note 14 of the Notes to Consolidated Financial Statements in Part II, Item 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“Consolidated Financial Statements and Supplementary Data” included in our Annual Report on Form 10-K for our fiscal year ended December 31, 2012.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8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At March 31, 2013,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79"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February 2013, the FASB issued Accounting Standards Update (“ASU”) 2013-02, </w:t>
      </w:r>
      <w:r>
        <w:rPr>
          <w:rFonts w:ascii="Times New Roman" w:cs="Times New Roman" w:eastAsia="Times New Roman" w:hAnsi="Times New Roman"/>
          <w:sz w:val="18"/>
          <w:szCs w:val="18"/>
          <w:i w:val="1"/>
          <w:iCs w:val="1"/>
          <w:color w:val="auto"/>
        </w:rPr>
        <w:t>Reporting of Amounts of Reclassified Out of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(“ASU 2013-02”), which amends</w:t>
      </w:r>
      <w:r>
        <w:rPr>
          <w:rFonts w:ascii="Times New Roman" w:cs="Times New Roman" w:eastAsia="Times New Roman" w:hAnsi="Times New Roman"/>
          <w:sz w:val="18"/>
          <w:szCs w:val="18"/>
          <w:i w:val="1"/>
          <w:iCs w:val="1"/>
          <w:color w:val="auto"/>
        </w:rPr>
        <w:t xml:space="preserve"> Comprehensive Income (Topic 220) </w:t>
      </w:r>
      <w:r>
        <w:rPr>
          <w:rFonts w:ascii="Times New Roman" w:cs="Times New Roman" w:eastAsia="Times New Roman" w:hAnsi="Times New Roman"/>
          <w:sz w:val="18"/>
          <w:szCs w:val="18"/>
          <w:color w:val="auto"/>
        </w:rPr>
        <w:t>in the Accounting Standards Codification (“ASC”).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require an entity to provide information about the amounts reclassified out of accumulated other comprehensive income by component. In addition, an entity is required to present significant amounts reclassified out of accumulated other comprehensive income by the respective line items of net income. The amendments in ASU 2013-02 are effective for our interim and annual fiscal periods beginning January 1, 2013. The adoption of ASU 2013-02 did not have a material impact on our financial position or results of operations.</w:t>
      </w:r>
    </w:p>
    <w:p>
      <w:pPr>
        <w:spacing w:after="0" w:line="18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October 2012, the FASB issued ASU 2012-04, </w:t>
      </w:r>
      <w:r>
        <w:rPr>
          <w:rFonts w:ascii="Times New Roman" w:cs="Times New Roman" w:eastAsia="Times New Roman" w:hAnsi="Times New Roman"/>
          <w:sz w:val="18"/>
          <w:szCs w:val="18"/>
          <w:i w:val="1"/>
          <w:iCs w:val="1"/>
          <w:color w:val="auto"/>
        </w:rPr>
        <w:t>Technical Corrections and Improvements</w:t>
      </w:r>
      <w:r>
        <w:rPr>
          <w:rFonts w:ascii="Times New Roman" w:cs="Times New Roman" w:eastAsia="Times New Roman" w:hAnsi="Times New Roman"/>
          <w:sz w:val="18"/>
          <w:szCs w:val="18"/>
          <w:color w:val="auto"/>
        </w:rPr>
        <w:t xml:space="preserve"> (“ASU 2012-04”), which amends a wide range of topics in the ASC. These amendments include technical corrections and improvements to the ASC and conforming amendments related to fair value measurements. The amendments in ASU 2012-04 are effective for our interim and annual fiscal periods beginning January 1, 2013. The adoption of ASU 2012-04 did not have a material impact on our financial position or results of operations.</w:t>
      </w:r>
    </w:p>
    <w:p>
      <w:pPr>
        <w:spacing w:after="0" w:line="180"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July 2012, the FASB issued ASU 2012-02, </w:t>
      </w:r>
      <w:r>
        <w:rPr>
          <w:rFonts w:ascii="Times New Roman" w:cs="Times New Roman" w:eastAsia="Times New Roman" w:hAnsi="Times New Roman"/>
          <w:sz w:val="18"/>
          <w:szCs w:val="18"/>
          <w:i w:val="1"/>
          <w:iCs w:val="1"/>
          <w:color w:val="auto"/>
        </w:rPr>
        <w:t>Intangibles - Goodwill and Other (Topic 350): Testing Indefinite-Lived Intangible Assets for Impairment</w:t>
      </w:r>
      <w:r>
        <w:rPr>
          <w:rFonts w:ascii="Times New Roman" w:cs="Times New Roman" w:eastAsia="Times New Roman" w:hAnsi="Times New Roman"/>
          <w:sz w:val="18"/>
          <w:szCs w:val="18"/>
          <w:color w:val="auto"/>
        </w:rPr>
        <w:t xml:space="preserve"> (“ASU 2012-02”), which amends ASU 2011-08, </w:t>
      </w:r>
      <w:r>
        <w:rPr>
          <w:rFonts w:ascii="Times New Roman" w:cs="Times New Roman" w:eastAsia="Times New Roman" w:hAnsi="Times New Roman"/>
          <w:sz w:val="18"/>
          <w:szCs w:val="18"/>
          <w:i w:val="1"/>
          <w:iCs w:val="1"/>
          <w:color w:val="auto"/>
        </w:rPr>
        <w:t>Intangibles - Goodwill and Other (Topic 350): Testing Indefinite-Lived Intangible Assets for Impairment</w:t>
      </w:r>
      <w:r>
        <w:rPr>
          <w:rFonts w:ascii="Times New Roman" w:cs="Times New Roman" w:eastAsia="Times New Roman" w:hAnsi="Times New Roman"/>
          <w:sz w:val="18"/>
          <w:szCs w:val="18"/>
          <w:color w:val="auto"/>
        </w:rPr>
        <w:t xml:space="preserve"> and permits an entity to first assess qualitative factors to determine whether it is more likely than not that an indefinite-lived intangible asset is impaired as a basis for determining whether it is necessary to perform the quantitative impairment test in accordance with Subtopic 350-30, </w:t>
      </w:r>
      <w:r>
        <w:rPr>
          <w:rFonts w:ascii="Times New Roman" w:cs="Times New Roman" w:eastAsia="Times New Roman" w:hAnsi="Times New Roman"/>
          <w:sz w:val="18"/>
          <w:szCs w:val="18"/>
          <w:i w:val="1"/>
          <w:iCs w:val="1"/>
          <w:color w:val="auto"/>
        </w:rPr>
        <w:t>Intangibles - Goodwill and Other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Intangibles Other than Goodwill</w:t>
      </w:r>
      <w:r>
        <w:rPr>
          <w:rFonts w:ascii="Times New Roman" w:cs="Times New Roman" w:eastAsia="Times New Roman" w:hAnsi="Times New Roman"/>
          <w:sz w:val="18"/>
          <w:szCs w:val="18"/>
          <w:color w:val="auto"/>
        </w:rPr>
        <w:t>. The amendments in ASU 2012-02 are effective for our interim and annual fiscal periods beginning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The adoption of ASU 2012-02 did not have a material impact on our financial position or results of operations.</w:t>
      </w:r>
    </w:p>
    <w:p>
      <w:pPr>
        <w:spacing w:after="0" w:line="1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8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8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incurred and denominated in the currencies where our other international offices are located. Our results of operations and cash flows are subject to fluctuations due to changes in foreign currency exchange rates, particularly changes in the Japanese Yen and the European Euro relative to the U.S. Dollar. To date, we have not entered into any foreign currency hedging contracts.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8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short-term investments of $283.4 million as of March 31, 2013. Our cash balances deposited in U.S. banks are non-interest bearing and insured up to the FDIC limits. Cash equivalents consist of institutional money market funds, U.S. government and agency securities, municipal bonds and commercial paper denominated primarily in U.S. Dollars. Interest rate fluctuations affect the returns on our invested funds.</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As of March 31, 2013, our short-term investments of $147.7 million were primarily invested in U.S. government and agency securities, commercial paper and corporate and municipal bonds maturing between 90 days and 12 months. As of March 31, 2013, our investments were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March 31, 2013, we had not recorded an impairment related to our investments in the condensed consolidated statement of operations.</w:t>
      </w:r>
    </w:p>
    <w:p>
      <w:pPr>
        <w:spacing w:after="0" w:line="188"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If overall interest rates had changed by 10% during the three months ended March 31, 2013, the fair value of our investments would not have been materially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Inflation</w:t>
      </w:r>
    </w:p>
    <w:p>
      <w:pPr>
        <w:spacing w:after="0" w:line="8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believe that inflation has not had a material impact on our consolidated results of operations for the three months ended March 31, 2013. There can be no assurance that future inflation will not have an adverse impact on our condensed consolidated results of operations or financial condition.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principal financial officer, evaluated the effectiveness of our disclosure controls and procedures as of March 31,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2013, our principal executive and principal financial officer concluded that, as of such date, the Company’s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which occurred during the period covered by this Quarterly Report on Form 10-Q which has materially affected, or is reasonably likely to materially affect, our internal control over financial reporting.</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81"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121" w:right="29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10 in our condensed consolidated financial statements, which is hereby incorporated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right="100" w:firstLine="446"/>
        <w:spacing w:after="0" w:line="273"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7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26"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were incorporated in July 2008. We acquired our first patent assets in September 2008 and sold our first membership in October 2008. Therefore, we have not only a limited operating history, but also a limited track record in executing our business model. Our future success depends on acceptance of our solution by companies we target to become clients. Our efforts to sell our solution to new and existing clients may not continue to be successful. We evaluate our business model from time to time in order to address the evolving needs of our clients and prospective clients, particularly in an industry that continues to develop and change. Furthermore, because we are a relatively new company with a limited operating history, current and prospective clients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8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10" w:lineRule="exact"/>
        <w:rPr>
          <w:sz w:val="20"/>
          <w:szCs w:val="20"/>
          <w:color w:val="auto"/>
        </w:rPr>
      </w:pPr>
    </w:p>
    <w:p>
      <w:pPr>
        <w:ind w:right="340" w:firstLine="446"/>
        <w:spacing w:after="0" w:line="256" w:lineRule="auto"/>
        <w:rPr>
          <w:sz w:val="20"/>
          <w:szCs w:val="20"/>
          <w:color w:val="auto"/>
        </w:rPr>
      </w:pPr>
      <w:r>
        <w:rPr>
          <w:rFonts w:ascii="Times New Roman" w:cs="Times New Roman" w:eastAsia="Times New Roman" w:hAnsi="Times New Roman"/>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and the timing of those acquisitions may result in significant quarterly fluctuations in our capital expenditures,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we need to pay to acquire patent assets;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including those attributable to additional headcount and the costs of new business initiatives;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subscription fees from clients whose annual subscription fees decrease due to declining operating income or revenue of such clients;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attributable to the formation and management of our risk retention group;</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non-renewals from existing clients for any reason;</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clients, including through acquisitions or consolidations;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subscription fee rates or changes in our own pricing and discounting policies or those of our competitors;</w:t>
      </w:r>
    </w:p>
    <w:p>
      <w:pPr>
        <w:spacing w:after="0" w:line="76"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acquire patent assets that are being asserted or may be asserted against our clients due to lack of availability, unfavorable pricing terms or otherwise;</w:t>
      </w:r>
    </w:p>
    <w:p>
      <w:pPr>
        <w:spacing w:after="0" w:line="13"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1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lengthy and unpredictable membership sales cycle, including delays in potential clients’ decisions whether to subscribe to our solution;</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ind w:left="820" w:right="16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accounting treatment associated with our acquisitions of patent assets, how we amortize those patent assets and how we recognize revenue under subscription agreements;</w:t>
      </w:r>
    </w:p>
    <w:p>
      <w:pPr>
        <w:spacing w:after="0" w:line="1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develop and implement new solutions that meet client requirements in a timely manner;</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clients’ and prospective clients’ costs of litigating patent infringement claims;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incurred in insurance policies underwritten by us;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key personnel;</w:t>
      </w:r>
    </w:p>
    <w:p>
      <w:pPr>
        <w:spacing w:after="0" w:line="76" w:lineRule="exact"/>
        <w:rPr>
          <w:rFonts w:ascii="Times New Roman" w:cs="Times New Roman" w:eastAsia="Times New Roman" w:hAnsi="Times New Roman"/>
          <w:sz w:val="18"/>
          <w:szCs w:val="18"/>
          <w:color w:val="auto"/>
        </w:rPr>
      </w:pPr>
    </w:p>
    <w:p>
      <w:pPr>
        <w:ind w:left="820" w:right="50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changes in the competitive dynamics of our market, including new competitors or substantial discounting of services that are viewed by our target market as competitive to ours;</w:t>
      </w:r>
    </w:p>
    <w:p>
      <w:pPr>
        <w:spacing w:after="0" w:line="13"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3"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in the industries that we serve, particularly as they affect the intellectual property risk management and/or litigation budgets of our existing or potential clients.</w:t>
      </w:r>
    </w:p>
    <w:p>
      <w:pPr>
        <w:spacing w:after="0" w:line="162"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patent risk management solution is immature, and if our solution is not widely accepted or is accepted more slowly than we expect, our operating results will be adversely affected.</w:t>
      </w:r>
    </w:p>
    <w:p>
      <w:pPr>
        <w:spacing w:after="0" w:line="10"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new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27"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our ability to significantly reduce patent litigation costs for a particular company;</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assertions from NPEs or decreased patent licensing fees owed to NPEs;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of NPEs to bring patent claims or limitations on the potential damages recoverable from such claims;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cost to our clients of defending patent assertion claims;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perceived relevance and value in our existing patent asset portfolio by existing or potential clients;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by existing or potential clients about our future ability to obtain rights to patent assets that are being or may be asserted against them;</w:t>
      </w:r>
    </w:p>
    <w:p>
      <w:pPr>
        <w:spacing w:after="0" w:line="63" w:lineRule="exact"/>
        <w:rPr>
          <w:rFonts w:ascii="Times New Roman" w:cs="Times New Roman" w:eastAsia="Times New Roman" w:hAnsi="Times New Roman"/>
          <w:sz w:val="18"/>
          <w:szCs w:val="18"/>
          <w:color w:val="auto"/>
        </w:rPr>
      </w:pPr>
    </w:p>
    <w:p>
      <w:pPr>
        <w:ind w:left="820" w:right="60" w:hanging="326"/>
        <w:spacing w:after="0" w:line="281"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incentives to renew memberships if clients have vested in perpetual licenses in all patent assets that they believe are materially relevant to their businesses;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interest by mid- and small-size companies in our patent risk management or insurance offerings;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incentive for companies to become clients because we do not assert our patent assets in litigation;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that we might change our current business model and assert our patent assets in litigation;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limitations for existing or potential clients;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adequate coverage for the risks and expenses we attempt to reduce is available from alternative products or services.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10"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appropriate metrics for establishing the annual subscription fees for our patent risk management solution. If the market for our solution develops more slowly than we anticipate, or if competitors introduce new solutions that compete with ours, we may be unable to renew our memberships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could harm our operating results. If we introduce a higher fee schedule in the future, it may be more difficult for us to attract new clients. In order to attract new clients and retain existing clients, in certain cases we have previously offered, and may in the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offer, discounts or other contractual incentives to clients who execute multi-year subscription agreements or who make client referrals.</w:t>
      </w:r>
    </w:p>
    <w:p>
      <w:pPr>
        <w:spacing w:after="0" w:line="22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10"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Under many of our existing subscription agreements, our annual subscription fee is based on a published fee schedule applicable to all of our clients that join our network while that fee schedule is in effect. Clients under such agreements are able to renew their memberships perpetually under the fee schedule in effect at the time that they joined our network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0"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will increasingly depend on clients renewing their subscription agreements, but we do not have an adequate operating history to predict the rate of membership renewals. Any significant decline in our membership renewals could harm our operating results.</w:t>
      </w:r>
    </w:p>
    <w:p>
      <w:pPr>
        <w:spacing w:after="0" w:line="10"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March 31, 2013 was 2.7 years. As our overall membership base grows, we expect our renewal rate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89"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0"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difficult for us to rapidly increase our revenue through additional sales in any period, as subscription fees from new clients must generally be recognized over the applicable membership term.</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10" w:lineRule="exact"/>
        <w:rPr>
          <w:sz w:val="20"/>
          <w:szCs w:val="20"/>
          <w:color w:val="auto"/>
        </w:rPr>
      </w:pPr>
    </w:p>
    <w:p>
      <w:pPr>
        <w:jc w:val="both"/>
        <w:ind w:right="340" w:firstLine="446"/>
        <w:spacing w:after="0" w:line="266" w:lineRule="auto"/>
        <w:rPr>
          <w:sz w:val="20"/>
          <w:szCs w:val="20"/>
          <w:color w:val="auto"/>
        </w:rPr>
      </w:pPr>
      <w:r>
        <w:rPr>
          <w:rFonts w:ascii="Times New Roman" w:cs="Times New Roman" w:eastAsia="Times New Roman" w:hAnsi="Times New Roman"/>
          <w:sz w:val="18"/>
          <w:szCs w:val="18"/>
          <w:color w:val="auto"/>
        </w:rPr>
        <w:t>Each client’s subscription fee is reset annually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176" w:lineRule="exact"/>
        <w:rPr>
          <w:sz w:val="20"/>
          <w:szCs w:val="20"/>
          <w:color w:val="auto"/>
        </w:rPr>
      </w:pPr>
    </w:p>
    <w:p>
      <w:pPr>
        <w:ind w:right="120" w:firstLine="446"/>
        <w:spacing w:after="0" w:line="261" w:lineRule="auto"/>
        <w:rPr>
          <w:sz w:val="20"/>
          <w:szCs w:val="20"/>
          <w:color w:val="auto"/>
        </w:rPr>
      </w:pPr>
      <w:r>
        <w:rPr>
          <w:rFonts w:ascii="Times New Roman" w:cs="Times New Roman" w:eastAsia="Times New Roman" w:hAnsi="Times New Roman"/>
          <w:sz w:val="18"/>
          <w:szCs w:val="18"/>
          <w:color w:val="auto"/>
        </w:rPr>
        <w:t>Our fee schedules generally provide that our subscription fee as a percentage of the client’s operating income decreases as their operating income goes up. In addition, many of our clients’ fee schedules are subject to an annual cap. As a result, if one of our clients acquires another client, our future revenue would be reduced as a result of the application of our fee schedule to the combined entity rather than to each entity separately. Any reduction in subscription fees could harm our business and operating results.</w:t>
      </w:r>
    </w:p>
    <w:p>
      <w:pPr>
        <w:spacing w:after="0" w:line="17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invested management time and resources into developing products designed to provide insurance against NPE patent infringement claims. We do not have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2" w:lineRule="exact"/>
        <w:rPr>
          <w:sz w:val="20"/>
          <w:szCs w:val="20"/>
          <w:color w:val="auto"/>
        </w:rPr>
      </w:pPr>
    </w:p>
    <w:p>
      <w:pPr>
        <w:ind w:right="100" w:firstLine="446"/>
        <w:spacing w:after="0" w:line="256" w:lineRule="auto"/>
        <w:rPr>
          <w:sz w:val="20"/>
          <w:szCs w:val="20"/>
          <w:color w:val="auto"/>
        </w:rPr>
      </w:pPr>
      <w:r>
        <w:rPr>
          <w:rFonts w:ascii="Times New Roman" w:cs="Times New Roman" w:eastAsia="Times New Roman" w:hAnsi="Times New Roman"/>
          <w:sz w:val="18"/>
          <w:szCs w:val="18"/>
          <w:color w:val="auto"/>
        </w:rPr>
        <w:t>We have invested management time and financial resources in the development of products designed to provide insurance against NPE patent claims. We have also provided capital to develop and operate this business. We do not have prior experience in designing insurance products, operating an insurance business, attracting policyholders or establishing the pricing or terms of insurance policies.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various actuarial models in pricing our insurance product and estimate the frequency and severity of related loss events, but actual results could differ materially from the model outputs. Incurring losses that exceed our predictions could adversely affect our financial condition and results of operations.</w:t>
      </w:r>
    </w:p>
    <w:p>
      <w:pPr>
        <w:spacing w:after="0" w:line="26"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employ various predictive modeling, stochastic modeling and/or actuarial techniques to analyze and estimate losses and the risks associated with insurance policies that we underwrite. We utilize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8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26"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84"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76" w:lineRule="exact"/>
        <w:rPr>
          <w:sz w:val="20"/>
          <w:szCs w:val="20"/>
          <w:color w:val="auto"/>
        </w:rPr>
      </w:pPr>
    </w:p>
    <w:p>
      <w:pPr>
        <w:jc w:val="both"/>
        <w:ind w:right="100" w:firstLine="446"/>
        <w:spacing w:after="0" w:line="261" w:lineRule="auto"/>
        <w:rPr>
          <w:sz w:val="20"/>
          <w:szCs w:val="20"/>
          <w:color w:val="auto"/>
        </w:rPr>
      </w:pPr>
      <w:r>
        <w:rPr>
          <w:rFonts w:ascii="Times New Roman" w:cs="Times New Roman" w:eastAsia="Times New Roman" w:hAnsi="Times New Roman"/>
          <w:sz w:val="18"/>
          <w:szCs w:val="18"/>
          <w:color w:val="auto"/>
        </w:rPr>
        <w:t>If clients do not perceive that the patent assets we acquire are relevant to their businesses, we will have difficulty attracting new clients and renewing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10"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4"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In addition to competing for new clients, we also compete to acquire patent assets. Our primary competitors in the market for patent assets include other entities that seek to accumulate patent assets, including NPEs such as Acacia Research, Intellectual Ventures and IP Navigation.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89" w:lineRule="exact"/>
        <w:rPr>
          <w:sz w:val="20"/>
          <w:szCs w:val="20"/>
          <w:color w:val="auto"/>
        </w:rPr>
      </w:pPr>
    </w:p>
    <w:p>
      <w:pPr>
        <w:ind w:right="20" w:firstLine="446"/>
        <w:spacing w:after="0" w:line="266" w:lineRule="auto"/>
        <w:rPr>
          <w:sz w:val="20"/>
          <w:szCs w:val="20"/>
          <w:color w:val="auto"/>
        </w:rPr>
      </w:pPr>
      <w:r>
        <w:rPr>
          <w:rFonts w:ascii="Times New Roman" w:cs="Times New Roman" w:eastAsia="Times New Roman" w:hAnsi="Times New Roman"/>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76" w:lineRule="exact"/>
        <w:rPr>
          <w:sz w:val="20"/>
          <w:szCs w:val="20"/>
          <w:color w:val="auto"/>
        </w:rPr>
      </w:pPr>
    </w:p>
    <w:p>
      <w:pPr>
        <w:ind w:right="180" w:firstLine="446"/>
        <w:spacing w:after="0" w:line="258" w:lineRule="auto"/>
        <w:rPr>
          <w:sz w:val="20"/>
          <w:szCs w:val="20"/>
          <w:color w:val="auto"/>
        </w:rPr>
      </w:pPr>
      <w:r>
        <w:rPr>
          <w:rFonts w:ascii="Times New Roman" w:cs="Times New Roman" w:eastAsia="Times New Roman" w:hAnsi="Times New Roman"/>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acquisitions of patent assets are time consuming, complex and costly, which could adversely affect our operating results.</w:t>
      </w:r>
    </w:p>
    <w:p>
      <w:pPr>
        <w:spacing w:after="0" w:line="81" w:lineRule="exact"/>
        <w:rPr>
          <w:sz w:val="20"/>
          <w:szCs w:val="20"/>
          <w:color w:val="auto"/>
        </w:rPr>
      </w:pPr>
    </w:p>
    <w:p>
      <w:pPr>
        <w:ind w:right="120" w:firstLine="446"/>
        <w:spacing w:after="0" w:line="255" w:lineRule="auto"/>
        <w:rPr>
          <w:sz w:val="20"/>
          <w:szCs w:val="20"/>
          <w:color w:val="auto"/>
        </w:rPr>
      </w:pPr>
      <w:r>
        <w:rPr>
          <w:rFonts w:ascii="Times New Roman" w:cs="Times New Roman" w:eastAsia="Times New Roman" w:hAnsi="Times New Roman"/>
          <w:sz w:val="18"/>
          <w:szCs w:val="18"/>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89"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are complex and can be large and high profile. We may incur significant costs to organize and negotiate a structured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10"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plan to substantially increase our operating expenses to expand our operations, and those increased expenses may negatively impact our profitability.</w:t>
      </w:r>
    </w:p>
    <w:p>
      <w:pPr>
        <w:spacing w:after="0" w:line="81" w:lineRule="exact"/>
        <w:rPr>
          <w:sz w:val="20"/>
          <w:szCs w:val="20"/>
          <w:color w:val="auto"/>
        </w:rPr>
      </w:pPr>
    </w:p>
    <w:p>
      <w:pPr>
        <w:jc w:val="both"/>
        <w:ind w:right="40" w:firstLine="446"/>
        <w:spacing w:after="0" w:line="258" w:lineRule="auto"/>
        <w:rPr>
          <w:sz w:val="20"/>
          <w:szCs w:val="20"/>
          <w:color w:val="auto"/>
        </w:rPr>
      </w:pPr>
      <w:r>
        <w:rPr>
          <w:rFonts w:ascii="Times New Roman" w:cs="Times New Roman" w:eastAsia="Times New Roman" w:hAnsi="Times New Roman"/>
          <w:sz w:val="18"/>
          <w:szCs w:val="18"/>
          <w:color w:val="auto"/>
        </w:rPr>
        <w:t>We expect to increase future expenditures to develop and expand our business, including making substantial expenditures to develop new solutions. To further one of those new solutions, we formed a risk retention group which issues insurance policies to cover the costs of NPE patent claims. Developing and offering this new solution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84" w:lineRule="exact"/>
        <w:rPr>
          <w:sz w:val="20"/>
          <w:szCs w:val="20"/>
          <w:color w:val="auto"/>
        </w:rPr>
      </w:pPr>
    </w:p>
    <w:p>
      <w:pPr>
        <w:ind w:right="420" w:firstLine="446"/>
        <w:spacing w:after="0" w:line="266" w:lineRule="auto"/>
        <w:rPr>
          <w:sz w:val="20"/>
          <w:szCs w:val="20"/>
          <w:color w:val="auto"/>
        </w:rPr>
      </w:pPr>
      <w:r>
        <w:rPr>
          <w:rFonts w:ascii="Times New Roman" w:cs="Times New Roman" w:eastAsia="Times New Roman" w:hAnsi="Times New Roman"/>
          <w:sz w:val="18"/>
          <w:szCs w:val="18"/>
          <w:color w:val="auto"/>
        </w:rPr>
        <w:t>We also plan to incur additional operating expenses as we hire new personnel. From January 1 through March 31, 2013, our headcount remained unchanged at 125 employees.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10"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more small and mid-size companies, our growth may slow, and our business may be harmed.</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10"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We receive a significant amount of our revenue from a limited number of clients. For example, during the three months ended March 31, 2013, our 10 highest revenue-generating clients accounted for approximately 32%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10" w:lineRule="exact"/>
        <w:rPr>
          <w:sz w:val="20"/>
          <w:szCs w:val="20"/>
          <w:color w:val="auto"/>
        </w:rPr>
      </w:pPr>
    </w:p>
    <w:p>
      <w:pPr>
        <w:ind w:right="200" w:firstLine="446"/>
        <w:spacing w:after="0" w:line="266" w:lineRule="auto"/>
        <w:rPr>
          <w:sz w:val="20"/>
          <w:szCs w:val="20"/>
          <w:color w:val="auto"/>
        </w:rPr>
      </w:pPr>
      <w:r>
        <w:rPr>
          <w:rFonts w:ascii="Times New Roman" w:cs="Times New Roman" w:eastAsia="Times New Roman" w:hAnsi="Times New Roman"/>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w:t>
      </w:r>
    </w:p>
    <w:p>
      <w:pPr>
        <w:spacing w:after="0" w:line="176"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10"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If Congress, the United States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the number of defendants that can be joined in a single patent litigation action,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to our business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Following the launch of insurance products for NPE patent infringement claims, we now face the risks associated with operating an insurance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these risks, our results of operations and financial condition may be adversely affected.</w:t>
      </w:r>
    </w:p>
    <w:p>
      <w:pPr>
        <w:spacing w:after="0" w:line="58"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We recently started to offer insurance products for NPE patent claims, and therefore face new risks associated with the operation of an insurance business. We have no prior experience in operating an insurance business, which includes assuming underwriting risk and setting premiums. There are many estimates and forecasts involved in predicting underwriting risk and setting premiums, many of which are subject to substantial uncertainty and which could cause our expenses and earnings to vary significantly from quarter to quarter. If we do not estimate our underwriting risks and set our premiums successfully, we may incur larger losses on our policies than we expect, which could have an adverse effect on our results of operations and financial condition. Under GAAP, while revenue is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8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spacing w:after="0" w:line="10"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We have substantially expanded our overall business, headcount and operations in recent periods. We plan to expand our operations and headcount in the future in order to support our efforts to increase our membership base, continue to acquire valuable patent assets and develop additional solutions. Further, increases in our membership base could challenge our ability to provide satisfactory service and support to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10" w:lineRule="exact"/>
        <w:rPr>
          <w:sz w:val="20"/>
          <w:szCs w:val="20"/>
          <w:color w:val="auto"/>
        </w:rPr>
      </w:pPr>
    </w:p>
    <w:p>
      <w:pPr>
        <w:ind w:right="260" w:firstLine="446"/>
        <w:spacing w:after="0" w:line="261" w:lineRule="auto"/>
        <w:rPr>
          <w:sz w:val="20"/>
          <w:szCs w:val="20"/>
          <w:color w:val="auto"/>
        </w:rPr>
      </w:pPr>
      <w:r>
        <w:rPr>
          <w:rFonts w:ascii="Times New Roman" w:cs="Times New Roman" w:eastAsia="Times New Roman" w:hAnsi="Times New Roman"/>
          <w:sz w:val="18"/>
          <w:szCs w:val="18"/>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patent or other litigation proceedings related to our clients. Our involvement could cause us to expend significant resources.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could also require us to disclose information related to our clients, which could cause such clients not to renew their subscriptions with us.</w:t>
      </w:r>
    </w:p>
    <w:p>
      <w:pPr>
        <w:spacing w:after="0" w:line="58" w:lineRule="exact"/>
        <w:rPr>
          <w:sz w:val="20"/>
          <w:szCs w:val="20"/>
          <w:color w:val="auto"/>
        </w:rPr>
      </w:pPr>
    </w:p>
    <w:p>
      <w:pPr>
        <w:ind w:right="60" w:firstLine="446"/>
        <w:spacing w:after="0" w:line="253" w:lineRule="auto"/>
        <w:rPr>
          <w:sz w:val="20"/>
          <w:szCs w:val="20"/>
          <w:color w:val="auto"/>
        </w:rPr>
      </w:pPr>
      <w:r>
        <w:rPr>
          <w:rFonts w:ascii="Times New Roman" w:cs="Times New Roman" w:eastAsia="Times New Roman" w:hAnsi="Times New Roman"/>
          <w:sz w:val="18"/>
          <w:szCs w:val="18"/>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For example, on March 7, 2012, a lawsuit was filed against the Company and some of its clients (the “Defendants”). The complaint alleges that the Defendants violated federal antitrust law, California antitrust law and California unfair competition law. The plaintiff seeks unspecified monetary damages and injunctive relief. The Company is not currently able to determine whether there is a reasonable possibility that a loss will be incurred nor can it estimate the potential loss or range of the potential loss that may result from this litigation. We may incur significant costs in defending this claim and the result may not be favorable. An unfavorable outcome of this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Interpretations of current laws and the passage of future laws could harm our business and operating results.</w:t>
      </w:r>
    </w:p>
    <w:p>
      <w:pPr>
        <w:spacing w:after="0" w:line="81"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8"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10"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technologies, services and personnel;</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financial and accounting challenges and complexities in areas such as tax planning, cash management and financial reporting;</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right="440" w:firstLine="446"/>
        <w:spacing w:after="0" w:line="282" w:lineRule="auto"/>
        <w:rPr>
          <w:sz w:val="20"/>
          <w:szCs w:val="20"/>
          <w:color w:val="auto"/>
        </w:rPr>
      </w:pPr>
      <w:r>
        <w:rPr>
          <w:rFonts w:ascii="Times New Roman" w:cs="Times New Roman" w:eastAsia="Times New Roman" w:hAnsi="Times New Roman"/>
          <w:sz w:val="18"/>
          <w:szCs w:val="18"/>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awareness cost-effectively, we may not attract new clients and our business and operating results may suffer.</w:t>
      </w:r>
    </w:p>
    <w:p>
      <w:pPr>
        <w:spacing w:after="0" w:line="81"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10"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identify, attract, train, integrate and retain highly qualified employees would harm our business.</w:t>
      </w:r>
    </w:p>
    <w:p>
      <w:pPr>
        <w:spacing w:after="0" w:line="81"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that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integrate our new Chief Financial Officer and adapt to changes in the company’s management team, our ability to execute our business plan may suffer, which could have an adverse effect on our future growth, operating results and stock price.</w:t>
      </w:r>
    </w:p>
    <w:p>
      <w:pPr>
        <w:spacing w:after="0" w:line="10" w:lineRule="exact"/>
        <w:rPr>
          <w:sz w:val="20"/>
          <w:szCs w:val="20"/>
          <w:color w:val="auto"/>
        </w:rPr>
      </w:pPr>
    </w:p>
    <w:p>
      <w:pPr>
        <w:ind w:right="80" w:firstLine="446"/>
        <w:spacing w:after="0" w:line="274" w:lineRule="auto"/>
        <w:rPr>
          <w:sz w:val="20"/>
          <w:szCs w:val="20"/>
          <w:color w:val="auto"/>
        </w:rPr>
      </w:pPr>
      <w:r>
        <w:rPr>
          <w:rFonts w:ascii="Times New Roman" w:cs="Times New Roman" w:eastAsia="Times New Roman" w:hAnsi="Times New Roman"/>
          <w:sz w:val="17"/>
          <w:szCs w:val="17"/>
          <w:color w:val="auto"/>
        </w:rPr>
        <w:t>On September 1, 2012, Geoffrey T. Barker transitioned from his former position as Chief Operating Officer to a strategic role as an Executive Director. In addition, Ned Segal recently succeeded Adam Spiegel as our Chief Financial Officer. As a result of these changes in personnel and positions, the members of our management team have assumed new responsibilities. Our ability to execute our business plan will depend in part on our ability to successfully integrate our new Chief Financial Officer into the management team and our management team’s ability to develop new working relationships and adapt to changing responsibilities. Our stock price will also depend in part on our investors’ confidence in our new management team. Any actual or perceived inability of our management team to execute our business plan could have an adverse effect on our future growth, operating results and stock price.</w:t>
      </w:r>
    </w:p>
    <w:p>
      <w:pPr>
        <w:spacing w:after="0" w:line="1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10" w:lineRule="exact"/>
        <w:rPr>
          <w:sz w:val="20"/>
          <w:szCs w:val="20"/>
          <w:color w:val="auto"/>
        </w:rPr>
      </w:pPr>
    </w:p>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84" w:lineRule="exact"/>
        <w:rPr>
          <w:sz w:val="20"/>
          <w:szCs w:val="20"/>
          <w:color w:val="auto"/>
        </w:rPr>
      </w:pPr>
    </w:p>
    <w:p>
      <w:pPr>
        <w:jc w:val="both"/>
        <w:ind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26" w:lineRule="exact"/>
        <w:rPr>
          <w:sz w:val="20"/>
          <w:szCs w:val="20"/>
          <w:color w:val="auto"/>
        </w:rPr>
      </w:pPr>
    </w:p>
    <w:p>
      <w:pPr>
        <w:ind w:right="20" w:firstLine="446"/>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increased costs that may adversely affect our operating results and financial condition.</w:t>
      </w:r>
    </w:p>
    <w:p>
      <w:pPr>
        <w:spacing w:after="0" w:line="81" w:lineRule="exact"/>
        <w:rPr>
          <w:sz w:val="20"/>
          <w:szCs w:val="20"/>
          <w:color w:val="auto"/>
        </w:rPr>
      </w:pPr>
    </w:p>
    <w:p>
      <w:pPr>
        <w:ind w:right="200" w:firstLine="446"/>
        <w:spacing w:after="0" w:line="282" w:lineRule="auto"/>
        <w:rPr>
          <w:sz w:val="20"/>
          <w:szCs w:val="20"/>
          <w:color w:val="auto"/>
        </w:rPr>
      </w:pPr>
      <w:r>
        <w:rPr>
          <w:rFonts w:ascii="Times New Roman" w:cs="Times New Roman" w:eastAsia="Times New Roman" w:hAnsi="Times New Roman"/>
          <w:sz w:val="18"/>
          <w:szCs w:val="18"/>
          <w:color w:val="auto"/>
        </w:rPr>
        <w:t>As a public company, we incur significant accounting, legal and other expenses that we did not incur as a private company, including costs associated with our public company reporting requirements. We have also incurred, and anticipate that we will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continue to incur, costs associated with corporate governance requirements, including requirements under the Sarbanes-Oxley Act of 2002 and the Dodd-Frank Wall Street Reform and Consumer Protection Act, as well as rules implemented by the SEC and The NASDAQ Stock Market. Furthermore,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New laws and regulations as well as changes to existing laws and regulations affecting public companies, including the provisions of the Sarbanes-Oxley Act of 2002, the Dodd-Frank Wall Street Reform and Consumer Protection Act and rules adopted by the SEC and by The NASDAQ Stock Market, would likely result in increased costs to us as we respond to their requirements. We are investing resources to comply with evolving laws and regulations, and this investment may result in increased general and administrative expenses and a diversion of management’s time and attention from revenue-generating activities to compliance activities. Such increased expenses, the difficulty of attracting and retaining qualified officers and directors, and the diversion of management’s attention could adversely affect our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rates or exposure to additional tax liabilities could adversely affect our earnings and financial condition.</w:t>
      </w:r>
    </w:p>
    <w:p>
      <w:pPr>
        <w:spacing w:after="0" w:line="81"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Significant judgment is required in determining our provision for income taxes and other tax liabilities. In the ordinary course of our business, there are intercompany transactions and calculations where the ultimate tax determination is uncertain. Our income tax returns are routinely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4" w:lineRule="exact"/>
        <w:rPr>
          <w:sz w:val="20"/>
          <w:szCs w:val="20"/>
          <w:color w:val="auto"/>
        </w:rPr>
      </w:pPr>
    </w:p>
    <w:p>
      <w:pPr>
        <w:jc w:val="both"/>
        <w:ind w:right="80" w:firstLine="446"/>
        <w:spacing w:after="0" w:line="266" w:lineRule="auto"/>
        <w:rPr>
          <w:sz w:val="20"/>
          <w:szCs w:val="20"/>
          <w:color w:val="auto"/>
        </w:rPr>
      </w:pPr>
      <w:r>
        <w:rPr>
          <w:rFonts w:ascii="Times New Roman" w:cs="Times New Roman" w:eastAsia="Times New Roman" w:hAnsi="Times New Roman"/>
          <w:sz w:val="18"/>
          <w:szCs w:val="18"/>
          <w:color w:val="auto"/>
        </w:rPr>
        <w:t>We are also subject to non-income taxes, such as payroll, sales, use, value-added, net worth, property and goods and services taxes in the United States and various foreign jurisdictions. We are routinely under audit by tax authorities with respect to these non-income taxes and may have exposure to additional non-income tax liabilities that could have an adverse effect on our results of operations and financial condition.</w:t>
      </w:r>
    </w:p>
    <w:p>
      <w:pPr>
        <w:spacing w:after="0" w:line="176"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In addition, our future effective tax rates could be favorably or unfavorably affected by changes in tax rates, changes in the valuation of our deferred tax assets or liabilities, changes in our legal structure or changes in tax laws or their interpretation. Such changes could have a material adverse impact on our financial results.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10"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vary as a result of the methods, estimates and judgments we use in applying our accounting policies.</w:t>
      </w:r>
    </w:p>
    <w:p>
      <w:pPr>
        <w:spacing w:after="0" w:line="8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coverage may not be available to us in the future at commercially reasonable rates or at all.</w:t>
      </w:r>
    </w:p>
    <w:p>
      <w:pPr>
        <w:spacing w:after="0" w:line="81" w:lineRule="exact"/>
        <w:rPr>
          <w:sz w:val="20"/>
          <w:szCs w:val="20"/>
          <w:color w:val="auto"/>
        </w:rPr>
      </w:pPr>
    </w:p>
    <w:p>
      <w:pPr>
        <w:ind w:right="200" w:firstLine="446"/>
        <w:spacing w:after="0" w:line="258" w:lineRule="auto"/>
        <w:rPr>
          <w:sz w:val="20"/>
          <w:szCs w:val="20"/>
          <w:color w:val="auto"/>
        </w:rPr>
      </w:pPr>
      <w:r>
        <w:rPr>
          <w:rFonts w:ascii="Times New Roman" w:cs="Times New Roman" w:eastAsia="Times New Roman" w:hAnsi="Times New Roman"/>
          <w:sz w:val="18"/>
          <w:szCs w:val="18"/>
          <w:color w:val="auto"/>
        </w:rPr>
        <w:t>As of March 31, 2013, we had secured quota share reinsurance for 50% of the risk underwritten through our NPE insurance product offering. The availability and cost of reinsurance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10" w:lineRule="exact"/>
        <w:rPr>
          <w:sz w:val="20"/>
          <w:szCs w:val="20"/>
          <w:color w:val="auto"/>
        </w:rPr>
      </w:pPr>
    </w:p>
    <w:p>
      <w:pPr>
        <w:ind w:right="140" w:firstLine="446"/>
        <w:spacing w:after="0" w:line="256" w:lineRule="auto"/>
        <w:rPr>
          <w:sz w:val="20"/>
          <w:szCs w:val="20"/>
          <w:color w:val="auto"/>
        </w:rPr>
      </w:pPr>
      <w:r>
        <w:rPr>
          <w:rFonts w:ascii="Times New Roman" w:cs="Times New Roman" w:eastAsia="Times New Roman" w:hAnsi="Times New Roman"/>
          <w:sz w:val="18"/>
          <w:szCs w:val="18"/>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10"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18"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condition and operating results;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our operating results or changes in recommendations by any securities analysts that elect to follow our common stock;</w:t>
      </w:r>
    </w:p>
    <w:p>
      <w:pPr>
        <w:spacing w:after="0" w:line="63" w:lineRule="exact"/>
        <w:rPr>
          <w:rFonts w:ascii="Times New Roman" w:cs="Times New Roman" w:eastAsia="Times New Roman" w:hAnsi="Times New Roman"/>
          <w:sz w:val="18"/>
          <w:szCs w:val="18"/>
          <w:color w:val="auto"/>
        </w:rPr>
      </w:pPr>
    </w:p>
    <w:p>
      <w:pPr>
        <w:ind w:left="820" w:right="820" w:hanging="326"/>
        <w:spacing w:after="0" w:line="281"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or modification of laws, regulations, policies, procedures or programs applicable to our business, including those related to the enforcement of patent claims;</w:t>
      </w:r>
    </w:p>
    <w:p>
      <w:pPr>
        <w:spacing w:after="0" w:line="1" w:lineRule="exact"/>
        <w:rPr>
          <w:rFonts w:ascii="Times New Roman" w:cs="Times New Roman" w:eastAsia="Times New Roman" w:hAnsi="Times New Roman"/>
          <w:sz w:val="18"/>
          <w:szCs w:val="18"/>
          <w:color w:val="auto"/>
        </w:rPr>
      </w:pPr>
    </w:p>
    <w:p>
      <w:pPr>
        <w:ind w:left="820" w:right="80" w:hanging="326"/>
        <w:spacing w:after="0" w:line="281"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products and services, acquisitions, strategic alliances or significant agreements by us or by our competitors;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clients;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members of our Board of Directors, management team or other key personnel;</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and the economy as a whole;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or resulting from inconsistent trading volume levels of our shares;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or closing of our employee trading window.</w:t>
      </w:r>
    </w:p>
    <w:p>
      <w:pPr>
        <w:spacing w:after="0" w:line="225" w:lineRule="exact"/>
        <w:rPr>
          <w:sz w:val="20"/>
          <w:szCs w:val="20"/>
          <w:color w:val="auto"/>
        </w:rPr>
      </w:pPr>
    </w:p>
    <w:p>
      <w:pPr>
        <w:ind w:right="200" w:firstLine="446"/>
        <w:spacing w:after="0" w:line="266" w:lineRule="auto"/>
        <w:rPr>
          <w:sz w:val="20"/>
          <w:szCs w:val="20"/>
          <w:color w:val="auto"/>
        </w:rPr>
      </w:pPr>
      <w:r>
        <w:rPr>
          <w:rFonts w:ascii="Times New Roman" w:cs="Times New Roman" w:eastAsia="Times New Roman" w:hAnsi="Times New Roman"/>
          <w:sz w:val="18"/>
          <w:szCs w:val="18"/>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three largest stockholders and our directors and executive officers, in the aggregate, own approximately 37% of our outstanding common stock and will be able to exercise substantial control over all matters requiring stockholder approval. This concentration of ownership limits your ability to influence corporate matters.</w:t>
      </w:r>
    </w:p>
    <w:p>
      <w:pPr>
        <w:spacing w:after="0" w:line="26" w:lineRule="exact"/>
        <w:rPr>
          <w:sz w:val="20"/>
          <w:szCs w:val="20"/>
          <w:color w:val="auto"/>
        </w:rPr>
      </w:pPr>
    </w:p>
    <w:p>
      <w:pPr>
        <w:ind w:right="460" w:firstLine="446"/>
        <w:spacing w:after="0" w:line="261" w:lineRule="auto"/>
        <w:rPr>
          <w:sz w:val="20"/>
          <w:szCs w:val="20"/>
          <w:color w:val="auto"/>
        </w:rPr>
      </w:pPr>
      <w:r>
        <w:rPr>
          <w:rFonts w:ascii="Times New Roman" w:cs="Times New Roman" w:eastAsia="Times New Roman" w:hAnsi="Times New Roman"/>
          <w:sz w:val="18"/>
          <w:szCs w:val="18"/>
          <w:color w:val="auto"/>
        </w:rPr>
        <w:t>As of March 31, 2013, affiliates of Index Ventures, affiliates of Charles River Ventures and KPCB Holdings, Inc. each beneficially owned approximately 8%, 10% and 10%, respectively, of our outstanding common stock, and our directors and executive officers and their affiliates, in the aggregate, beneficially owned approximately an additional 9% of our outstanding common stock. As a result, these stockholders will be able to exercise substantial control over all matters requiring stockholder approval, including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election of directors and approval of significant corporate transactions, such as a merger or other sale of our company or its assets. This concentration of ownership will limit your ability to influence corporate matters and may have the effect of delaying or preventing a third party from acquiring control over us. In addition, each of Index Ventures, Charles River Ventures and KPCB Holdings, Inc. currently has a representative on our Board of Directors.</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10"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10" w:lineRule="exact"/>
        <w:rPr>
          <w:sz w:val="20"/>
          <w:szCs w:val="20"/>
          <w:color w:val="auto"/>
        </w:rPr>
      </w:pPr>
    </w:p>
    <w:p>
      <w:pPr>
        <w:ind w:right="100" w:firstLine="446"/>
        <w:spacing w:after="0" w:line="266" w:lineRule="auto"/>
        <w:rPr>
          <w:sz w:val="20"/>
          <w:szCs w:val="20"/>
          <w:color w:val="auto"/>
        </w:rPr>
      </w:pPr>
      <w:r>
        <w:rPr>
          <w:rFonts w:ascii="Times New Roman" w:cs="Times New Roman" w:eastAsia="Times New Roman" w:hAnsi="Times New Roman"/>
          <w:sz w:val="18"/>
          <w:szCs w:val="18"/>
          <w:color w:val="auto"/>
        </w:rPr>
        <w:t>If our existing stockholders, particularly our directors and executive officers and the venture capital funds affiliated with our current directors, sell substantial amounts of our common stock in the public market, or are perceived by the public market as intending to sell substantial amounts of our common stock, the trading price of our common stock could decline.</w:t>
      </w:r>
    </w:p>
    <w:p>
      <w:pPr>
        <w:spacing w:after="0" w:line="176" w:lineRule="exact"/>
        <w:rPr>
          <w:sz w:val="20"/>
          <w:szCs w:val="20"/>
          <w:color w:val="auto"/>
        </w:rPr>
      </w:pPr>
    </w:p>
    <w:p>
      <w:pPr>
        <w:ind w:right="120" w:firstLine="446"/>
        <w:spacing w:after="0" w:line="266" w:lineRule="auto"/>
        <w:rPr>
          <w:sz w:val="20"/>
          <w:szCs w:val="20"/>
          <w:color w:val="auto"/>
        </w:rPr>
      </w:pPr>
      <w:r>
        <w:rPr>
          <w:rFonts w:ascii="Times New Roman" w:cs="Times New Roman" w:eastAsia="Times New Roman" w:hAnsi="Times New Roman"/>
          <w:sz w:val="18"/>
          <w:szCs w:val="18"/>
          <w:color w:val="auto"/>
        </w:rPr>
        <w:t>As of March 31, 2013, some of our existing stockholders have demand and piggyback rights to require us to register with the SEC approximately 18,500,000 shares of our common stock. If we register these shares of common stock, the stockholders would be able to sell those shares freely in the public market.</w:t>
      </w:r>
    </w:p>
    <w:p>
      <w:pPr>
        <w:spacing w:after="0" w:line="176" w:lineRule="exact"/>
        <w:rPr>
          <w:sz w:val="20"/>
          <w:szCs w:val="20"/>
          <w:color w:val="auto"/>
        </w:rPr>
      </w:pPr>
    </w:p>
    <w:p>
      <w:pPr>
        <w:ind w:right="440" w:firstLine="446"/>
        <w:spacing w:after="0" w:line="282" w:lineRule="auto"/>
        <w:rPr>
          <w:sz w:val="20"/>
          <w:szCs w:val="20"/>
          <w:color w:val="auto"/>
        </w:rPr>
      </w:pPr>
      <w:r>
        <w:rPr>
          <w:rFonts w:ascii="Times New Roman" w:cs="Times New Roman" w:eastAsia="Times New Roman" w:hAnsi="Times New Roman"/>
          <w:sz w:val="18"/>
          <w:szCs w:val="18"/>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62" w:lineRule="exact"/>
        <w:rPr>
          <w:sz w:val="20"/>
          <w:szCs w:val="20"/>
          <w:color w:val="auto"/>
        </w:rPr>
      </w:pPr>
    </w:p>
    <w:p>
      <w:pPr>
        <w:ind w:right="340" w:firstLine="446"/>
        <w:spacing w:after="0" w:line="282" w:lineRule="auto"/>
        <w:rPr>
          <w:sz w:val="20"/>
          <w:szCs w:val="20"/>
          <w:color w:val="auto"/>
        </w:rPr>
      </w:pPr>
      <w:r>
        <w:rPr>
          <w:rFonts w:ascii="Times New Roman" w:cs="Times New Roman" w:eastAsia="Times New Roman" w:hAnsi="Times New Roman"/>
          <w:sz w:val="18"/>
          <w:szCs w:val="18"/>
          <w:color w:val="auto"/>
        </w:rPr>
        <w:t>If any of these additional shares described are sold, or if it is perceived that they will be sold, in the public market, the trading price of our common stock could decline.</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26"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0" w:lineRule="exact"/>
        <w:rPr>
          <w:sz w:val="20"/>
          <w:szCs w:val="20"/>
          <w:color w:val="auto"/>
        </w:rPr>
      </w:pPr>
    </w:p>
    <w:p>
      <w:pPr>
        <w:ind w:right="140" w:firstLine="446"/>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22"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thwart a takeover attempt;</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majority stockholder vote;</w:t>
      </w:r>
    </w:p>
    <w:p>
      <w:pPr>
        <w:spacing w:after="0" w:line="63" w:lineRule="exact"/>
        <w:rPr>
          <w:rFonts w:ascii="Times New Roman" w:cs="Times New Roman" w:eastAsia="Times New Roman" w:hAnsi="Times New Roman"/>
          <w:sz w:val="18"/>
          <w:szCs w:val="18"/>
          <w:color w:val="auto"/>
        </w:rPr>
      </w:pPr>
    </w:p>
    <w:p>
      <w:pPr>
        <w:ind w:left="820" w:right="100" w:hanging="326"/>
        <w:spacing w:after="0" w:line="28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including newly created directorships, may be filled only by a majority vote of directors then in office;</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special meetings of stockholders;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stockholders with the ability to cumulate their votes;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06" w:lineRule="exact"/>
        <w:rPr>
          <w:sz w:val="20"/>
          <w:szCs w:val="20"/>
          <w:color w:val="auto"/>
        </w:rPr>
      </w:pPr>
    </w:p>
    <w:p>
      <w:pPr>
        <w:ind w:left="820" w:right="180" w:hanging="326"/>
        <w:spacing w:after="0" w:line="281"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stockholder voting to effect certain amendments to our amended and restated certificate of incorporation and amended and restated bylaws; and</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notification of stockholder nominations and proposals.</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10" w:lineRule="exact"/>
        <w:rPr>
          <w:sz w:val="20"/>
          <w:szCs w:val="20"/>
          <w:color w:val="auto"/>
        </w:rPr>
      </w:pPr>
    </w:p>
    <w:p>
      <w:pPr>
        <w:jc w:val="both"/>
        <w:ind w:right="140" w:firstLine="446"/>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ectPr>
          <w:pgSz w:w="11900" w:h="16838" w:orient="portrait"/>
          <w:cols w:equalWidth="0" w:num="1">
            <w:col w:w="11420"/>
          </w:cols>
          <w:pgMar w:left="240" w:top="121" w:right="239" w:bottom="1440" w:gutter="0" w:footer="0" w:header="0"/>
        </w:sectPr>
      </w:pP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tab/>
        <w:t>Exhibit Index</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Amended and Restated Bylaws of RPX Corporation</w:t>
            </w:r>
          </w:p>
        </w:tc>
        <w:tc>
          <w:tcPr>
            <w:tcW w:w="0" w:type="dxa"/>
            <w:vAlign w:val="bottom"/>
          </w:tcPr>
          <w:p>
            <w:pPr>
              <w:spacing w:after="0"/>
              <w:rPr>
                <w:sz w:val="1"/>
                <w:szCs w:val="1"/>
                <w:color w:val="auto"/>
              </w:rPr>
            </w:pPr>
          </w:p>
        </w:tc>
      </w:tr>
      <w:tr>
        <w:trPr>
          <w:trHeight w:val="352"/>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Employment Offer Letter between RPX Corporation and Ned Segal dated February 7,</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2013</w:t>
            </w: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Separation Agreement between RPX Corporation and Adam Spiegel dated March 7,</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2013</w:t>
            </w: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Certification of Chief Executive Officer and Principal Financial Officer Pursuant to</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Rule 13-14(a) or 15(d)-14(a) of the Securities Exchange Act of 1934 as Adopted</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Pursuant to Section 302 of the Sarbanes-Oxley Act of 2002.</w:t>
            </w: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Certification of Chief Executive Officer and Principal Financial Officer Pursuant to</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18 U.S.C. Section 1350, as Adopted Pursuant to Section 906 of the Sarbanes-Oxley</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101.INS+</w:t>
            </w: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101.SCH+</w:t>
            </w: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101.CAL+</w:t>
            </w:r>
          </w:p>
        </w:tc>
        <w:tc>
          <w:tcPr>
            <w:tcW w:w="5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101.DEF+</w:t>
            </w:r>
          </w:p>
        </w:tc>
        <w:tc>
          <w:tcPr>
            <w:tcW w:w="5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101.LAB+</w:t>
            </w:r>
          </w:p>
        </w:tc>
        <w:tc>
          <w:tcPr>
            <w:tcW w:w="5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101.PRE+</w:t>
            </w:r>
          </w:p>
        </w:tc>
        <w:tc>
          <w:tcPr>
            <w:tcW w:w="5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9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40" w:type="dxa"/>
            <w:vAlign w:val="bottom"/>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95"/>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2/12/2013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3/13/2013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27" w:lineRule="exact"/>
        <w:rPr>
          <w:sz w:val="20"/>
          <w:szCs w:val="20"/>
          <w:color w:val="auto"/>
        </w:rPr>
      </w:pPr>
    </w:p>
    <w:p>
      <w:pPr>
        <w:sectPr>
          <w:pgSz w:w="11900" w:h="16838" w:orient="portrait"/>
          <w:cols w:equalWidth="0" w:num="2">
            <w:col w:w="6200" w:space="120"/>
            <w:col w:w="5100"/>
          </w:cols>
          <w:pgMar w:left="240" w:top="121" w:right="239" w:bottom="1440" w:gutter="0" w:footer="0" w:header="0"/>
          <w:type w:val="continuous"/>
        </w:sectPr>
      </w:pPr>
    </w:p>
    <w:p>
      <w:pPr>
        <w:spacing w:after="0" w:line="75" w:lineRule="exact"/>
        <w:rPr>
          <w:sz w:val="20"/>
          <w:szCs w:val="20"/>
          <w:color w:val="auto"/>
        </w:rPr>
      </w:pPr>
    </w:p>
    <w:p>
      <w:pPr>
        <w:ind w:right="400" w:firstLine="8"/>
        <w:spacing w:after="0" w:line="262" w:lineRule="auto"/>
        <w:tabs>
          <w:tab w:leader="none" w:pos="10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ectPr>
          <w:pgSz w:w="11900" w:h="16838" w:orient="portrait"/>
          <w:cols w:equalWidth="0" w:num="1">
            <w:col w:w="11420"/>
          </w:cols>
          <w:pgMar w:left="240" w:top="121" w:right="239" w:bottom="1440" w:gutter="0" w:footer="0" w:header="0"/>
          <w:type w:val="continuous"/>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RPX CORPORATION</w:t>
      </w:r>
    </w:p>
    <w:p>
      <w:pPr>
        <w:spacing w:after="0" w:line="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3940"/>
        <w:spacing w:after="0"/>
        <w:tabs>
          <w:tab w:leader="none" w:pos="5220" w:val="left"/>
          <w:tab w:leader="none" w:pos="6320" w:val="left"/>
        </w:tabs>
        <w:rPr>
          <w:sz w:val="20"/>
          <w:szCs w:val="20"/>
          <w:color w:val="auto"/>
        </w:rPr>
      </w:pPr>
      <w:r>
        <w:rPr>
          <w:rFonts w:ascii="Times New Roman" w:cs="Times New Roman" w:eastAsia="Times New Roman" w:hAnsi="Times New Roman"/>
          <w:sz w:val="18"/>
          <w:szCs w:val="18"/>
          <w:color w:val="auto"/>
        </w:rPr>
        <w:t>May 8,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34290</wp:posOffset>
            </wp:positionV>
            <wp:extent cx="3293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John A. Amster</w:t>
      </w:r>
    </w:p>
    <w:p>
      <w:pPr>
        <w:spacing w:after="0" w:line="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Chief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80"/>
          </w:cols>
          <w:pgMar w:left="240" w:top="121" w:right="8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Amster, certify that:</w:t>
      </w:r>
    </w:p>
    <w:p>
      <w:pPr>
        <w:spacing w:after="0" w:line="306" w:lineRule="exact"/>
        <w:rPr>
          <w:sz w:val="20"/>
          <w:szCs w:val="20"/>
          <w:color w:val="auto"/>
        </w:rPr>
      </w:pPr>
    </w:p>
    <w:p>
      <w:pPr>
        <w:ind w:left="880" w:hanging="467"/>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RPX Corporation;</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 w:lineRule="exact"/>
        <w:rPr>
          <w:rFonts w:ascii="Times New Roman" w:cs="Times New Roman" w:eastAsia="Times New Roman" w:hAnsi="Times New Roman"/>
          <w:sz w:val="18"/>
          <w:szCs w:val="18"/>
          <w:color w:val="auto"/>
        </w:rPr>
      </w:pPr>
    </w:p>
    <w:p>
      <w:pPr>
        <w:ind w:left="1300" w:right="100" w:hanging="428"/>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428"/>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428"/>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100" w:hanging="428"/>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700" w:hanging="467"/>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428"/>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40" w:hanging="428"/>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8, 2013</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w:t>
      </w:r>
    </w:p>
    <w:p>
      <w:pPr>
        <w:sectPr>
          <w:pgSz w:w="11900" w:h="16838" w:orient="portrait"/>
          <w:cols w:equalWidth="0" w:num="1">
            <w:col w:w="11420"/>
          </w:cols>
          <w:pgMar w:left="240" w:top="11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March 31, 2013 of RPX Corporation, (the “Company”) as filed with the Securities and Exchange Commission on the date hereof (the “Report”), I, John A. Amster, Chief Executive Officer and Principal Financial Officer of the Company, certify, pursuant to 18 U.S.C. Section 1350, as adopted pursuant to Section 906 of the Sarbanes-Oxley Act of 2002, that:</w:t>
      </w:r>
    </w:p>
    <w:p>
      <w:pPr>
        <w:spacing w:after="0" w:line="41" w:lineRule="exact"/>
        <w:rPr>
          <w:sz w:val="20"/>
          <w:szCs w:val="20"/>
          <w:color w:val="auto"/>
        </w:rPr>
      </w:pPr>
    </w:p>
    <w:p>
      <w:pPr>
        <w:ind w:left="880" w:hanging="467"/>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880" w:hanging="467"/>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8, 2013</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11"/>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1."/>
      <w:numFmt w:val="decimal"/>
      <w:start w:val="13"/>
    </w:lvl>
  </w:abstractNum>
  <w:abstractNum w:abstractNumId="11">
    <w:nsid w:val="25E45D32"/>
    <w:multiLevelType w:val="hybridMultilevel"/>
    <w:lvl w:ilvl="0">
      <w:lvlJc w:val="left"/>
      <w:lvlText w:val="%1."/>
      <w:numFmt w:val="decimal"/>
      <w:start w:val="14"/>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2019-12-07T23:50:39Z</dcterms:created>
  <dcterms:modified xsi:type="dcterms:W3CDTF">2019-12-07T23:50:39Z</dcterms:modified>
</cp:coreProperties>
</file>