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jc w:val="center"/>
        <w:ind w:right="-19"/>
        <w:spacing w:after="0" w:line="238" w:lineRule="auto"/>
        <w:rPr>
          <w:sz w:val="20"/>
          <w:szCs w:val="20"/>
          <w:color w:val="auto"/>
        </w:rPr>
      </w:pPr>
      <w:r>
        <w:rPr>
          <w:rFonts w:ascii="Arial" w:cs="Arial" w:eastAsia="Arial" w:hAnsi="Arial"/>
          <w:sz w:val="22"/>
          <w:szCs w:val="22"/>
          <w:b w:val="1"/>
          <w:bCs w:val="1"/>
          <w:color w:val="auto"/>
        </w:rPr>
        <w:t>————————————————</w:t>
      </w: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x QUARTERLY REPORT PURSUANT TO SECTION 13 OR 15(d)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2017</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11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For the transition period from _____to_____</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Commission File Number: 001-35146</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51435</wp:posOffset>
            </wp:positionV>
            <wp:extent cx="10979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RPX Corporation</w:t>
      </w:r>
    </w:p>
    <w:p>
      <w:pPr>
        <w:sectPr>
          <w:pgSz w:w="11900" w:h="16838" w:orient="portrait"/>
          <w:cols w:equalWidth="0" w:num="1">
            <w:col w:w="11400"/>
          </w:cols>
          <w:pgMar w:left="240" w:top="247"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4"/>
          <w:szCs w:val="14"/>
          <w:color w:val="auto"/>
        </w:rPr>
        <w:t>(State or Other Jurisdiction of</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ind w:left="20"/>
        <w:spacing w:after="0"/>
        <w:rPr>
          <w:sz w:val="20"/>
          <w:szCs w:val="20"/>
          <w:color w:val="auto"/>
        </w:rPr>
      </w:pPr>
      <w:r>
        <w:rPr>
          <w:rFonts w:ascii="Arial" w:cs="Arial" w:eastAsia="Arial" w:hAnsi="Arial"/>
          <w:sz w:val="14"/>
          <w:szCs w:val="14"/>
          <w:color w:val="auto"/>
        </w:rPr>
        <w:t>(Exact Name of Registrant as Specified in Its Charter)</w:t>
      </w:r>
    </w:p>
    <w:p>
      <w:pPr>
        <w:spacing w:after="0" w:line="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Pr>
          <w:p>
            <w:pPr>
              <w:jc w:val="center"/>
              <w:ind w:right="693"/>
              <w:spacing w:after="0"/>
              <w:rPr>
                <w:sz w:val="20"/>
                <w:szCs w:val="20"/>
                <w:color w:val="auto"/>
              </w:rPr>
            </w:pPr>
            <w:r>
              <w:rPr>
                <w:rFonts w:ascii="Arial" w:cs="Arial" w:eastAsia="Arial" w:hAnsi="Arial"/>
                <w:sz w:val="18"/>
                <w:szCs w:val="18"/>
                <w:b w:val="1"/>
                <w:bCs w:val="1"/>
                <w:color w:val="auto"/>
                <w:w w:val="99"/>
              </w:rPr>
              <w:t>One Market Plaza, Suite 1100</w:t>
            </w:r>
          </w:p>
        </w:tc>
        <w:tc>
          <w:tcPr>
            <w:tcW w:w="2720" w:type="dxa"/>
            <w:vAlign w:val="bottom"/>
          </w:tcPr>
          <w:p>
            <w:pPr>
              <w:jc w:val="center"/>
              <w:ind w:left="722"/>
              <w:spacing w:after="0"/>
              <w:rPr>
                <w:sz w:val="20"/>
                <w:szCs w:val="20"/>
                <w:color w:val="auto"/>
              </w:rPr>
            </w:pPr>
            <w:r>
              <w:rPr>
                <w:rFonts w:ascii="Arial" w:cs="Arial" w:eastAsia="Arial" w:hAnsi="Arial"/>
                <w:sz w:val="18"/>
                <w:szCs w:val="18"/>
                <w:b w:val="1"/>
                <w:bCs w:val="1"/>
                <w:color w:val="auto"/>
                <w:w w:val="99"/>
              </w:rPr>
              <w:t>26-2990113</w:t>
            </w:r>
          </w:p>
        </w:tc>
      </w:tr>
      <w:tr>
        <w:trPr>
          <w:trHeight w:val="207"/>
        </w:trPr>
        <w:tc>
          <w:tcPr>
            <w:tcW w:w="4260" w:type="dxa"/>
            <w:vAlign w:val="bottom"/>
          </w:tcPr>
          <w:p>
            <w:pPr>
              <w:jc w:val="center"/>
              <w:ind w:right="673"/>
              <w:spacing w:after="0"/>
              <w:rPr>
                <w:sz w:val="20"/>
                <w:szCs w:val="20"/>
                <w:color w:val="auto"/>
              </w:rPr>
            </w:pPr>
            <w:r>
              <w:rPr>
                <w:rFonts w:ascii="Arial" w:cs="Arial" w:eastAsia="Arial" w:hAnsi="Arial"/>
                <w:sz w:val="18"/>
                <w:szCs w:val="18"/>
                <w:b w:val="1"/>
                <w:bCs w:val="1"/>
                <w:color w:val="auto"/>
                <w:w w:val="99"/>
              </w:rPr>
              <w:t>San Francisco, California 94105</w:t>
            </w:r>
          </w:p>
        </w:tc>
        <w:tc>
          <w:tcPr>
            <w:tcW w:w="2720" w:type="dxa"/>
            <w:vAlign w:val="bottom"/>
          </w:tcPr>
          <w:p>
            <w:pPr>
              <w:jc w:val="center"/>
              <w:ind w:left="742"/>
              <w:spacing w:after="0"/>
              <w:rPr>
                <w:sz w:val="20"/>
                <w:szCs w:val="20"/>
                <w:color w:val="auto"/>
              </w:rPr>
            </w:pPr>
            <w:r>
              <w:rPr>
                <w:rFonts w:ascii="Arial" w:cs="Arial" w:eastAsia="Arial" w:hAnsi="Arial"/>
                <w:sz w:val="14"/>
                <w:szCs w:val="14"/>
                <w:color w:val="auto"/>
              </w:rPr>
              <w:t>(I.R.S. Employer Identification</w:t>
            </w:r>
          </w:p>
        </w:tc>
      </w:tr>
      <w:tr>
        <w:trPr>
          <w:trHeight w:val="172"/>
        </w:trPr>
        <w:tc>
          <w:tcPr>
            <w:tcW w:w="4260" w:type="dxa"/>
            <w:vAlign w:val="bottom"/>
          </w:tcPr>
          <w:p>
            <w:pPr>
              <w:jc w:val="center"/>
              <w:ind w:right="673"/>
              <w:spacing w:after="0"/>
              <w:rPr>
                <w:sz w:val="20"/>
                <w:szCs w:val="20"/>
                <w:color w:val="auto"/>
              </w:rPr>
            </w:pPr>
            <w:r>
              <w:rPr>
                <w:rFonts w:ascii="Arial" w:cs="Arial" w:eastAsia="Arial" w:hAnsi="Arial"/>
                <w:sz w:val="14"/>
                <w:szCs w:val="14"/>
                <w:color w:val="auto"/>
              </w:rPr>
              <w:t>(Address of Principal Executive Offices and Zip Code)</w:t>
            </w:r>
          </w:p>
        </w:tc>
        <w:tc>
          <w:tcPr>
            <w:tcW w:w="2720" w:type="dxa"/>
            <w:vAlign w:val="bottom"/>
          </w:tcPr>
          <w:p>
            <w:pPr>
              <w:jc w:val="center"/>
              <w:ind w:left="722"/>
              <w:spacing w:after="0"/>
              <w:rPr>
                <w:sz w:val="20"/>
                <w:szCs w:val="20"/>
                <w:color w:val="auto"/>
              </w:rPr>
            </w:pPr>
            <w:r>
              <w:rPr>
                <w:rFonts w:ascii="Arial" w:cs="Arial" w:eastAsia="Arial" w:hAnsi="Arial"/>
                <w:sz w:val="14"/>
                <w:szCs w:val="14"/>
                <w:color w:val="auto"/>
              </w:rPr>
              <w:t>No.)</w:t>
            </w:r>
          </w:p>
        </w:tc>
      </w:tr>
      <w:tr>
        <w:trPr>
          <w:trHeight w:val="449"/>
        </w:trPr>
        <w:tc>
          <w:tcPr>
            <w:tcW w:w="4260" w:type="dxa"/>
            <w:vAlign w:val="bottom"/>
          </w:tcPr>
          <w:p>
            <w:pPr>
              <w:jc w:val="center"/>
              <w:ind w:right="673"/>
              <w:spacing w:after="0"/>
              <w:rPr>
                <w:sz w:val="20"/>
                <w:szCs w:val="20"/>
                <w:color w:val="auto"/>
              </w:rPr>
            </w:pPr>
            <w:r>
              <w:rPr>
                <w:rFonts w:ascii="Arial" w:cs="Arial" w:eastAsia="Arial" w:hAnsi="Arial"/>
                <w:sz w:val="18"/>
                <w:szCs w:val="18"/>
                <w:b w:val="1"/>
                <w:bCs w:val="1"/>
                <w:color w:val="auto"/>
                <w:w w:val="99"/>
              </w:rPr>
              <w:t>(866) 779-7641</w:t>
            </w:r>
          </w:p>
        </w:tc>
        <w:tc>
          <w:tcPr>
            <w:tcW w:w="2720" w:type="dxa"/>
            <w:vAlign w:val="bottom"/>
          </w:tcPr>
          <w:p>
            <w:pPr>
              <w:spacing w:after="0"/>
              <w:rPr>
                <w:sz w:val="24"/>
                <w:szCs w:val="24"/>
                <w:color w:val="auto"/>
              </w:rPr>
            </w:pPr>
          </w:p>
        </w:tc>
      </w:tr>
      <w:tr>
        <w:trPr>
          <w:trHeight w:val="165"/>
        </w:trPr>
        <w:tc>
          <w:tcPr>
            <w:tcW w:w="4260" w:type="dxa"/>
            <w:vAlign w:val="bottom"/>
          </w:tcPr>
          <w:p>
            <w:pPr>
              <w:jc w:val="center"/>
              <w:ind w:right="673"/>
              <w:spacing w:after="0"/>
              <w:rPr>
                <w:sz w:val="20"/>
                <w:szCs w:val="20"/>
                <w:color w:val="auto"/>
              </w:rPr>
            </w:pPr>
            <w:r>
              <w:rPr>
                <w:rFonts w:ascii="Arial" w:cs="Arial" w:eastAsia="Arial" w:hAnsi="Arial"/>
                <w:sz w:val="14"/>
                <w:szCs w:val="14"/>
                <w:color w:val="auto"/>
              </w:rPr>
              <w:t>(Registrant's telephone number, including area code)</w:t>
            </w:r>
          </w:p>
        </w:tc>
        <w:tc>
          <w:tcPr>
            <w:tcW w:w="2720" w:type="dxa"/>
            <w:vAlign w:val="bottom"/>
          </w:tcPr>
          <w:p>
            <w:pPr>
              <w:spacing w:after="0"/>
              <w:rPr>
                <w:sz w:val="14"/>
                <w:szCs w:val="14"/>
                <w:color w:val="auto"/>
              </w:rPr>
            </w:pPr>
          </w:p>
        </w:tc>
      </w:tr>
      <w:tr>
        <w:trPr>
          <w:trHeight w:val="286"/>
        </w:trPr>
        <w:tc>
          <w:tcPr>
            <w:tcW w:w="4260" w:type="dxa"/>
            <w:vAlign w:val="bottom"/>
          </w:tcPr>
          <w:p>
            <w:pPr>
              <w:jc w:val="center"/>
              <w:ind w:right="713"/>
              <w:spacing w:after="0"/>
              <w:rPr>
                <w:sz w:val="20"/>
                <w:szCs w:val="20"/>
                <w:color w:val="auto"/>
              </w:rPr>
            </w:pPr>
            <w:r>
              <w:rPr>
                <w:rFonts w:ascii="Arial" w:cs="Arial" w:eastAsia="Arial" w:hAnsi="Arial"/>
                <w:sz w:val="22"/>
                <w:szCs w:val="22"/>
                <w:b w:val="1"/>
                <w:bCs w:val="1"/>
                <w:color w:val="auto"/>
                <w:w w:val="98"/>
              </w:rPr>
              <w:t>————————————————</w:t>
            </w:r>
          </w:p>
        </w:tc>
        <w:tc>
          <w:tcPr>
            <w:tcW w:w="2720" w:type="dxa"/>
            <w:vAlign w:val="bottom"/>
          </w:tcPr>
          <w:p>
            <w:pPr>
              <w:spacing w:after="0"/>
              <w:rPr>
                <w:sz w:val="24"/>
                <w:szCs w:val="24"/>
                <w:color w:val="auto"/>
              </w:rPr>
            </w:pPr>
          </w:p>
        </w:tc>
      </w:tr>
    </w:tbl>
    <w:p>
      <w:pPr>
        <w:spacing w:after="0" w:line="46" w:lineRule="exact"/>
        <w:rPr>
          <w:sz w:val="24"/>
          <w:szCs w:val="24"/>
          <w:color w:val="auto"/>
        </w:rPr>
      </w:pPr>
    </w:p>
    <w:p>
      <w:pPr>
        <w:sectPr>
          <w:pgSz w:w="11900" w:h="16838" w:orient="portrait"/>
          <w:cols w:equalWidth="0" w:num="2">
            <w:col w:w="3260" w:space="720"/>
            <w:col w:w="7420"/>
          </w:cols>
          <w:pgMar w:left="240" w:top="247" w:right="259" w:bottom="1440" w:gutter="0" w:footer="0" w:header="0"/>
          <w:type w:val="continuous"/>
        </w:sectPr>
      </w:pPr>
    </w:p>
    <w:p>
      <w:pPr>
        <w:ind w:right="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95" w:lineRule="exact"/>
        <w:rPr>
          <w:sz w:val="24"/>
          <w:szCs w:val="24"/>
          <w:color w:val="auto"/>
        </w:rPr>
      </w:pPr>
    </w:p>
    <w:p>
      <w:pPr>
        <w:ind w:left="40" w:right="12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5" w:lineRule="exact"/>
        <w:rPr>
          <w:sz w:val="24"/>
          <w:szCs w:val="24"/>
          <w:color w:val="auto"/>
        </w:rPr>
      </w:pPr>
    </w:p>
    <w:p>
      <w:pPr>
        <w:ind w:left="40"/>
        <w:spacing w:after="0"/>
        <w:tabs>
          <w:tab w:leader="none" w:pos="2780" w:val="left"/>
          <w:tab w:leader="none" w:pos="7800" w:val="left"/>
          <w:tab w:leader="none" w:pos="1064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Arial" w:cs="Arial" w:eastAsia="Arial" w:hAnsi="Arial"/>
          <w:sz w:val="16"/>
          <w:szCs w:val="16"/>
          <w:color w:val="auto"/>
        </w:rPr>
        <w:t>x</w:t>
      </w:r>
    </w:p>
    <w:p>
      <w:pPr>
        <w:spacing w:after="0" w:line="86" w:lineRule="exact"/>
        <w:rPr>
          <w:sz w:val="24"/>
          <w:szCs w:val="24"/>
          <w:color w:val="auto"/>
        </w:rPr>
      </w:pPr>
    </w:p>
    <w:p>
      <w:pPr>
        <w:ind w:left="40"/>
        <w:spacing w:after="0"/>
        <w:tabs>
          <w:tab w:leader="none" w:pos="2780" w:val="left"/>
          <w:tab w:leader="none" w:pos="3360" w:val="left"/>
          <w:tab w:leader="none" w:pos="7800" w:val="left"/>
          <w:tab w:leader="none" w:pos="1064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Arial" w:cs="Arial" w:eastAsia="Arial" w:hAnsi="Arial"/>
          <w:sz w:val="14"/>
          <w:szCs w:val="14"/>
          <w:color w:val="auto"/>
        </w:rPr>
        <w:t>o</w:t>
      </w:r>
    </w:p>
    <w:p>
      <w:pPr>
        <w:spacing w:after="0" w:line="206" w:lineRule="exact"/>
        <w:rPr>
          <w:sz w:val="24"/>
          <w:szCs w:val="24"/>
          <w:color w:val="auto"/>
        </w:rPr>
      </w:pPr>
    </w:p>
    <w:p>
      <w:pPr>
        <w:ind w:left="40" w:right="14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7" w:lineRule="exact"/>
        <w:rPr>
          <w:sz w:val="24"/>
          <w:szCs w:val="24"/>
          <w:color w:val="auto"/>
        </w:rPr>
      </w:pPr>
    </w:p>
    <w:p>
      <w:pPr>
        <w:ind w:left="500" w:hanging="303"/>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Emerging growth company</w:t>
      </w:r>
    </w:p>
    <w:p>
      <w:pPr>
        <w:spacing w:after="0" w:line="59" w:lineRule="exact"/>
        <w:rPr>
          <w:rFonts w:ascii="Arial" w:cs="Arial" w:eastAsia="Arial" w:hAnsi="Arial"/>
          <w:sz w:val="16"/>
          <w:szCs w:val="16"/>
          <w:color w:val="auto"/>
        </w:rPr>
      </w:pPr>
    </w:p>
    <w:p>
      <w:pPr>
        <w:ind w:left="500" w:right="340" w:hanging="303"/>
        <w:spacing w:after="0" w:line="260"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3" w:lineRule="exact"/>
        <w:rPr>
          <w:sz w:val="24"/>
          <w:szCs w:val="24"/>
          <w:color w:val="auto"/>
        </w:rPr>
      </w:pPr>
    </w:p>
    <w:p>
      <w:pPr>
        <w:ind w:right="204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There were 49,526,433 shares of the registrant’s common stock issued and outstanding as of October 27, 2017.</w:t>
      </w:r>
    </w:p>
    <w:p>
      <w:pPr>
        <w:sectPr>
          <w:pgSz w:w="11900" w:h="16838" w:orient="portrait"/>
          <w:cols w:equalWidth="0" w:num="1">
            <w:col w:w="11400"/>
          </w:cols>
          <w:pgMar w:left="240" w:top="247"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rPr>
              <w:t>Page</w:t>
            </w:r>
          </w:p>
        </w:tc>
      </w:tr>
      <w:tr>
        <w:trPr>
          <w:trHeight w:val="216"/>
        </w:trPr>
        <w:tc>
          <w:tcPr>
            <w:tcW w:w="560" w:type="dxa"/>
            <w:vAlign w:val="bottom"/>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360" w:type="dxa"/>
            <w:vAlign w:val="bottom"/>
            <w:gridSpan w:val="2"/>
          </w:tcPr>
          <w:p>
            <w:pPr>
              <w:spacing w:after="0"/>
              <w:rPr>
                <w:sz w:val="18"/>
                <w:szCs w:val="18"/>
                <w:color w:val="auto"/>
              </w:rPr>
            </w:pPr>
          </w:p>
        </w:tc>
        <w:tc>
          <w:tcPr>
            <w:tcW w:w="96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60" w:type="dxa"/>
            <w:vAlign w:val="bottom"/>
          </w:tcPr>
          <w:p>
            <w:pPr>
              <w:spacing w:after="0"/>
              <w:rPr>
                <w:sz w:val="20"/>
                <w:szCs w:val="20"/>
                <w:color w:val="auto"/>
              </w:rPr>
            </w:pPr>
            <w:r>
              <w:rPr>
                <w:rFonts w:ascii="Arial" w:cs="Arial" w:eastAsia="Arial" w:hAnsi="Arial"/>
                <w:sz w:val="18"/>
                <w:szCs w:val="18"/>
                <w:color w:val="auto"/>
                <w:w w:val="98"/>
              </w:rPr>
              <w:t>Item 1.</w:t>
            </w:r>
          </w:p>
        </w:tc>
        <w:tc>
          <w:tcPr>
            <w:tcW w:w="360" w:type="dxa"/>
            <w:vAlign w:val="bottom"/>
            <w:gridSpan w:val="2"/>
          </w:tcPr>
          <w:p>
            <w:pPr>
              <w:spacing w:after="0"/>
              <w:rPr>
                <w:sz w:val="24"/>
                <w:szCs w:val="24"/>
                <w:color w:val="auto"/>
              </w:rPr>
            </w:pPr>
          </w:p>
        </w:tc>
        <w:tc>
          <w:tcPr>
            <w:tcW w:w="264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Statements (unaudited)</w:t>
              </w:r>
            </w:hyperlink>
          </w:p>
        </w:tc>
        <w:tc>
          <w:tcPr>
            <w:tcW w:w="702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35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8"/>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Management’s Discussion and Analysis of Financial Condition and Results of Operations</w:t>
              </w:r>
            </w:hyperlink>
          </w:p>
        </w:tc>
        <w:tc>
          <w:tcPr>
            <w:tcW w:w="2580" w:type="dxa"/>
            <w:vAlign w:val="bottom"/>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2580" w:type="dxa"/>
            <w:vAlign w:val="bottom"/>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960" w:type="dxa"/>
            <w:vAlign w:val="bottom"/>
            <w:gridSpan w:val="7"/>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547"/>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198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768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320" w:type="dxa"/>
            <w:vAlign w:val="bottom"/>
          </w:tcPr>
          <w:p>
            <w:pPr>
              <w:spacing w:after="0"/>
              <w:rPr>
                <w:sz w:val="24"/>
                <w:szCs w:val="24"/>
                <w:color w:val="auto"/>
              </w:rPr>
            </w:pPr>
          </w:p>
        </w:tc>
        <w:tc>
          <w:tcPr>
            <w:tcW w:w="1920" w:type="dxa"/>
            <w:vAlign w:val="bottom"/>
            <w:tcBorders>
              <w:top w:val="single" w:sz="8" w:color="0000EE"/>
            </w:tcBorders>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9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Risk Factors</w:t>
              </w:r>
            </w:hyperlink>
          </w:p>
        </w:tc>
        <w:tc>
          <w:tcPr>
            <w:tcW w:w="480" w:type="dxa"/>
            <w:vAlign w:val="bottom"/>
            <w:gridSpan w:val="2"/>
          </w:tcPr>
          <w:p>
            <w:pPr>
              <w:spacing w:after="0"/>
              <w:rPr>
                <w:sz w:val="20"/>
                <w:szCs w:val="20"/>
                <w:color w:val="auto"/>
              </w:rPr>
            </w:pPr>
          </w:p>
        </w:tc>
        <w:tc>
          <w:tcPr>
            <w:tcW w:w="8180" w:type="dxa"/>
            <w:vAlign w:val="bottom"/>
            <w:gridSpan w:val="14"/>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9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9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4820" w:type="dxa"/>
            <w:vAlign w:val="bottom"/>
            <w:gridSpan w:val="6"/>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9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1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7120" w:type="dxa"/>
            <w:vAlign w:val="bottom"/>
            <w:gridSpan w:val="10"/>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9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74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Other Information</w:t>
              </w:r>
            </w:hyperlink>
          </w:p>
        </w:tc>
        <w:tc>
          <w:tcPr>
            <w:tcW w:w="520" w:type="dxa"/>
            <w:vAlign w:val="bottom"/>
            <w:gridSpan w:val="2"/>
          </w:tcPr>
          <w:p>
            <w:pPr>
              <w:spacing w:after="0"/>
              <w:rPr>
                <w:sz w:val="20"/>
                <w:szCs w:val="20"/>
                <w:color w:val="auto"/>
              </w:rPr>
            </w:pPr>
          </w:p>
        </w:tc>
        <w:tc>
          <w:tcPr>
            <w:tcW w:w="7740" w:type="dxa"/>
            <w:vAlign w:val="bottom"/>
            <w:gridSpan w:val="13"/>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9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26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8260" w:type="dxa"/>
            <w:vAlign w:val="bottom"/>
            <w:gridSpan w:val="15"/>
          </w:tcPr>
          <w:p>
            <w:pPr>
              <w:spacing w:after="0"/>
              <w:rPr>
                <w:sz w:val="20"/>
                <w:szCs w:val="20"/>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gridSpan w:val="2"/>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Signatures</w:t>
              </w:r>
            </w:hyperlink>
          </w:p>
        </w:tc>
        <w:tc>
          <w:tcPr>
            <w:tcW w:w="8800" w:type="dxa"/>
            <w:vAlign w:val="bottom"/>
            <w:gridSpan w:val="1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(unaudited)</w:t>
            </w: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4"/>
        </w:trPr>
        <w:tc>
          <w:tcPr>
            <w:tcW w:w="7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6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rPr>
              <w:t>RPX Corporation</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6"/>
        </w:trPr>
        <w:tc>
          <w:tcPr>
            <w:tcW w:w="7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8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9"/>
              </w:rPr>
              <w:t>(in thousands)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9"/>
        </w:trPr>
        <w:tc>
          <w:tcPr>
            <w:tcW w:w="7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6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9"/>
              </w:rPr>
              <w:t>(unaudited)</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3"/>
        </w:trPr>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8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270"/>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20" w:type="dxa"/>
            <w:vAlign w:val="bottom"/>
            <w:shd w:val="clear" w:color="auto" w:fill="CCEEFF"/>
          </w:tcPr>
          <w:p>
            <w:pPr>
              <w:spacing w:after="0"/>
              <w:rPr>
                <w:sz w:val="23"/>
                <w:szCs w:val="23"/>
                <w:color w:val="auto"/>
              </w:rPr>
            </w:pPr>
          </w:p>
        </w:tc>
        <w:tc>
          <w:tcPr>
            <w:tcW w:w="4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228,410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100,111</w:t>
            </w:r>
          </w:p>
        </w:tc>
      </w:tr>
      <w:tr>
        <w:trPr>
          <w:trHeight w:val="263"/>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39,045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90,877</w:t>
            </w:r>
          </w:p>
        </w:tc>
      </w:tr>
      <w:tr>
        <w:trPr>
          <w:trHeight w:val="277"/>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63"/>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41,027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64,395</w:t>
            </w:r>
          </w:p>
        </w:tc>
      </w:tr>
      <w:tr>
        <w:trPr>
          <w:trHeight w:val="270"/>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4,524</w:t>
            </w:r>
          </w:p>
        </w:tc>
      </w:tr>
      <w:tr>
        <w:trPr>
          <w:trHeight w:val="250"/>
        </w:trPr>
        <w:tc>
          <w:tcPr>
            <w:tcW w:w="380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4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319,243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260,407</w:t>
            </w:r>
          </w:p>
        </w:tc>
      </w:tr>
      <w:tr>
        <w:trPr>
          <w:trHeight w:val="277"/>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Patent assets, net</w:t>
            </w:r>
          </w:p>
        </w:tc>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148,507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212,999</w:t>
            </w:r>
          </w:p>
        </w:tc>
      </w:tr>
      <w:tr>
        <w:trPr>
          <w:trHeight w:val="26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5,691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6,948</w:t>
            </w:r>
          </w:p>
        </w:tc>
      </w:tr>
      <w:tr>
        <w:trPr>
          <w:trHeight w:val="277"/>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51,067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56,050</w:t>
            </w:r>
          </w:p>
        </w:tc>
      </w:tr>
      <w:tr>
        <w:trPr>
          <w:trHeight w:val="263"/>
        </w:trPr>
        <w:tc>
          <w:tcPr>
            <w:tcW w:w="7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2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159,434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151,322</w:t>
            </w:r>
          </w:p>
        </w:tc>
      </w:tr>
      <w:tr>
        <w:trPr>
          <w:trHeight w:val="277"/>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 less current portion</w:t>
            </w:r>
          </w:p>
        </w:tc>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r>
      <w:tr>
        <w:trPr>
          <w:trHeight w:val="26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37,410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38,261</w:t>
            </w:r>
          </w:p>
        </w:tc>
      </w:tr>
      <w:tr>
        <w:trPr>
          <w:trHeight w:val="270"/>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5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9,537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8,337</w:t>
            </w:r>
          </w:p>
        </w:tc>
      </w:tr>
      <w:tr>
        <w:trPr>
          <w:trHeight w:val="297"/>
        </w:trPr>
        <w:tc>
          <w:tcPr>
            <w:tcW w:w="3800" w:type="dxa"/>
            <w:vAlign w:val="bottom"/>
            <w:gridSpan w:val="2"/>
          </w:tcPr>
          <w:p>
            <w:pPr>
              <w:ind w:left="280"/>
              <w:spacing w:after="0"/>
              <w:rPr>
                <w:sz w:val="20"/>
                <w:szCs w:val="20"/>
                <w:color w:val="auto"/>
              </w:rPr>
            </w:pPr>
            <w:r>
              <w:rPr>
                <w:rFonts w:ascii="Arial" w:cs="Arial" w:eastAsia="Arial" w:hAnsi="Arial"/>
                <w:sz w:val="18"/>
                <w:szCs w:val="18"/>
                <w:color w:val="auto"/>
              </w:rPr>
              <w:t>Total assets</w:t>
            </w:r>
          </w:p>
        </w:tc>
        <w:tc>
          <w:tcPr>
            <w:tcW w:w="4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731,854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735,289</w:t>
            </w:r>
          </w:p>
        </w:tc>
      </w:tr>
      <w:tr>
        <w:trPr>
          <w:trHeight w:val="251"/>
        </w:trPr>
        <w:tc>
          <w:tcPr>
            <w:tcW w:w="38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5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r>
      <w:tr>
        <w:trPr>
          <w:trHeight w:val="26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3,197</w:t>
            </w:r>
          </w:p>
        </w:tc>
      </w:tr>
      <w:tr>
        <w:trPr>
          <w:trHeight w:val="263"/>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13,543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16,798</w:t>
            </w:r>
          </w:p>
        </w:tc>
      </w:tr>
      <w:tr>
        <w:trPr>
          <w:trHeight w:val="277"/>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99,259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118,856</w:t>
            </w:r>
          </w:p>
        </w:tc>
      </w:tr>
      <w:tr>
        <w:trPr>
          <w:trHeight w:val="263"/>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6,474</w:t>
            </w:r>
          </w:p>
        </w:tc>
      </w:tr>
      <w:tr>
        <w:trPr>
          <w:trHeight w:val="270"/>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5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r>
      <w:tr>
        <w:trPr>
          <w:trHeight w:val="250"/>
        </w:trPr>
        <w:tc>
          <w:tcPr>
            <w:tcW w:w="3800" w:type="dxa"/>
            <w:vAlign w:val="bottom"/>
            <w:gridSpan w:val="2"/>
          </w:tcPr>
          <w:p>
            <w:pPr>
              <w:ind w:left="280"/>
              <w:spacing w:after="0"/>
              <w:rPr>
                <w:sz w:val="20"/>
                <w:szCs w:val="20"/>
                <w:color w:val="auto"/>
              </w:rPr>
            </w:pPr>
            <w:r>
              <w:rPr>
                <w:rFonts w:ascii="Arial" w:cs="Arial" w:eastAsia="Arial" w:hAnsi="Arial"/>
                <w:sz w:val="18"/>
                <w:szCs w:val="18"/>
                <w:color w:val="auto"/>
              </w:rPr>
              <w:t>Total current liabilities</w:t>
            </w:r>
          </w:p>
        </w:tc>
        <w:tc>
          <w:tcPr>
            <w:tcW w:w="4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125,476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146,809</w:t>
            </w:r>
          </w:p>
        </w:tc>
      </w:tr>
      <w:tr>
        <w:trPr>
          <w:trHeight w:val="277"/>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11,552</w:t>
            </w:r>
          </w:p>
        </w:tc>
      </w:tr>
      <w:tr>
        <w:trPr>
          <w:trHeight w:val="26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4,023</w:t>
            </w:r>
          </w:p>
        </w:tc>
      </w:tr>
      <w:tr>
        <w:trPr>
          <w:trHeight w:val="277"/>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81,535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88,110</w:t>
            </w:r>
          </w:p>
        </w:tc>
      </w:tr>
      <w:tr>
        <w:trPr>
          <w:trHeight w:val="264"/>
        </w:trPr>
        <w:tc>
          <w:tcPr>
            <w:tcW w:w="3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liabilities</w:t>
            </w:r>
          </w:p>
        </w:tc>
        <w:tc>
          <w:tcPr>
            <w:tcW w:w="45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10,514</w:t>
            </w:r>
          </w:p>
        </w:tc>
      </w:tr>
      <w:tr>
        <w:trPr>
          <w:trHeight w:val="257"/>
        </w:trPr>
        <w:tc>
          <w:tcPr>
            <w:tcW w:w="3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45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225,344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261,008</w:t>
            </w:r>
          </w:p>
        </w:tc>
      </w:tr>
      <w:tr>
        <w:trPr>
          <w:trHeight w:val="243"/>
        </w:trPr>
        <w:tc>
          <w:tcPr>
            <w:tcW w:w="38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12)</w:t>
            </w:r>
          </w:p>
        </w:tc>
        <w:tc>
          <w:tcPr>
            <w:tcW w:w="4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7"/>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7"/>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374,213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360,462</w:t>
            </w:r>
          </w:p>
        </w:tc>
      </w:tr>
      <w:tr>
        <w:trPr>
          <w:trHeight w:val="263"/>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4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139,250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130,249</w:t>
            </w:r>
          </w:p>
        </w:tc>
      </w:tr>
      <w:tr>
        <w:trPr>
          <w:trHeight w:val="270"/>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r>
      <w:tr>
        <w:trPr>
          <w:trHeight w:val="250"/>
        </w:trPr>
        <w:tc>
          <w:tcPr>
            <w:tcW w:w="38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stockholders’ equity</w:t>
            </w:r>
          </w:p>
        </w:tc>
        <w:tc>
          <w:tcPr>
            <w:tcW w:w="45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506,510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474,281</w:t>
            </w:r>
          </w:p>
        </w:tc>
      </w:tr>
      <w:tr>
        <w:trPr>
          <w:trHeight w:val="257"/>
        </w:trPr>
        <w:tc>
          <w:tcPr>
            <w:tcW w:w="3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731,854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735,289</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40"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40"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6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85,702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88,461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248,648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251,305</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52,282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50,830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154,722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147,566</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22,517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23,615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66,762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76,414</w:t>
            </w:r>
          </w:p>
        </w:tc>
      </w:tr>
      <w:tr>
        <w:trPr>
          <w:trHeight w:val="25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10,903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14,016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27,164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27,325</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348</w:t>
            </w: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64"/>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813</w:t>
            </w:r>
          </w:p>
        </w:tc>
      </w:tr>
      <w:tr>
        <w:trPr>
          <w:trHeight w:val="25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interest and other income (expense), net</w:t>
            </w:r>
          </w:p>
        </w:tc>
        <w:tc>
          <w:tcPr>
            <w:tcW w:w="2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50"/>
        </w:trPr>
        <w:tc>
          <w:tcPr>
            <w:tcW w:w="46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10,991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27,146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26,331</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10,595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9,829</w:t>
            </w:r>
          </w:p>
        </w:tc>
      </w:tr>
      <w:tr>
        <w:trPr>
          <w:trHeight w:val="297"/>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6,366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8,115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16,551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16,502</w:t>
            </w:r>
          </w:p>
        </w:tc>
      </w:tr>
      <w:tr>
        <w:trPr>
          <w:trHeight w:val="305"/>
        </w:trPr>
        <w:tc>
          <w:tcPr>
            <w:tcW w:w="4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3"/>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w:t>
            </w:r>
          </w:p>
        </w:tc>
      </w:tr>
      <w:tr>
        <w:trPr>
          <w:trHeight w:val="182"/>
        </w:trPr>
        <w:tc>
          <w:tcPr>
            <w:tcW w:w="46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Weighted-average shares used in computing net</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per share:</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49,556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49,713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49,128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50,932</w:t>
            </w:r>
          </w:p>
        </w:tc>
      </w:tr>
      <w:tr>
        <w:trPr>
          <w:trHeight w:val="23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50,317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50,247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49,887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51,462</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344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66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2016</w:t>
            </w: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16,551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16,502</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5"/>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holding gains (losses) on available-for-sale</w:t>
            </w: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 arising during the period, net of tax</w:t>
            </w: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64"/>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9,325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26,028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5,882</w:t>
            </w: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2016</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1"/>
        </w:trPr>
        <w:tc>
          <w:tcPr>
            <w:tcW w:w="810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32"/>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16,551</w:t>
            </w:r>
          </w:p>
        </w:tc>
        <w:tc>
          <w:tcPr>
            <w:tcW w:w="120" w:type="dxa"/>
            <w:vAlign w:val="bottom"/>
          </w:tcPr>
          <w:p>
            <w:pPr>
              <w:spacing w:after="0"/>
              <w:rPr>
                <w:sz w:val="22"/>
                <w:szCs w:val="22"/>
                <w:color w:val="auto"/>
              </w:rPr>
            </w:pPr>
          </w:p>
        </w:tc>
        <w:tc>
          <w:tcPr>
            <w:tcW w:w="360" w:type="dxa"/>
            <w:vAlign w:val="bottom"/>
          </w:tcPr>
          <w:p>
            <w:pPr>
              <w:jc w:val="right"/>
              <w:ind w:right="152"/>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16,502</w:t>
            </w:r>
          </w:p>
        </w:tc>
      </w:tr>
      <w:tr>
        <w:trPr>
          <w:trHeight w:val="279"/>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1"/>
        </w:trPr>
        <w:tc>
          <w:tcPr>
            <w:tcW w:w="810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128,278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129,312</w:t>
            </w:r>
          </w:p>
        </w:tc>
      </w:tr>
      <w:tr>
        <w:trPr>
          <w:trHeight w:val="279"/>
        </w:trPr>
        <w:tc>
          <w:tcPr>
            <w:tcW w:w="8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10,875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14,097</w:t>
            </w:r>
          </w:p>
        </w:tc>
      </w:tr>
      <w:tr>
        <w:trPr>
          <w:trHeight w:val="261"/>
        </w:trPr>
        <w:tc>
          <w:tcPr>
            <w:tcW w:w="810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2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79"/>
        </w:trPr>
        <w:tc>
          <w:tcPr>
            <w:tcW w:w="8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1,564</w:t>
            </w:r>
          </w:p>
        </w:tc>
      </w:tr>
      <w:tr>
        <w:trPr>
          <w:trHeight w:val="261"/>
        </w:trPr>
        <w:tc>
          <w:tcPr>
            <w:tcW w:w="810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799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(5,975)</w:t>
            </w:r>
          </w:p>
        </w:tc>
      </w:tr>
      <w:tr>
        <w:trPr>
          <w:trHeight w:val="279"/>
        </w:trPr>
        <w:tc>
          <w:tcPr>
            <w:tcW w:w="8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foreign currency (gain) loss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2,006</w:t>
            </w:r>
          </w:p>
        </w:tc>
      </w:tr>
      <w:tr>
        <w:trPr>
          <w:trHeight w:val="261"/>
        </w:trPr>
        <w:tc>
          <w:tcPr>
            <w:tcW w:w="8100" w:type="dxa"/>
            <w:vAlign w:val="bottom"/>
          </w:tcPr>
          <w:p>
            <w:pPr>
              <w:ind w:left="180"/>
              <w:spacing w:after="0"/>
              <w:rPr>
                <w:sz w:val="20"/>
                <w:szCs w:val="20"/>
                <w:color w:val="auto"/>
              </w:rPr>
            </w:pPr>
            <w:r>
              <w:rPr>
                <w:rFonts w:ascii="Arial" w:cs="Arial" w:eastAsia="Arial" w:hAnsi="Arial"/>
                <w:sz w:val="17"/>
                <w:szCs w:val="17"/>
                <w:color w:val="auto"/>
              </w:rPr>
              <w:t>Fair value adjustments on deferred payment obligation</w:t>
            </w:r>
          </w:p>
        </w:tc>
        <w:tc>
          <w:tcPr>
            <w:tcW w:w="2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(1,920)</w:t>
            </w:r>
          </w:p>
        </w:tc>
      </w:tr>
      <w:tr>
        <w:trPr>
          <w:trHeight w:val="279"/>
        </w:trPr>
        <w:tc>
          <w:tcPr>
            <w:tcW w:w="8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Gain on extinguishment of deferred payment obligation</w:t>
            </w:r>
          </w:p>
        </w:tc>
        <w:tc>
          <w:tcPr>
            <w:tcW w:w="2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r>
      <w:tr>
        <w:trPr>
          <w:trHeight w:val="261"/>
        </w:trPr>
        <w:tc>
          <w:tcPr>
            <w:tcW w:w="8100" w:type="dxa"/>
            <w:vAlign w:val="bottom"/>
          </w:tcPr>
          <w:p>
            <w:pPr>
              <w:ind w:left="180"/>
              <w:spacing w:after="0"/>
              <w:rPr>
                <w:sz w:val="20"/>
                <w:szCs w:val="20"/>
                <w:color w:val="auto"/>
              </w:rPr>
            </w:pPr>
            <w:r>
              <w:rPr>
                <w:rFonts w:ascii="Arial" w:cs="Arial" w:eastAsia="Arial" w:hAnsi="Arial"/>
                <w:sz w:val="17"/>
                <w:szCs w:val="17"/>
                <w:color w:val="auto"/>
              </w:rPr>
              <w:t>Realized loss on exchange of short-term investments</w:t>
            </w:r>
          </w:p>
        </w:tc>
        <w:tc>
          <w:tcPr>
            <w:tcW w:w="2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290</w:t>
            </w:r>
          </w:p>
        </w:tc>
      </w:tr>
      <w:tr>
        <w:trPr>
          <w:trHeight w:val="279"/>
        </w:trPr>
        <w:tc>
          <w:tcPr>
            <w:tcW w:w="8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902</w:t>
            </w:r>
          </w:p>
        </w:tc>
      </w:tr>
      <w:tr>
        <w:trPr>
          <w:trHeight w:val="261"/>
        </w:trPr>
        <w:tc>
          <w:tcPr>
            <w:tcW w:w="8100" w:type="dxa"/>
            <w:vAlign w:val="bottom"/>
          </w:tcPr>
          <w:p>
            <w:pPr>
              <w:ind w:left="180"/>
              <w:spacing w:after="0"/>
              <w:rPr>
                <w:sz w:val="20"/>
                <w:szCs w:val="20"/>
                <w:color w:val="auto"/>
              </w:rPr>
            </w:pPr>
            <w:r>
              <w:rPr>
                <w:rFonts w:ascii="Arial" w:cs="Arial" w:eastAsia="Arial" w:hAnsi="Arial"/>
                <w:sz w:val="17"/>
                <w:szCs w:val="17"/>
                <w:color w:val="auto"/>
              </w:rPr>
              <w:t>Changes in assets and liabilities, net of business acquired:</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9"/>
        </w:trPr>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24,787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(8,168)</w:t>
            </w:r>
          </w:p>
        </w:tc>
      </w:tr>
      <w:tr>
        <w:trPr>
          <w:trHeight w:val="261"/>
        </w:trPr>
        <w:tc>
          <w:tcPr>
            <w:tcW w:w="8100" w:type="dxa"/>
            <w:vAlign w:val="bottom"/>
          </w:tcPr>
          <w:p>
            <w:pPr>
              <w:ind w:left="280"/>
              <w:spacing w:after="0"/>
              <w:rPr>
                <w:sz w:val="20"/>
                <w:szCs w:val="20"/>
                <w:color w:val="auto"/>
              </w:rPr>
            </w:pPr>
            <w:r>
              <w:rPr>
                <w:rFonts w:ascii="Arial" w:cs="Arial" w:eastAsia="Arial" w:hAnsi="Arial"/>
                <w:sz w:val="17"/>
                <w:szCs w:val="17"/>
                <w:color w:val="auto"/>
              </w:rPr>
              <w:t>Prepaid expenses and other assets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(6,630)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(11,177)</w:t>
            </w:r>
          </w:p>
        </w:tc>
      </w:tr>
      <w:tr>
        <w:trPr>
          <w:trHeight w:val="279"/>
        </w:trPr>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r>
      <w:tr>
        <w:trPr>
          <w:trHeight w:val="261"/>
        </w:trPr>
        <w:tc>
          <w:tcPr>
            <w:tcW w:w="8100" w:type="dxa"/>
            <w:vAlign w:val="bottom"/>
          </w:tcPr>
          <w:p>
            <w:pPr>
              <w:ind w:left="280"/>
              <w:spacing w:after="0"/>
              <w:rPr>
                <w:sz w:val="20"/>
                <w:szCs w:val="20"/>
                <w:color w:val="auto"/>
              </w:rPr>
            </w:pPr>
            <w:r>
              <w:rPr>
                <w:rFonts w:ascii="Arial" w:cs="Arial" w:eastAsia="Arial" w:hAnsi="Arial"/>
                <w:sz w:val="17"/>
                <w:szCs w:val="17"/>
                <w:color w:val="auto"/>
              </w:rPr>
              <w:t>Accrued and other liabilities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(3,742)</w:t>
            </w:r>
          </w:p>
        </w:tc>
      </w:tr>
      <w:tr>
        <w:trPr>
          <w:trHeight w:val="272"/>
        </w:trPr>
        <w:tc>
          <w:tcPr>
            <w:tcW w:w="81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(27,470)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(13,063)</w:t>
            </w:r>
          </w:p>
        </w:tc>
      </w:tr>
      <w:tr>
        <w:trPr>
          <w:trHeight w:val="250"/>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143,313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119,799</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1"/>
        </w:trPr>
        <w:tc>
          <w:tcPr>
            <w:tcW w:w="8100" w:type="dxa"/>
            <w:vAlign w:val="bottom"/>
          </w:tcPr>
          <w:p>
            <w:pPr>
              <w:ind w:left="40"/>
              <w:spacing w:after="0"/>
              <w:rPr>
                <w:sz w:val="20"/>
                <w:szCs w:val="20"/>
                <w:color w:val="auto"/>
              </w:rPr>
            </w:pPr>
            <w:r>
              <w:rPr>
                <w:rFonts w:ascii="Arial" w:cs="Arial" w:eastAsia="Arial" w:hAnsi="Arial"/>
                <w:sz w:val="17"/>
                <w:szCs w:val="17"/>
                <w:color w:val="auto"/>
              </w:rPr>
              <w:t>Purchases of investments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(32,811)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(62,955)</w:t>
            </w:r>
          </w:p>
        </w:tc>
      </w:tr>
      <w:tr>
        <w:trPr>
          <w:trHeight w:val="279"/>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Maturities of investments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83,335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48,073</w:t>
            </w:r>
          </w:p>
        </w:tc>
      </w:tr>
      <w:tr>
        <w:trPr>
          <w:trHeight w:val="261"/>
        </w:trPr>
        <w:tc>
          <w:tcPr>
            <w:tcW w:w="8100" w:type="dxa"/>
            <w:vAlign w:val="bottom"/>
          </w:tcPr>
          <w:p>
            <w:pPr>
              <w:ind w:left="40"/>
              <w:spacing w:after="0"/>
              <w:rPr>
                <w:sz w:val="20"/>
                <w:szCs w:val="20"/>
                <w:color w:val="auto"/>
              </w:rPr>
            </w:pPr>
            <w:r>
              <w:rPr>
                <w:rFonts w:ascii="Arial" w:cs="Arial" w:eastAsia="Arial" w:hAnsi="Arial"/>
                <w:sz w:val="17"/>
                <w:szCs w:val="17"/>
                <w:color w:val="auto"/>
              </w:rPr>
              <w:t>Sales of investments</w:t>
            </w:r>
          </w:p>
        </w:tc>
        <w:tc>
          <w:tcPr>
            <w:tcW w:w="2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145,925</w:t>
            </w:r>
          </w:p>
        </w:tc>
      </w:tr>
      <w:tr>
        <w:trPr>
          <w:trHeight w:val="279"/>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Business acquisition, net of cash acquired</w:t>
            </w:r>
          </w:p>
        </w:tc>
        <w:tc>
          <w:tcPr>
            <w:tcW w:w="2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(228,453)</w:t>
            </w:r>
          </w:p>
        </w:tc>
      </w:tr>
      <w:tr>
        <w:trPr>
          <w:trHeight w:val="261"/>
        </w:trPr>
        <w:tc>
          <w:tcPr>
            <w:tcW w:w="8100" w:type="dxa"/>
            <w:vAlign w:val="bottom"/>
          </w:tcPr>
          <w:p>
            <w:pPr>
              <w:ind w:left="40"/>
              <w:spacing w:after="0"/>
              <w:rPr>
                <w:sz w:val="20"/>
                <w:szCs w:val="20"/>
                <w:color w:val="auto"/>
              </w:rPr>
            </w:pPr>
            <w:r>
              <w:rPr>
                <w:rFonts w:ascii="Arial" w:cs="Arial" w:eastAsia="Arial" w:hAnsi="Arial"/>
                <w:sz w:val="17"/>
                <w:szCs w:val="17"/>
                <w:color w:val="auto"/>
              </w:rPr>
              <w:t>Decrease (increase) in restricted cash</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427</w:t>
            </w:r>
          </w:p>
        </w:tc>
      </w:tr>
      <w:tr>
        <w:trPr>
          <w:trHeight w:val="279"/>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Purchases of property and equipment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(3,004)</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Acquisitions of patent assets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(54,492)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(71,021)</w:t>
            </w: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(171,008)</w:t>
            </w:r>
          </w:p>
        </w:tc>
      </w:tr>
      <w:tr>
        <w:trPr>
          <w:trHeight w:val="255"/>
        </w:trPr>
        <w:tc>
          <w:tcPr>
            <w:tcW w:w="8100" w:type="dxa"/>
            <w:vAlign w:val="bottom"/>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9"/>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Proceeds from issuance of term debt</w:t>
            </w:r>
          </w:p>
        </w:tc>
        <w:tc>
          <w:tcPr>
            <w:tcW w:w="2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100,000</w:t>
            </w:r>
          </w:p>
        </w:tc>
      </w:tr>
      <w:tr>
        <w:trPr>
          <w:trHeight w:val="261"/>
        </w:trPr>
        <w:tc>
          <w:tcPr>
            <w:tcW w:w="8100" w:type="dxa"/>
            <w:vAlign w:val="bottom"/>
          </w:tcPr>
          <w:p>
            <w:pPr>
              <w:ind w:left="40"/>
              <w:spacing w:after="0"/>
              <w:rPr>
                <w:sz w:val="20"/>
                <w:szCs w:val="20"/>
                <w:color w:val="auto"/>
              </w:rPr>
            </w:pPr>
            <w:r>
              <w:rPr>
                <w:rFonts w:ascii="Arial" w:cs="Arial" w:eastAsia="Arial" w:hAnsi="Arial"/>
                <w:sz w:val="17"/>
                <w:szCs w:val="17"/>
                <w:color w:val="auto"/>
              </w:rPr>
              <w:t>Payment of debt issuance costs</w:t>
            </w:r>
          </w:p>
        </w:tc>
        <w:tc>
          <w:tcPr>
            <w:tcW w:w="2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(2,003)</w:t>
            </w:r>
          </w:p>
        </w:tc>
      </w:tr>
      <w:tr>
        <w:trPr>
          <w:trHeight w:val="279"/>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Repayment of principal on term debt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r>
      <w:tr>
        <w:trPr>
          <w:trHeight w:val="261"/>
        </w:trPr>
        <w:tc>
          <w:tcPr>
            <w:tcW w:w="8100" w:type="dxa"/>
            <w:vAlign w:val="bottom"/>
          </w:tcPr>
          <w:p>
            <w:pPr>
              <w:ind w:left="40"/>
              <w:spacing w:after="0"/>
              <w:rPr>
                <w:sz w:val="20"/>
                <w:szCs w:val="20"/>
                <w:color w:val="auto"/>
              </w:rPr>
            </w:pPr>
            <w:r>
              <w:rPr>
                <w:rFonts w:ascii="Arial" w:cs="Arial" w:eastAsia="Arial" w:hAnsi="Arial"/>
                <w:sz w:val="17"/>
                <w:szCs w:val="17"/>
                <w:color w:val="auto"/>
              </w:rPr>
              <w:t>Deferred acquisition payment</w:t>
            </w:r>
          </w:p>
        </w:tc>
        <w:tc>
          <w:tcPr>
            <w:tcW w:w="2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(1,320)</w:t>
            </w:r>
          </w:p>
        </w:tc>
      </w:tr>
      <w:tr>
        <w:trPr>
          <w:trHeight w:val="279"/>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Proceeds from exercise of stock options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5,964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3,657</w:t>
            </w:r>
          </w:p>
        </w:tc>
      </w:tr>
      <w:tr>
        <w:trPr>
          <w:trHeight w:val="261"/>
        </w:trPr>
        <w:tc>
          <w:tcPr>
            <w:tcW w:w="8100" w:type="dxa"/>
            <w:vAlign w:val="bottom"/>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(3,135)</w:t>
            </w:r>
          </w:p>
        </w:tc>
      </w:tr>
      <w:tr>
        <w:trPr>
          <w:trHeight w:val="279"/>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2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90</w:t>
            </w:r>
          </w:p>
        </w:tc>
      </w:tr>
      <w:tr>
        <w:trPr>
          <w:trHeight w:val="261"/>
        </w:trPr>
        <w:tc>
          <w:tcPr>
            <w:tcW w:w="8100" w:type="dxa"/>
            <w:vAlign w:val="bottom"/>
          </w:tcPr>
          <w:p>
            <w:pPr>
              <w:ind w:left="40"/>
              <w:spacing w:after="0"/>
              <w:rPr>
                <w:sz w:val="20"/>
                <w:szCs w:val="20"/>
                <w:color w:val="auto"/>
              </w:rPr>
            </w:pPr>
            <w:r>
              <w:rPr>
                <w:rFonts w:ascii="Arial" w:cs="Arial" w:eastAsia="Arial" w:hAnsi="Arial"/>
                <w:sz w:val="17"/>
                <w:szCs w:val="17"/>
                <w:color w:val="auto"/>
              </w:rPr>
              <w:t>Payments of capital leases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(352)</w:t>
            </w:r>
          </w:p>
        </w:tc>
      </w:tr>
      <w:tr>
        <w:trPr>
          <w:trHeight w:val="272"/>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Repurchase of common stock</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(50,752)</w:t>
            </w:r>
          </w:p>
        </w:tc>
      </w:tr>
      <w:tr>
        <w:trPr>
          <w:trHeight w:val="250"/>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43,685</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Foreign-currency effect on cash and cash equivalents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515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61"/>
        </w:trPr>
        <w:tc>
          <w:tcPr>
            <w:tcW w:w="8100" w:type="dxa"/>
            <w:vAlign w:val="bottom"/>
          </w:tcPr>
          <w:p>
            <w:pPr>
              <w:ind w:left="380"/>
              <w:spacing w:after="0"/>
              <w:rPr>
                <w:sz w:val="20"/>
                <w:szCs w:val="20"/>
                <w:color w:val="auto"/>
              </w:rPr>
            </w:pPr>
            <w:r>
              <w:rPr>
                <w:rFonts w:ascii="Arial" w:cs="Arial" w:eastAsia="Arial" w:hAnsi="Arial"/>
                <w:sz w:val="17"/>
                <w:szCs w:val="17"/>
                <w:color w:val="auto"/>
              </w:rPr>
              <w:t>Net increase (decrease) in cash and cash equivalents</w:t>
            </w: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128,299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(7,815)</w:t>
            </w:r>
          </w:p>
        </w:tc>
      </w:tr>
      <w:tr>
        <w:trPr>
          <w:trHeight w:val="272"/>
        </w:trPr>
        <w:tc>
          <w:tcPr>
            <w:tcW w:w="8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100,111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94,983</w:t>
            </w:r>
          </w:p>
        </w:tc>
      </w:tr>
      <w:tr>
        <w:trPr>
          <w:trHeight w:val="281"/>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228,410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87,168</w:t>
            </w:r>
          </w:p>
        </w:tc>
      </w:tr>
      <w:tr>
        <w:trPr>
          <w:trHeight w:val="253"/>
        </w:trPr>
        <w:tc>
          <w:tcPr>
            <w:tcW w:w="8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patent assets purchased and accrued but not paid</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fixed assets purchased and accrued but not paid</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485</w:t>
            </w:r>
          </w:p>
        </w:tc>
      </w:tr>
      <w:tr>
        <w:trPr>
          <w:trHeight w:val="23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 assets received in barter transactions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40"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99"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RPX Corporation (also referred to herein as “RPX” or the “Company”) helps companies reduce patent litigation risk and corporate legal expense through two primary service offerings: its patent risk management services and its discovery services.</w:t>
      </w:r>
    </w:p>
    <w:p>
      <w:pPr>
        <w:spacing w:after="0" w:line="19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Company's patent risk management services help companies reduce patent-related risk and expense through subscription-based services that facilitate more efficient exchanges of value between owners and users of patents compared to transactions driven by actual or threatened litigation. The Company’s patent risk management membership clients pay an annual subscription fee and in return, receive access to substantially all of the Company's patent portfolio as well as an array of services provided throughout their membership. Access to these services is available primarily through discussions with the Company's professionals—particularly client relations and its team of patent experts, as well as through a proprietary database, and attendance at periodic conferences.</w:t>
      </w:r>
    </w:p>
    <w:p>
      <w:pPr>
        <w:spacing w:after="0" w:line="20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addition to its subscription-based patent risk management services, the Company underwrites patent infringement liability insurance policies to insure against certain costs of litigation. The Company uses a reinsurance subsidiary company to assume a portion of the underwriting risk on the insurance policies that the Company issues on behalf of a Lloyd's of London underwriting syndicate. To date, the effect of the insurance policies that the Company has assumed through its reinsurance business has not been material to the Company’s results of operations, financial condition, or cash flows.</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January 2016, the Company acquired Inventus Solutions, Inc. ("Inventus"), now a wholly owned subsidiary of the Company, and began offering its discovery services, which consist of technology-enabled services to assist law firms and corporate legal departments manage costs and risks related to the litigation discovery process. The Company's discovery services include data hosting and backup, data processing and collection, project management, document review, and traditional document production. All of these services are designed to streamline the administration of litigation, investigations, and regulatory compliance.</w:t>
      </w:r>
    </w:p>
    <w:p>
      <w:pPr>
        <w:spacing w:after="0" w:line="143" w:lineRule="exact"/>
        <w:rPr>
          <w:sz w:val="20"/>
          <w:szCs w:val="20"/>
          <w:color w:val="auto"/>
        </w:rPr>
      </w:pPr>
    </w:p>
    <w:p>
      <w:pPr>
        <w:ind w:left="500" w:right="5980" w:hanging="492"/>
        <w:spacing w:after="0" w:line="341"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accompanying condensed consolidated balance sheet as of September 30, 2017, the condensed consolidated statements of operations and the condensed consolidated statements of comprehensive income for the three and nine months ended September 30, 2017 and 2016, and the condensed consolidated statements of cash flows for the nine months ended September 30, 2017 and 2016, are unaudited. The condensed consolidated balance sheet as of December 31, 2016 was derived from the audited consolidated financial statements which are included in the Company’s Annual Report on Form 10-K for the fiscal year ended December 31, 2016, which was filed with the U.S. Securities and Exchange Commission (“SEC”) on February 28, 2017. The unaudited condensed consolidated financial statements should be read in conjunction with the audited financial statements and accompanying notes included in the Company’s Annual Report on Form 10-K for the year ended December 31, 2016.</w:t>
      </w:r>
    </w:p>
    <w:p>
      <w:pPr>
        <w:spacing w:after="0" w:line="20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or nine months ended September 30, 2017 are not necessarily indicative of the results that may be expected for any subsequent interim period or for the year ending December 31, 2017.</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9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There have been no material changes to the Company’s significant accounting policies during the nine months ended September 30, 2017,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February 28, 2017.</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2016, the Financial Accounting Standards Board ("FASB") issued Accounting Standards Update ("ASU") No.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("ASU 2016-09"). ASU 2016-09 identifies areas for simplification involving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aspects of accounting for share-based payment transactions, including the income tax consequences, classification of awards as either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liabilities, an option to recognize gross stock compensation expense with actual forfeitures recognized as they occur, as well as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classifications on the statement of cash flows. The amendments in this update became effective in the first quarter of 2017.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adopted this standard on January 1, 2017 and the standard did not have a material impact on its consolidated financial statements.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81"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2017-09") which clarifies the changes to terms or conditions of a share-based payment award that require an entity to apply modification accounting. ASU 2017-09 is effective for annual reporting periods, and interim periods therein, beginning after December 15, 2017. Early application is permitted and prospective application is required. The Company is currently evaluating impact of this guidance on its consolidated financial statements.</w:t>
      </w:r>
    </w:p>
    <w:p>
      <w:pPr>
        <w:spacing w:after="0" w:line="18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 - Nonrefundable Fees and Other Costs (Subtopic 310-20): Premium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Amortization on Purchased Callable Debt Securities </w:t>
      </w:r>
      <w:r>
        <w:rPr>
          <w:rFonts w:ascii="Arial" w:cs="Arial" w:eastAsia="Arial" w:hAnsi="Arial"/>
          <w:sz w:val="18"/>
          <w:szCs w:val="18"/>
          <w:color w:val="auto"/>
        </w:rPr>
        <w:t>(“ASU 2017-08”), which shortens the amortization period for certain callable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held at a premium. Specifically, the amendments require the premium to be amortized to the earliest call date. The amendments do not require an accounting change for securities held at a discount; the discount continues to be amortized to maturity. For public entities, ASU 2017-08 is effective for fiscal years beginning after December 15, 2018, and interim periods within those fiscal years. The Company does not expect the adoption of this guidance to have a material impact on its consolidated financial statements.</w:t>
      </w:r>
    </w:p>
    <w:p>
      <w:pPr>
        <w:spacing w:after="0" w:line="183"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 xml:space="preserve">In February 2017, the FASB issued ASU No. 2017-05, </w:t>
      </w:r>
      <w:r>
        <w:rPr>
          <w:rFonts w:ascii="Arial" w:cs="Arial" w:eastAsia="Arial" w:hAnsi="Arial"/>
          <w:sz w:val="18"/>
          <w:szCs w:val="18"/>
          <w:i w:val="1"/>
          <w:iCs w:val="1"/>
          <w:color w:val="auto"/>
        </w:rPr>
        <w:t>Other Income - Gains and Losses from the Derecognition of Nonfinancial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This ASU was issued to clarify</w:t>
      </w:r>
      <w:r>
        <w:rPr>
          <w:rFonts w:ascii="Arial" w:cs="Arial" w:eastAsia="Arial" w:hAnsi="Arial"/>
          <w:sz w:val="18"/>
          <w:szCs w:val="18"/>
          <w:i w:val="1"/>
          <w:iCs w:val="1"/>
          <w:color w:val="auto"/>
        </w:rPr>
        <w:t xml:space="preserve"> </w:t>
      </w:r>
      <w:r>
        <w:rPr>
          <w:rFonts w:ascii="Arial" w:cs="Arial" w:eastAsia="Arial" w:hAnsi="Arial"/>
          <w:sz w:val="18"/>
          <w:szCs w:val="18"/>
          <w:color w:val="auto"/>
        </w:rPr>
        <w:t>the scope of the previous standard and to add guidance for partial sales of nonfinancial assets and is effective for fiscal years and interim periods within those years beginning after December 15, 2017. The Company does not expect the adoption of this guidance to have a material impact on its consolidated financial statements.</w:t>
      </w:r>
    </w:p>
    <w:p>
      <w:pPr>
        <w:spacing w:after="0" w:line="184" w:lineRule="exact"/>
        <w:rPr>
          <w:sz w:val="20"/>
          <w:szCs w:val="20"/>
          <w:color w:val="auto"/>
        </w:rPr>
      </w:pPr>
    </w:p>
    <w:p>
      <w:pPr>
        <w:ind w:right="260" w:firstLine="486"/>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Simplifying the Test for Goodwill Impairment,</w:t>
      </w:r>
      <w:r>
        <w:rPr>
          <w:rFonts w:ascii="Arial" w:cs="Arial" w:eastAsia="Arial" w:hAnsi="Arial"/>
          <w:sz w:val="18"/>
          <w:szCs w:val="18"/>
          <w:color w:val="auto"/>
        </w:rPr>
        <w:t xml:space="preserve"> which simplifies the subsequent measurement of goodwill and eliminates the two-step goodwill impairment test. Under the new guidance, an annual or interim goodwill impairment test is performed by comparing the fair value of a reporting unit with its carrying amount, and an impairment charge is recognized for the amount by which the carrying amount exceeds the reporting unit’s fair value. The amendment also eliminates the requirements for any reporting unit with a zero or negative carrying amount to perform a qualitative assessment and two-step goodwill impairment test. The ASU is effective prospectively for fiscal years and interim periods within those years beginning after December 15, 2019. Early adoption is permitted for interim or annual goodwill impairment tests performed on testing dates after January 1, 2017. The Company will early adopt this ASU for goodwill impairment tests beginning in 2017.</w:t>
      </w:r>
    </w:p>
    <w:p>
      <w:pPr>
        <w:spacing w:after="0" w:line="185" w:lineRule="exact"/>
        <w:rPr>
          <w:sz w:val="20"/>
          <w:szCs w:val="20"/>
          <w:color w:val="auto"/>
        </w:rPr>
      </w:pPr>
    </w:p>
    <w:p>
      <w:pPr>
        <w:ind w:right="240" w:firstLine="486"/>
        <w:spacing w:after="0" w:line="261"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Clarifying the Definition of a Business,</w:t>
      </w:r>
      <w:r>
        <w:rPr>
          <w:rFonts w:ascii="Arial" w:cs="Arial" w:eastAsia="Arial" w:hAnsi="Arial"/>
          <w:sz w:val="18"/>
          <w:szCs w:val="18"/>
          <w:color w:val="auto"/>
        </w:rPr>
        <w:t xml:space="preserve"> which provides a more robust framework to use in determining when a set of assets and activities is a business. This ASU is effective prospectively for fiscal years and interim periods within those years beginning after December 15, 2017. The Company will apply this guidance to applicable transactions after the adoption date.</w:t>
      </w:r>
    </w:p>
    <w:p>
      <w:pPr>
        <w:spacing w:after="0" w:line="180"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 xml:space="preserve">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well as associated ASUs 2016-08, 2016-10, 2016-12, 2016-20, 2017-13 (the foregoing ASUs collectively, "Topic 606"), which will supersede most existing revenue recognition guidance in U.S. GAAP. Topic 606 becomes effective for annual and interim periods beginning after December 15, 2017; early adoption is permitted for annual and interim periods beginning after December 15, 2016. The Company plans to adopt Topic 606 on January 1, 2018, using the full retrospective method of adoption. This standard will have a material effect on the Company's consolidated financial statements due to the identification of multiple performance obligations from its patent risk management membership subscription and the timing of recognition for these separable performance obligations. Specifically, the Company will recognize separate performance obligations under Topic 606 for certain discrete patent assets transferred to its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membership clients as well as for access to the Company's patent portfolio clients obtain when becoming a member or renewing membership. The revenue generated from these additional performance obligations will be recognized at a point in time. Under existing U.S. GAAP, the Company generally recognizes the membership fees ratably on a gross basis over the term of the customer contract. Therefore, the adoption of Topic 606 may increase the variability of the revenue recognized from the Company's patent risk management services from period to period.</w:t>
      </w:r>
    </w:p>
    <w:p>
      <w:pPr>
        <w:spacing w:after="0" w:line="206"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The Company will determine whether revenue should be recognized on a gross or net basis under Topic 606, which may result in revenue which is recognized on a gross basis under current U.S. GAAP to be recognized on a net basis under Topic 606 due to the additional separable performance obligations. Additionally, based on the Company's initial assessment, it does not expect Topic 606 to have a material impact on its discovery services segment.</w:t>
      </w:r>
    </w:p>
    <w:p>
      <w:pPr>
        <w:spacing w:after="0" w:line="14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99"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Basic and diluted net income per share are computed by dividing net income by the weighted-average number of shares of common stock outstanding during the period. Diluted net income per share is computed by using the weighted-average number of shares of common stock outstanding during the period, including potentially dilutive shares. Potentially dilutive shares include outstanding stock options and restricted stock units ("RSUs"). The dilutive effect of potentially dilutive shares is reflected in diluted earnings per share by application of the treasury stock method. Under the treasury stock method, an increase in the fair value of the Company's common stock can result in a greater dilutive effect from potentially dilutive shares.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6,366</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8,115</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16,551</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16,502</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80"/>
              <w:spacing w:after="0"/>
              <w:rPr>
                <w:sz w:val="20"/>
                <w:szCs w:val="20"/>
                <w:color w:val="auto"/>
              </w:rPr>
            </w:pPr>
            <w:r>
              <w:rPr>
                <w:rFonts w:ascii="Arial" w:cs="Arial" w:eastAsia="Arial" w:hAnsi="Arial"/>
                <w:sz w:val="18"/>
                <w:szCs w:val="18"/>
                <w:color w:val="auto"/>
              </w:rPr>
              <w:t>Weighted-average shares used in computing basic net</w:t>
            </w:r>
          </w:p>
        </w:tc>
        <w:tc>
          <w:tcPr>
            <w:tcW w:w="220" w:type="dxa"/>
            <w:vAlign w:val="bottom"/>
          </w:tcPr>
          <w:p>
            <w:pPr>
              <w:spacing w:after="0"/>
              <w:rPr>
                <w:sz w:val="19"/>
                <w:szCs w:val="19"/>
                <w:color w:val="auto"/>
              </w:rPr>
            </w:pPr>
          </w:p>
        </w:tc>
        <w:tc>
          <w:tcPr>
            <w:tcW w:w="1400" w:type="dxa"/>
            <w:vAlign w:val="bottom"/>
            <w:vMerge w:val="restart"/>
          </w:tcPr>
          <w:p>
            <w:pPr>
              <w:jc w:val="right"/>
              <w:ind w:right="32"/>
              <w:spacing w:after="0"/>
              <w:rPr>
                <w:sz w:val="20"/>
                <w:szCs w:val="20"/>
                <w:color w:val="auto"/>
              </w:rPr>
            </w:pPr>
            <w:r>
              <w:rPr>
                <w:rFonts w:ascii="Arial" w:cs="Arial" w:eastAsia="Arial" w:hAnsi="Arial"/>
                <w:sz w:val="18"/>
                <w:szCs w:val="18"/>
                <w:color w:val="auto"/>
              </w:rPr>
              <w:t>49,556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49,713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vMerge w:val="restart"/>
          </w:tcPr>
          <w:p>
            <w:pPr>
              <w:jc w:val="right"/>
              <w:ind w:right="12"/>
              <w:spacing w:after="0"/>
              <w:rPr>
                <w:sz w:val="20"/>
                <w:szCs w:val="20"/>
                <w:color w:val="auto"/>
              </w:rPr>
            </w:pPr>
            <w:r>
              <w:rPr>
                <w:rFonts w:ascii="Arial" w:cs="Arial" w:eastAsia="Arial" w:hAnsi="Arial"/>
                <w:sz w:val="18"/>
                <w:szCs w:val="18"/>
                <w:color w:val="auto"/>
              </w:rPr>
              <w:t>49,128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50,932</w:t>
            </w: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income per share</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80"/>
              <w:spacing w:after="0"/>
              <w:rPr>
                <w:sz w:val="20"/>
                <w:szCs w:val="20"/>
                <w:color w:val="auto"/>
              </w:rPr>
            </w:pPr>
            <w:r>
              <w:rPr>
                <w:rFonts w:ascii="Arial" w:cs="Arial" w:eastAsia="Arial" w:hAnsi="Arial"/>
                <w:sz w:val="18"/>
                <w:szCs w:val="18"/>
                <w:color w:val="auto"/>
              </w:rPr>
              <w:t>Weighted-average shares used in computing basic net</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80"/>
              <w:spacing w:after="0"/>
              <w:rPr>
                <w:sz w:val="20"/>
                <w:szCs w:val="20"/>
                <w:color w:val="auto"/>
              </w:rPr>
            </w:pPr>
            <w:r>
              <w:rPr>
                <w:rFonts w:ascii="Arial" w:cs="Arial" w:eastAsia="Arial" w:hAnsi="Arial"/>
                <w:sz w:val="18"/>
                <w:szCs w:val="18"/>
                <w:color w:val="auto"/>
              </w:rPr>
              <w:t>income per share</w:t>
            </w:r>
          </w:p>
        </w:tc>
        <w:tc>
          <w:tcPr>
            <w:tcW w:w="22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49,556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49,713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49,128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50,932</w:t>
            </w:r>
          </w:p>
        </w:tc>
        <w:tc>
          <w:tcPr>
            <w:tcW w:w="0" w:type="dxa"/>
            <w:vAlign w:val="bottom"/>
          </w:tcPr>
          <w:p>
            <w:pPr>
              <w:spacing w:after="0"/>
              <w:rPr>
                <w:sz w:val="1"/>
                <w:szCs w:val="1"/>
                <w:color w:val="auto"/>
              </w:rPr>
            </w:pPr>
          </w:p>
        </w:tc>
      </w:tr>
      <w:tr>
        <w:trPr>
          <w:trHeight w:val="235"/>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Dilutive effect of stock options and restricted stock</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units using the treasury-stock method</w:t>
            </w:r>
          </w:p>
        </w:tc>
        <w:tc>
          <w:tcPr>
            <w:tcW w:w="2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9"/>
        </w:trPr>
        <w:tc>
          <w:tcPr>
            <w:tcW w:w="4660" w:type="dxa"/>
            <w:vAlign w:val="bottom"/>
          </w:tcPr>
          <w:p>
            <w:pPr>
              <w:ind w:left="280"/>
              <w:spacing w:after="0"/>
              <w:rPr>
                <w:sz w:val="20"/>
                <w:szCs w:val="20"/>
                <w:color w:val="auto"/>
              </w:rPr>
            </w:pPr>
            <w:r>
              <w:rPr>
                <w:rFonts w:ascii="Arial" w:cs="Arial" w:eastAsia="Arial" w:hAnsi="Arial"/>
                <w:sz w:val="18"/>
                <w:szCs w:val="18"/>
                <w:color w:val="auto"/>
              </w:rPr>
              <w:t>Weighted-average shares used in computing diluted</w:t>
            </w:r>
          </w:p>
        </w:tc>
        <w:tc>
          <w:tcPr>
            <w:tcW w:w="220" w:type="dxa"/>
            <w:vAlign w:val="bottom"/>
          </w:tcPr>
          <w:p>
            <w:pPr>
              <w:spacing w:after="0"/>
              <w:rPr>
                <w:sz w:val="18"/>
                <w:szCs w:val="18"/>
                <w:color w:val="auto"/>
              </w:rPr>
            </w:pPr>
          </w:p>
        </w:tc>
        <w:tc>
          <w:tcPr>
            <w:tcW w:w="1400" w:type="dxa"/>
            <w:vAlign w:val="bottom"/>
            <w:vMerge w:val="restart"/>
          </w:tcPr>
          <w:p>
            <w:pPr>
              <w:jc w:val="right"/>
              <w:ind w:right="32"/>
              <w:spacing w:after="0"/>
              <w:rPr>
                <w:sz w:val="20"/>
                <w:szCs w:val="20"/>
                <w:color w:val="auto"/>
              </w:rPr>
            </w:pPr>
            <w:r>
              <w:rPr>
                <w:rFonts w:ascii="Arial" w:cs="Arial" w:eastAsia="Arial" w:hAnsi="Arial"/>
                <w:sz w:val="18"/>
                <w:szCs w:val="18"/>
                <w:color w:val="auto"/>
              </w:rPr>
              <w:t>50,317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50,247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vMerge w:val="restart"/>
          </w:tcPr>
          <w:p>
            <w:pPr>
              <w:jc w:val="right"/>
              <w:ind w:right="12"/>
              <w:spacing w:after="0"/>
              <w:rPr>
                <w:sz w:val="20"/>
                <w:szCs w:val="20"/>
                <w:color w:val="auto"/>
              </w:rPr>
            </w:pPr>
            <w:r>
              <w:rPr>
                <w:rFonts w:ascii="Arial" w:cs="Arial" w:eastAsia="Arial" w:hAnsi="Arial"/>
                <w:sz w:val="18"/>
                <w:szCs w:val="18"/>
                <w:color w:val="auto"/>
              </w:rPr>
              <w:t>49,887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51,462</w:t>
            </w: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per share</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46"/>
        <w:spacing w:after="0" w:line="262" w:lineRule="auto"/>
        <w:rPr>
          <w:sz w:val="20"/>
          <w:szCs w:val="20"/>
          <w:color w:val="auto"/>
        </w:rPr>
      </w:pPr>
      <w:r>
        <w:rPr>
          <w:rFonts w:ascii="Arial" w:cs="Arial" w:eastAsia="Arial" w:hAnsi="Arial"/>
          <w:sz w:val="18"/>
          <w:szCs w:val="18"/>
          <w:color w:val="auto"/>
        </w:rPr>
        <w:t>The following securities were not included in the calculation of diluted shares outstanding as the effect would have been anti-dilutive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334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9"/>
                <w:szCs w:val="19"/>
                <w:color w:val="auto"/>
              </w:rPr>
            </w:pPr>
          </w:p>
        </w:tc>
        <w:tc>
          <w:tcPr>
            <w:tcW w:w="326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7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2016</w:t>
            </w:r>
          </w:p>
        </w:tc>
      </w:tr>
      <w:tr>
        <w:trPr>
          <w:trHeight w:val="27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weighted-average:</w:t>
            </w: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6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2"/>
                <w:szCs w:val="22"/>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782</w:t>
            </w:r>
          </w:p>
        </w:tc>
      </w:tr>
      <w:tr>
        <w:trPr>
          <w:trHeight w:val="277"/>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2,253</w:t>
            </w:r>
          </w:p>
        </w:tc>
      </w:tr>
      <w:tr>
        <w:trPr>
          <w:trHeight w:val="459"/>
        </w:trPr>
        <w:tc>
          <w:tcPr>
            <w:tcW w:w="58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September 30, 2017</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Amortized</w:t>
            </w:r>
          </w:p>
        </w:tc>
        <w:tc>
          <w:tcPr>
            <w:tcW w:w="140" w:type="dxa"/>
            <w:vAlign w:val="bottom"/>
          </w:tcPr>
          <w:p>
            <w:pPr>
              <w:spacing w:after="0"/>
              <w:rPr>
                <w:sz w:val="22"/>
                <w:szCs w:val="22"/>
                <w:color w:val="auto"/>
              </w:rPr>
            </w:pPr>
          </w:p>
        </w:tc>
        <w:tc>
          <w:tcPr>
            <w:tcW w:w="1680" w:type="dxa"/>
            <w:vAlign w:val="bottom"/>
            <w:gridSpan w:val="5"/>
          </w:tcPr>
          <w:p>
            <w:pPr>
              <w:ind w:left="3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22"/>
                <w:szCs w:val="2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Estimated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3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3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4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24,041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24,041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24,041</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44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35,714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35,714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35,714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and agency securities</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48,303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4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110,989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110,989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35,714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75,275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44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8,957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8,954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8,954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and agency securities</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39,047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39,045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39,045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Amortized</w:t>
            </w:r>
          </w:p>
        </w:tc>
        <w:tc>
          <w:tcPr>
            <w:tcW w:w="140" w:type="dxa"/>
            <w:vAlign w:val="bottom"/>
          </w:tcPr>
          <w:p>
            <w:pPr>
              <w:spacing w:after="0"/>
              <w:rPr>
                <w:sz w:val="22"/>
                <w:szCs w:val="22"/>
                <w:color w:val="auto"/>
              </w:rPr>
            </w:pPr>
          </w:p>
        </w:tc>
        <w:tc>
          <w:tcPr>
            <w:tcW w:w="1680" w:type="dxa"/>
            <w:vAlign w:val="bottom"/>
            <w:gridSpan w:val="5"/>
          </w:tcPr>
          <w:p>
            <w:pPr>
              <w:ind w:left="3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22"/>
                <w:szCs w:val="2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Estimated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3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3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44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3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34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33,356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33,356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4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44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3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20,033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20,038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20,038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91,031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90,877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The Company's financial investments are generally classified as available-for-sale. Available-for-sale securities are reported at fair value, with unrealized gains and losses, net of tax, included as a separate component of stockholders’ equity within accumulated other comprehensive loss. Realized gains and losses on these securities are included in other income (expense), net in the Company’s condensed consolidated statements of operations and have not been material for all periods presented.</w:t>
      </w:r>
    </w:p>
    <w:p>
      <w:pPr>
        <w:spacing w:after="0" w:line="204" w:lineRule="exact"/>
        <w:rPr>
          <w:sz w:val="20"/>
          <w:szCs w:val="20"/>
          <w:color w:val="auto"/>
        </w:rPr>
      </w:pPr>
    </w:p>
    <w:p>
      <w:pPr>
        <w:ind w:right="260" w:firstLine="446"/>
        <w:spacing w:after="0" w:line="256" w:lineRule="auto"/>
        <w:rPr>
          <w:sz w:val="20"/>
          <w:szCs w:val="20"/>
          <w:color w:val="auto"/>
        </w:rPr>
      </w:pPr>
      <w:r>
        <w:rPr>
          <w:rFonts w:ascii="Arial" w:cs="Arial" w:eastAsia="Arial" w:hAnsi="Arial"/>
          <w:sz w:val="18"/>
          <w:szCs w:val="18"/>
          <w:color w:val="auto"/>
        </w:rPr>
        <w:t>As of September 30, 2017 and December 31, 2016, approximately 100% and 96%, respectively, of the Company's marketable security investments mature within one year and nil and 4%, respectively, mature within one to five years. As of September 30, 2017, no individual security incurred continuous unrealized losses for greater than 12 months.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Patent assets, net,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4"/>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134"/>
              <w:spacing w:after="0"/>
              <w:rPr>
                <w:sz w:val="20"/>
                <w:szCs w:val="20"/>
                <w:color w:val="auto"/>
              </w:rPr>
            </w:pPr>
            <w:r>
              <w:rPr>
                <w:rFonts w:ascii="Arial" w:cs="Arial" w:eastAsia="Arial" w:hAnsi="Arial"/>
                <w:sz w:val="16"/>
                <w:szCs w:val="16"/>
                <w:b w:val="1"/>
                <w:bCs w:val="1"/>
                <w:color w:val="auto"/>
              </w:rPr>
              <w:t>September 30,</w:t>
            </w:r>
          </w:p>
        </w:tc>
      </w:tr>
      <w:tr>
        <w:trPr>
          <w:trHeight w:val="228"/>
        </w:trPr>
        <w:tc>
          <w:tcPr>
            <w:tcW w:w="5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Additions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Disposals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932,283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54,574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984,183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(719,284)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(118,922)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(835,676)</w:t>
            </w: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212,999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148,507</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patent asset portfolio on a straight-line basis over its estimated economic useful life. As of September 30, 2017, the estimated economic useful lives of the Company’s patent assets generally ranged from 24 to 60 months. As of September 30, 2017, the weighted-average estimated economic useful life at the time of acquisition of all patent assets acquired since the Company’s inception was 40 months. Patent assets acquired during the nine months ended September 30, 2017 had a weighted-average estimated economic useful life at the time of acquisition of 22 months.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35,510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81,906</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27,135</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3,956</w:t>
            </w: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148,507</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0" w:firstLine="446"/>
        <w:spacing w:after="0" w:line="256" w:lineRule="auto"/>
        <w:rPr>
          <w:sz w:val="20"/>
          <w:szCs w:val="20"/>
          <w:color w:val="auto"/>
        </w:rPr>
      </w:pPr>
      <w:r>
        <w:rPr>
          <w:rFonts w:ascii="Arial" w:cs="Arial" w:eastAsia="Arial" w:hAnsi="Arial"/>
          <w:sz w:val="18"/>
          <w:szCs w:val="18"/>
          <w:color w:val="auto"/>
        </w:rPr>
        <w:t>Amortization expense related to the Company's patent assets was $39.5 million and $40.4 million for the three months ended September 30, 2017 and 2016, respectively, and $119.1 million and $119.9 million for the nine months ended September 30, 2017 and 2016, respectively.</w:t>
      </w:r>
    </w:p>
    <w:p>
      <w:pPr>
        <w:spacing w:after="0" w:line="139"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52"/>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2016</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7,827</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2,169</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5,204</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935</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50"/>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gross</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16,318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5,691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6,948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80" w:firstLine="446"/>
        <w:spacing w:after="0" w:line="256" w:lineRule="auto"/>
        <w:rPr>
          <w:sz w:val="20"/>
          <w:szCs w:val="20"/>
          <w:color w:val="auto"/>
        </w:rPr>
      </w:pPr>
      <w:r>
        <w:rPr>
          <w:rFonts w:ascii="Arial" w:cs="Arial" w:eastAsia="Arial" w:hAnsi="Arial"/>
          <w:sz w:val="18"/>
          <w:szCs w:val="18"/>
          <w:color w:val="auto"/>
        </w:rPr>
        <w:t>Depreciation and amortization expense related to the Company's property and equipment was $0.8 million and $0.9 million for the three months ended September 30, 2017 and 2016, respectively, and $2.4 million and $2.2 million for the nine months ended September 30, 2017 and 2016, respectively.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99"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On January 22, 2016, the Company completed its acquisition of all of the issued and outstanding shares of Inventus, to expand into the litigation discovery services market. The final purchase price for Inventus was approximately $232.0 million, net of working capital adjustments, which the Company paid in January 2016. The following table summarizes the cash paid and the estimated fair values of the assets and the liabilities assumed (in thousands) and the estimated useful lives of the acquired identifiable intangible assets: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99"/>
              </w:rPr>
              <w:t>Estimated Fair Value</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Estimated Useful Life</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19,357</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7"/>
        </w:trPr>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58,000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9 - 10 years</w:t>
            </w:r>
          </w:p>
        </w:tc>
      </w:tr>
      <w:tr>
        <w:trPr>
          <w:trHeight w:val="263"/>
        </w:trPr>
        <w:tc>
          <w:tcPr>
            <w:tcW w:w="7660" w:type="dxa"/>
            <w:vAlign w:val="bottom"/>
          </w:tcPr>
          <w:p>
            <w:pPr>
              <w:ind w:left="280"/>
              <w:spacing w:after="0"/>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1 - 6 years</w:t>
            </w:r>
          </w:p>
        </w:tc>
      </w:tr>
      <w:tr>
        <w:trPr>
          <w:trHeight w:val="277"/>
        </w:trPr>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Developed technology</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 years</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145,984</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equipment and other long-term assets</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Cash purchase consideration paid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233,300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6"/>
        <w:spacing w:after="0" w:line="252" w:lineRule="auto"/>
        <w:rPr>
          <w:sz w:val="20"/>
          <w:szCs w:val="20"/>
          <w:color w:val="auto"/>
        </w:rPr>
      </w:pPr>
      <w:r>
        <w:rPr>
          <w:rFonts w:ascii="Arial" w:cs="Arial" w:eastAsia="Arial" w:hAnsi="Arial"/>
          <w:sz w:val="18"/>
          <w:szCs w:val="18"/>
          <w:color w:val="auto"/>
        </w:rPr>
        <w:t>The intangible assets acquired are amortized on a straight-line basis which reflects the pattern in which the economic benefits of the intangible assets are expected to be utilized. The goodwill recorded is primarily attributable to the Company's opportunity to expand into the litigation discovery services market and is not deductible for tax purposes. For the nine months ended September 30, 2016, the Company recorded acquisition-related costs of $1.2 million which were expensed as incurred and included in selling, general and administrative expenses in the Company's condensed consolidated statements of operations. The Company has included the following financial results of Inventus in its condensed consolidated financial statements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6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2016</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Discovery Services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21,080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57,925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47,823</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2"/>
                <w:szCs w:val="22"/>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31,565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24,229</w:t>
            </w: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6,040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19,678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17,302</w:t>
            </w:r>
          </w:p>
        </w:tc>
      </w:tr>
      <w:tr>
        <w:trPr>
          <w:trHeight w:val="257"/>
        </w:trPr>
        <w:tc>
          <w:tcPr>
            <w:tcW w:w="46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6,682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6,292</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60" w:firstLine="446"/>
        <w:spacing w:after="0" w:line="252" w:lineRule="auto"/>
        <w:rPr>
          <w:sz w:val="20"/>
          <w:szCs w:val="20"/>
          <w:color w:val="auto"/>
        </w:rPr>
      </w:pPr>
      <w:r>
        <w:rPr>
          <w:rFonts w:ascii="Arial" w:cs="Arial" w:eastAsia="Arial" w:hAnsi="Arial"/>
          <w:sz w:val="18"/>
          <w:szCs w:val="18"/>
          <w:color w:val="auto"/>
        </w:rPr>
        <w:t>The unaudited pro forma financial information in the table below summarizes the combined results of operations for the Company and Inventus as though the companies had been consolidated as of January 1, 2015, and includes the accounting effects resulting from the acquisition including amortization charges from the acquired intangible assets, $13.5 million of transaction costs incurred which were directly attributable to the acquisition of Inventus, and elimination of interest expenses and debt issuance and extinguishment costs associated with Inventus's historical debt which was extinguished upon the Company's acquisition of Inventus. This unaudited pro forma information also adjusts for Inventus's acquisition of London-based Unified OS Limited and certain of its affiliates as well as certain assets of Kooby LLP (collectively, "Unified") as though it had been consolidated as of January 1, 2015. These accounting effects do not have any impact on the Company's 2017 financial information.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color w:val="auto"/>
        </w:rPr>
        <w:t>The following unaudited pro forma financial information is for information purposes only and is not necessarily indicative of the results of operations that would have been achieved if the acquisition had taken place as of January 1, 2015 (in thousands, except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Three Months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8100" w:type="dxa"/>
            <w:vAlign w:val="bottom"/>
          </w:tcPr>
          <w:p>
            <w:pPr>
              <w:spacing w:after="0"/>
              <w:rPr>
                <w:sz w:val="16"/>
                <w:szCs w:val="16"/>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Ended September</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28"/>
        </w:trPr>
        <w:tc>
          <w:tcPr>
            <w:tcW w:w="8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rPr>
              <w:t>September 30,</w:t>
            </w:r>
          </w:p>
        </w:tc>
      </w:tr>
      <w:tr>
        <w:trPr>
          <w:trHeight w:val="250"/>
        </w:trPr>
        <w:tc>
          <w:tcPr>
            <w:tcW w:w="8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rPr>
              <w:t>2016</w:t>
            </w: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88,461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254,245</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8,115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17,091</w:t>
            </w: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0.34</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Diluted net income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0.33</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amounts of goodwill by operating segment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Patent Risk</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Discovery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6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Management</w:t>
            </w:r>
          </w:p>
        </w:tc>
        <w:tc>
          <w:tcPr>
            <w:tcW w:w="2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Services</w:t>
            </w:r>
          </w:p>
        </w:tc>
        <w:tc>
          <w:tcPr>
            <w:tcW w:w="34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5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19,978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131,344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151,322</w:t>
            </w: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8,112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8,112</w:t>
            </w:r>
          </w:p>
        </w:tc>
      </w:tr>
      <w:tr>
        <w:trPr>
          <w:trHeight w:val="257"/>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19,978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139,456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159,434</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Company reviews goodwill for impairment at least annually or more frequently if events or changes in circumstances indicate that the carrying value of goodwill may not be recoverable. As of September 30, 2017, no impairment of goodwill had been identified.</w:t>
      </w:r>
    </w:p>
    <w:p>
      <w:pPr>
        <w:spacing w:after="0" w:line="13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December 31, 2016</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198"/>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92"/>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7"/>
                <w:szCs w:val="17"/>
                <w:color w:val="auto"/>
              </w:rPr>
            </w:pPr>
          </w:p>
        </w:tc>
        <w:tc>
          <w:tcPr>
            <w:tcW w:w="880" w:type="dxa"/>
            <w:vAlign w:val="bottom"/>
          </w:tcPr>
          <w:p>
            <w:pPr>
              <w:jc w:val="right"/>
              <w:ind w:right="92"/>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Carrying</w:t>
            </w:r>
          </w:p>
        </w:tc>
      </w:tr>
      <w:tr>
        <w:trPr>
          <w:trHeight w:val="224"/>
        </w:trPr>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6"/>
                <w:szCs w:val="16"/>
                <w:b w:val="1"/>
                <w:bCs w:val="1"/>
                <w:color w:val="auto"/>
              </w:rPr>
              <w:t>Amount</w:t>
            </w:r>
          </w:p>
        </w:tc>
      </w:tr>
      <w:tr>
        <w:trPr>
          <w:trHeight w:val="28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56,515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46,306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55,719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49,396</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2,440</w:t>
            </w: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3,824</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296</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Proprietary data and models</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50"/>
        </w:trPr>
        <w:tc>
          <w:tcPr>
            <w:tcW w:w="39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65,615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(14,548)</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51,067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70,400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56,050</w:t>
            </w:r>
          </w:p>
        </w:tc>
      </w:tr>
      <w:tr>
        <w:trPr>
          <w:trHeight w:val="20"/>
        </w:trPr>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59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10420" w:type="dxa"/>
            <w:vAlign w:val="bottom"/>
            <w:gridSpan w:val="3"/>
          </w:tcPr>
          <w:p>
            <w:pPr>
              <w:jc w:val="right"/>
              <w:ind w:right="270"/>
              <w:spacing w:after="0"/>
              <w:rPr>
                <w:sz w:val="20"/>
                <w:szCs w:val="20"/>
                <w:color w:val="auto"/>
              </w:rPr>
            </w:pPr>
            <w:r>
              <w:rPr>
                <w:rFonts w:ascii="Arial" w:cs="Arial" w:eastAsia="Arial" w:hAnsi="Arial"/>
                <w:sz w:val="18"/>
                <w:szCs w:val="18"/>
                <w:color w:val="auto"/>
              </w:rPr>
              <w:t>As of September 30, 2017, the Company expects amortization expense in future periods to be as follows (in thousands):</w:t>
            </w:r>
          </w:p>
        </w:tc>
        <w:tc>
          <w:tcPr>
            <w:tcW w:w="1000" w:type="dxa"/>
            <w:vAlign w:val="bottom"/>
          </w:tcPr>
          <w:p>
            <w:pPr>
              <w:spacing w:after="0"/>
              <w:rPr>
                <w:sz w:val="24"/>
                <w:szCs w:val="24"/>
                <w:color w:val="auto"/>
              </w:rPr>
            </w:pPr>
          </w:p>
        </w:tc>
      </w:tr>
      <w:tr>
        <w:trPr>
          <w:trHeight w:val="135"/>
        </w:trPr>
        <w:tc>
          <w:tcPr>
            <w:tcW w:w="140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5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2017 (remainder)</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250"/>
        </w:trPr>
        <w:tc>
          <w:tcPr>
            <w:tcW w:w="1400" w:type="dxa"/>
            <w:vAlign w:val="bottom"/>
          </w:tcPr>
          <w:p>
            <w:pPr>
              <w:ind w:left="40"/>
              <w:spacing w:after="0"/>
              <w:rPr>
                <w:sz w:val="20"/>
                <w:szCs w:val="20"/>
                <w:color w:val="auto"/>
              </w:rPr>
            </w:pPr>
            <w:r>
              <w:rPr>
                <w:rFonts w:ascii="Arial" w:cs="Arial" w:eastAsia="Arial" w:hAnsi="Arial"/>
                <w:sz w:val="18"/>
                <w:szCs w:val="18"/>
                <w:color w:val="auto"/>
              </w:rPr>
              <w:t>2018</w:t>
            </w:r>
          </w:p>
        </w:tc>
        <w:tc>
          <w:tcPr>
            <w:tcW w:w="8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8,533</w:t>
            </w:r>
          </w:p>
        </w:tc>
      </w:tr>
      <w:tr>
        <w:trPr>
          <w:trHeight w:val="263"/>
        </w:trPr>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5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6,626</w:t>
            </w:r>
          </w:p>
        </w:tc>
      </w:tr>
      <w:tr>
        <w:trPr>
          <w:trHeight w:val="250"/>
        </w:trPr>
        <w:tc>
          <w:tcPr>
            <w:tcW w:w="1400" w:type="dxa"/>
            <w:vAlign w:val="bottom"/>
          </w:tcPr>
          <w:p>
            <w:pPr>
              <w:ind w:left="40"/>
              <w:spacing w:after="0"/>
              <w:rPr>
                <w:sz w:val="20"/>
                <w:szCs w:val="20"/>
                <w:color w:val="auto"/>
              </w:rPr>
            </w:pPr>
            <w:r>
              <w:rPr>
                <w:rFonts w:ascii="Arial" w:cs="Arial" w:eastAsia="Arial" w:hAnsi="Arial"/>
                <w:sz w:val="18"/>
                <w:szCs w:val="18"/>
                <w:color w:val="auto"/>
              </w:rPr>
              <w:t>2020</w:t>
            </w:r>
          </w:p>
        </w:tc>
        <w:tc>
          <w:tcPr>
            <w:tcW w:w="8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6,506</w:t>
            </w:r>
          </w:p>
        </w:tc>
      </w:tr>
      <w:tr>
        <w:trPr>
          <w:trHeight w:val="263"/>
        </w:trPr>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5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6,506</w:t>
            </w:r>
          </w:p>
        </w:tc>
      </w:tr>
      <w:tr>
        <w:trPr>
          <w:trHeight w:val="250"/>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20,763</w:t>
            </w: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51,067</w:t>
            </w:r>
          </w:p>
        </w:tc>
      </w:tr>
      <w:tr>
        <w:trPr>
          <w:trHeight w:val="20"/>
        </w:trPr>
        <w:tc>
          <w:tcPr>
            <w:tcW w:w="14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0" w:firstLine="446"/>
        <w:spacing w:after="0" w:line="256" w:lineRule="auto"/>
        <w:rPr>
          <w:sz w:val="20"/>
          <w:szCs w:val="20"/>
          <w:color w:val="auto"/>
        </w:rPr>
      </w:pPr>
      <w:r>
        <w:rPr>
          <w:rFonts w:ascii="Arial" w:cs="Arial" w:eastAsia="Arial" w:hAnsi="Arial"/>
          <w:sz w:val="18"/>
          <w:szCs w:val="18"/>
          <w:color w:val="auto"/>
        </w:rPr>
        <w:t>Amortization expense related to the Company's intangible assets was $2.1 million and $2.5 million for the three months ended September 30, 2017 and 2016, respectively, and $6.8 million and $7.2 million for the nine months ended September 30, 2017 and 2016, respectively.</w:t>
      </w:r>
    </w:p>
    <w:p>
      <w:pPr>
        <w:spacing w:after="0" w:line="13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54"/>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2016</w:t>
            </w:r>
          </w:p>
        </w:tc>
      </w:tr>
      <w:tr>
        <w:trPr>
          <w:trHeight w:val="257"/>
        </w:trPr>
        <w:tc>
          <w:tcPr>
            <w:tcW w:w="8340" w:type="dxa"/>
            <w:vAlign w:val="bottom"/>
            <w:shd w:val="clear" w:color="auto" w:fill="CCEEFF"/>
          </w:tcPr>
          <w:p>
            <w:pPr>
              <w:jc w:val="right"/>
              <w:ind w:right="5550"/>
              <w:spacing w:after="0"/>
              <w:rPr>
                <w:sz w:val="20"/>
                <w:szCs w:val="20"/>
                <w:color w:val="auto"/>
              </w:rPr>
            </w:pPr>
            <w:r>
              <w:rPr>
                <w:rFonts w:ascii="Arial" w:cs="Arial" w:eastAsia="Arial" w:hAnsi="Arial"/>
                <w:sz w:val="18"/>
                <w:szCs w:val="18"/>
                <w:color w:val="auto"/>
              </w:rPr>
              <w:t>Accrued payroll-related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11,516</w:t>
            </w:r>
          </w:p>
        </w:tc>
      </w:tr>
      <w:tr>
        <w:trPr>
          <w:trHeight w:val="264"/>
        </w:trPr>
        <w:tc>
          <w:tcPr>
            <w:tcW w:w="8340" w:type="dxa"/>
            <w:vAlign w:val="bottom"/>
            <w:tcBorders>
              <w:bottom w:val="single" w:sz="8" w:color="CCEEFF"/>
            </w:tcBorders>
          </w:tcPr>
          <w:p>
            <w:pPr>
              <w:jc w:val="right"/>
              <w:ind w:right="6270"/>
              <w:spacing w:after="0"/>
              <w:rPr>
                <w:sz w:val="20"/>
                <w:szCs w:val="20"/>
                <w:color w:val="auto"/>
              </w:rPr>
            </w:pPr>
            <w:r>
              <w:rPr>
                <w:rFonts w:ascii="Arial" w:cs="Arial" w:eastAsia="Arial" w:hAnsi="Arial"/>
                <w:sz w:val="18"/>
                <w:szCs w:val="18"/>
                <w:color w:val="auto"/>
              </w:rPr>
              <w:t>Accrued other expenses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5,282</w:t>
            </w:r>
          </w:p>
        </w:tc>
      </w:tr>
      <w:tr>
        <w:trPr>
          <w:trHeight w:val="257"/>
        </w:trPr>
        <w:tc>
          <w:tcPr>
            <w:tcW w:w="8340" w:type="dxa"/>
            <w:vAlign w:val="bottom"/>
            <w:tcBorders>
              <w:bottom w:val="single" w:sz="8" w:color="CCEEFF"/>
            </w:tcBorders>
            <w:shd w:val="clear" w:color="auto" w:fill="CCEEFF"/>
          </w:tcPr>
          <w:p>
            <w:pPr>
              <w:jc w:val="right"/>
              <w:ind w:right="6270"/>
              <w:spacing w:after="0"/>
              <w:rPr>
                <w:sz w:val="20"/>
                <w:szCs w:val="20"/>
                <w:color w:val="auto"/>
              </w:rPr>
            </w:pPr>
            <w:r>
              <w:rPr>
                <w:rFonts w:ascii="Arial" w:cs="Arial" w:eastAsia="Arial" w:hAnsi="Arial"/>
                <w:sz w:val="18"/>
                <w:szCs w:val="18"/>
                <w:color w:val="auto"/>
              </w:rPr>
              <w:t>Total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16,798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On February 26, 2016, the Company entered into a Credit Agreement (the "Credit Agreement") which provided for a $100 million five-year term facility (the "Term Facility") and a $ 50 million five-year revolving credit facility (the "Revolving Credit Facility"), which remains undrawn as of September 30, 2017. The Term Facility bears interest which is payable quarterly in arrears at the Company's option equal to either a base rate plus a margin ranging from 1.25% to 1.75% per annum or, at the Company's election, the one-, two-, three-, or six-month London interbank offered rate ("LIBOR") plus a margin ranging from 2.25% to 2.75% per annum, based upon the ratio of the Company's debt to consolidated EBITDA ratio. The outstanding balance on the Term Facility bore interest during the nine months ended September 30, 2017 at an average interest rate of 3.5%, which approximates fair value. The Revolving Credit Facility bears a commitment fee on undrawn balances of 0.35% to 0.45% per annum, also based upon the Company's debt to consolidated adjusted EBITDA ratio, that is expensed as incurred. The Credit Agreement contains financial covenants requiring the Company to maintain certain leverage and fixed charge ratios. The Company is compliant with these covenants as of September 30, 2017. The Credit Agreement also includes limitations on the Company's debt incurrence, dividend payments, and disposal activities.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8"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2017, the Term Facility requires principal repayments in accordance with the following schedule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1,875</w:t>
            </w:r>
          </w:p>
        </w:tc>
      </w:tr>
      <w:tr>
        <w:trPr>
          <w:trHeight w:val="263"/>
        </w:trPr>
        <w:tc>
          <w:tcPr>
            <w:tcW w:w="10040" w:type="dxa"/>
            <w:vAlign w:val="bottom"/>
          </w:tcPr>
          <w:p>
            <w:pPr>
              <w:ind w:left="4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9,375</w:t>
            </w:r>
          </w:p>
        </w:tc>
      </w:tr>
      <w:tr>
        <w:trPr>
          <w:trHeight w:val="27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11,875</w:t>
            </w:r>
          </w:p>
        </w:tc>
      </w:tr>
      <w:tr>
        <w:trPr>
          <w:trHeight w:val="263"/>
        </w:trPr>
        <w:tc>
          <w:tcPr>
            <w:tcW w:w="10040" w:type="dxa"/>
            <w:vAlign w:val="bottom"/>
          </w:tcPr>
          <w:p>
            <w:pPr>
              <w:ind w:left="4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18,125</w:t>
            </w:r>
          </w:p>
        </w:tc>
      </w:tr>
      <w:tr>
        <w:trPr>
          <w:trHeight w:val="270"/>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50"/>
        </w:trPr>
        <w:tc>
          <w:tcPr>
            <w:tcW w:w="10040" w:type="dxa"/>
            <w:vAlign w:val="bottom"/>
          </w:tcPr>
          <w:p>
            <w:pPr>
              <w:ind w:left="180"/>
              <w:spacing w:after="0"/>
              <w:rPr>
                <w:sz w:val="20"/>
                <w:szCs w:val="20"/>
                <w:color w:val="auto"/>
              </w:rPr>
            </w:pPr>
            <w:r>
              <w:rPr>
                <w:rFonts w:ascii="Arial" w:cs="Arial" w:eastAsia="Arial" w:hAnsi="Arial"/>
                <w:sz w:val="18"/>
                <w:szCs w:val="18"/>
                <w:color w:val="auto"/>
              </w:rPr>
              <w:t>Long-term debt, gross</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91,250</w:t>
            </w:r>
          </w:p>
        </w:tc>
      </w:tr>
      <w:tr>
        <w:trPr>
          <w:trHeight w:val="270"/>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97"/>
        </w:trPr>
        <w:tc>
          <w:tcPr>
            <w:tcW w:w="10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Long-term debt, net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89,884</w:t>
            </w:r>
          </w:p>
        </w:tc>
      </w:tr>
      <w:tr>
        <w:trPr>
          <w:trHeight w:val="305"/>
        </w:trPr>
        <w:tc>
          <w:tcPr>
            <w:tcW w:w="10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10040" w:type="dxa"/>
            <w:vAlign w:val="bottom"/>
          </w:tcPr>
          <w:p>
            <w:pPr>
              <w:ind w:left="40"/>
              <w:spacing w:after="0"/>
              <w:rPr>
                <w:sz w:val="20"/>
                <w:szCs w:val="20"/>
                <w:color w:val="auto"/>
              </w:rPr>
            </w:pPr>
            <w:r>
              <w:rPr>
                <w:rFonts w:ascii="Arial" w:cs="Arial" w:eastAsia="Arial" w:hAnsi="Arial"/>
                <w:sz w:val="18"/>
                <w:szCs w:val="18"/>
                <w:color w:val="auto"/>
              </w:rPr>
              <w:t>Reported as:</w:t>
            </w: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8,349</w:t>
            </w:r>
          </w:p>
        </w:tc>
      </w:tr>
      <w:tr>
        <w:trPr>
          <w:trHeight w:val="264"/>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81,535</w:t>
            </w:r>
          </w:p>
        </w:tc>
      </w:tr>
      <w:tr>
        <w:trPr>
          <w:trHeight w:val="257"/>
        </w:trPr>
        <w:tc>
          <w:tcPr>
            <w:tcW w:w="10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89,884</w:t>
            </w:r>
          </w:p>
        </w:tc>
      </w:tr>
      <w:tr>
        <w:trPr>
          <w:trHeight w:val="20"/>
        </w:trPr>
        <w:tc>
          <w:tcPr>
            <w:tcW w:w="10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00" w:right="8060" w:hanging="492"/>
        <w:spacing w:after="0" w:line="341"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1"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Company generally does not enter into long-term minimum purchase commitments. Its principal long-term commitments consist of obligations under operating leases for office space. In June 2017, the Company executed an amendment to its operating lease for its corporate headquarters in San Francisco. In accordance with the amendment, effective August 2017, the Company reduced its leased space by approximately 18,000 square feet of the approximately 67,000 square feet of total previously leased space, which reduces the Company's future operating lease commitments by approximately $2.4 million over the remaining lease term. Other than this change to the Company's lease obligation for its corporate headquarters, there were no material changes to the Company’s contractual obligations or commitments during the nine months ended September 30, 2017 as compared to those presented under the heading “Commitments and Contingencies” in Note 12 of the Notes to Consolidated Financial Statements in Part II, Item 8 of the Company’s Annual Report on Form 10-K filed with the SEC on February 28, 2017.</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rent expense related to non-cancelable operating leases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344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66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2016</w:t>
            </w: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10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Sublease income</w:t>
            </w:r>
          </w:p>
        </w:tc>
        <w:tc>
          <w:tcPr>
            <w:tcW w:w="1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 expense, net of sublease income</w:t>
            </w:r>
          </w:p>
        </w:tc>
        <w:tc>
          <w:tcPr>
            <w:tcW w:w="110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0"/>
        </w:trPr>
        <w:tc>
          <w:tcPr>
            <w:tcW w:w="4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9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September 30, 2017 or December 31, 2016.</w:t>
      </w:r>
    </w:p>
    <w:p>
      <w:pPr>
        <w:spacing w:after="0" w:line="204"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In April 2016, Sourceprose Corporation filed a complaint in the U.S. District Court for the Western District of Texas against the Company alleging breach of an agreement with the plaintiff to purchase certain patent assets and breach of a non-disclosure agreement with plaintiff. In July 2016, the Court transferred the litigation to the U.S. District Court for the Northern District of California. In November 2016, the Company moved to dismiss the claims of breach of an assignment of patents. In January 2017, the U.S. District Court for the Northern District of California dismissed the claims of breach of a patent assignment without prejudice, and allowed the plaintiff to file an amended complaint. The plaintiff filed an amended complaint in February 2017, alleging breach of a non-disclosure agreement, breach of an agreement to assign patents and a breach of a settlement agreement. In March 2017, the Company moved to dismiss all of the plaintiff’s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claims, and the court granted-in-part and denied-in-part the motion, allowing the plaintiff leave to amend the complaint. The plaintiff filed a third amended complaint in May 2017, again alleging breach of an agreement with the plaintiff to purchase certain patent assets and breach of a non-disclosure agreement. RPX answered the third amended complaint in June 2017, and the case proceeded to the discovery phase. As of September 30, 2017, the Company was not able to determine the potential loss that may have resulted from this litigation. In October 2017, the parties agreed to a confidential settlement pursuant to which all claims were subsequently dismissed. The settlement does not have a material impact to the Company's financial condition or results of operations.</w:t>
      </w:r>
    </w:p>
    <w:p>
      <w:pPr>
        <w:spacing w:after="0" w:line="209"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In June 2013, Kevin O’Halloran, as Trustee of the Liquidating Trust of Tectonics,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to the U.S. District Court for the Middle District of Florida. In August 2016, the District Court affirmed the judgment in favor of the Defendants. In September 2016, the Debtor filed an appeal of the judgment to the U.S. Court of Appeals for the Eleventh Circuit. The appellate briefing was completed in January 2017, and the oral argument is scheduled for December 14, 2017. The Company is not currently able to determine whether there is a reasonable possibility that a loss has been incurred, nor can it estimate the potential loss or range of the potential loss that may result from this litigation.</w:t>
      </w:r>
    </w:p>
    <w:p>
      <w:pPr>
        <w:spacing w:after="0" w:line="212"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Court entered a final judgment in favor of the Defendants on all the plaintiff's claims. In April 2016, the plaintiff filed an appeal of the judgment. The appellate briefing was completed in November 2016, and oral argument is scheduled for November 14, 2017. The Company is not currently able to determine whether there is a reasonable possibility that a loss has been incurred, nor can it estimate the potential loss or range of the potential loss that may result from this litigation.</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99"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No liability was recorded for these agreements as of September 30, 2017 or December 31, 2016. The Company has no reason to believe that there is any material liability related to such indemnification provisions. The Company does not indemnify its clients for patent infringement.</w:t>
      </w:r>
    </w:p>
    <w:p>
      <w:pPr>
        <w:spacing w:after="0" w:line="20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part of the Company's discovery services offering, the Company generally warrants that it will perform the services in good faith and in a timely and professional manner, and that it will exercise the same level of professional care commonly found in the industry. Additionally, the Company has agreed to provisions for indemnifying customers against liabilities if its discovery services infringe a third party’s intellectual property rights or if it breaches agreed privacy, security and/or confidentiality obligations. To date, the Company has not incurred any material costs, and it has not accrued any liabilities in the accompanying condensed consolidated financial statements, as a result of these obligations. The Company also enters into service-level agreements with its discovery services clients that specify required levels of application uptime and may permit customers to receive credits or to terminate their agreements in the event that the Company fails to meet required performance levels. To date, the Company has not experienced any significant failures to meet defined levels of performance and, as a result, has not accrued any liabilities related to these agreements in its condensed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112"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The Company offers patent litigation insurance that covers certain costs associated with patent infringement lawsuits, and it assumes a portion of the underwriting risk on these insurance policies that it issues on behalf of a Lloyd's of London underwriting syndicate. As of September 30, 2017 and December 31, 2016, the Company recorded a reserve of $1.2 million and $0.9 million, respectively, for known and incurred but not reported claims that represent estimated claim costs and related expenses for the policies underwritten and its portion of the underwriting risk on policies that the Company issued on behalf of the Lloyd's of London underwriting syndicate. The Company regularly reviews loss reserves using a variety of actuarial techniques and updates them as its loss experience develops.</w:t>
      </w:r>
    </w:p>
    <w:p>
      <w:pPr>
        <w:spacing w:after="0" w:line="146" w:lineRule="exact"/>
        <w:rPr>
          <w:sz w:val="20"/>
          <w:szCs w:val="20"/>
          <w:color w:val="auto"/>
        </w:rPr>
      </w:pPr>
    </w:p>
    <w:p>
      <w:pPr>
        <w:ind w:left="500" w:right="9140" w:hanging="492"/>
        <w:spacing w:after="0" w:line="341" w:lineRule="auto"/>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Equity Plans</w:t>
      </w:r>
    </w:p>
    <w:p>
      <w:pPr>
        <w:spacing w:after="0" w:line="1"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A summary of the Company’s activity under its equity-settled award plans and related information is as follows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98"/>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9"/>
        </w:trPr>
        <w:tc>
          <w:tcPr>
            <w:tcW w:w="4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average</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70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470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Available for</w:t>
            </w:r>
          </w:p>
        </w:tc>
        <w:tc>
          <w:tcPr>
            <w:tcW w:w="1240" w:type="dxa"/>
            <w:vAlign w:val="bottom"/>
          </w:tcPr>
          <w:p>
            <w:pPr>
              <w:jc w:val="right"/>
              <w:ind w:right="132"/>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average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6"/>
                <w:szCs w:val="16"/>
                <w:b w:val="1"/>
                <w:bCs w:val="1"/>
                <w:color w:val="auto"/>
              </w:rPr>
              <w:t>Aggregate</w:t>
            </w:r>
          </w:p>
        </w:tc>
      </w:tr>
      <w:tr>
        <w:trPr>
          <w:trHeight w:val="228"/>
        </w:trPr>
        <w:tc>
          <w:tcPr>
            <w:tcW w:w="47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Grant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in Years</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Intrinsic Value</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 December 31, 2016</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3,586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Shares authorized</w:t>
            </w:r>
            <w:r>
              <w:rPr>
                <w:rFonts w:ascii="Arial" w:cs="Arial" w:eastAsia="Arial" w:hAnsi="Arial"/>
                <w:sz w:val="21"/>
                <w:szCs w:val="21"/>
                <w:color w:val="auto"/>
                <w:vertAlign w:val="superscript"/>
              </w:rPr>
              <w:t>(1)</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Options forfeited/canceled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granted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5"/>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withheld related to net-share</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restricted stock units</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September 30, 2017</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4,409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2,338</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September 30, 2017</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2,338</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59" w:lineRule="exact"/>
        <w:rPr>
          <w:sz w:val="20"/>
          <w:szCs w:val="20"/>
          <w:color w:val="auto"/>
        </w:rPr>
      </w:pPr>
    </w:p>
    <w:p>
      <w:pPr>
        <w:ind w:left="340" w:hanging="170"/>
        <w:spacing w:after="0"/>
        <w:tabs>
          <w:tab w:leader="none" w:pos="34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In the first quarter of 2017, the Company reserved an additional 1.0 million shares of its common stock for future issuance under the 2011 Plan.</w:t>
      </w:r>
    </w:p>
    <w:p>
      <w:pPr>
        <w:spacing w:after="0" w:line="221"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 aggregate intrinsic value of stock options exercised during the three months ended September 30, 2017 and 2016 was $0.2 million and $0.5 million, respectively, and $2.8 million and $0.8 million for stock options exercised during the nine months ended September 30, 2017 and 2016, respectively. The total grant date fair value of stock options vested during the three months ended September 30, 2016 was $ 0.2 million, and $1.2 million for stock options vested during the nine months ended September 30, 2016. No stock options vested during the three or nine months ended September 30, 2017, and as of September 30, 2017, all options issued and outstanding were fully vested.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9"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 summary of RSU activity, which includes performance-based restricted stock units (“PBRSUs”), is as follows (in thousands, except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Weighted-Average</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6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Grant Date Fair</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64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rPr>
              <w:t>Value</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94"/>
              <w:spacing w:after="0"/>
              <w:rPr>
                <w:sz w:val="20"/>
                <w:szCs w:val="20"/>
                <w:color w:val="auto"/>
              </w:rPr>
            </w:pPr>
            <w:r>
              <w:rPr>
                <w:rFonts w:ascii="Arial" w:cs="Arial" w:eastAsia="Arial" w:hAnsi="Arial"/>
                <w:sz w:val="16"/>
                <w:szCs w:val="16"/>
                <w:b w:val="1"/>
                <w:bCs w:val="1"/>
                <w:color w:val="auto"/>
                <w:w w:val="98"/>
              </w:rPr>
              <w:t>Value</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2016</w:t>
            </w: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September 30, 2017</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40,089</w:t>
            </w:r>
          </w:p>
        </w:tc>
      </w:tr>
      <w:tr>
        <w:trPr>
          <w:trHeight w:val="20"/>
        </w:trPr>
        <w:tc>
          <w:tcPr>
            <w:tcW w:w="64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total grant date fair value of RSUs vested during the three months ended September 30, 2017 and 2016 was $3.7 million and $2.9 million, respectively, and $13.1 million and $9.0 million during the nine months ended September 30, 2017 and 2016, respectively.</w:t>
      </w:r>
    </w:p>
    <w:p>
      <w:pPr>
        <w:spacing w:after="0" w:line="1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October 2013, the Board of Directors approved net-share settlement for tax withholdings on RSU vesting. During the nine months ended September 30, 2017, the Company withheld issuing 361,376 shares of its common stock based on the value of the RSUs on their vesting dates as determined by the Company’s closing common stock price. Total payments to taxing authorities for employees’ minimum tax obligations were $4.5 million for the nine months ended September 30, 2017,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99"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The fair value of RSUs granted to employees and directors is measured by reference to the fair value of the underlying shares on the date of grant.</w:t>
      </w:r>
    </w:p>
    <w:p>
      <w:pPr>
        <w:spacing w:after="0" w:line="196"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PBRSUs granted during the nine months ended September 30, 2017 and 2016 contain service, performance, and/or market conditions that affect the quantity of awards that will vest. During the nine months ended September 30, 2017 and 2016, the Company granted 102,790 and 115,657 PBRSUs, respectively. The Company estimates the grant date fair value of PBRSUs which include market conditions using the Monte Carlo simulation model. The weighted-average assumptions used to estimate the fair value of PBRSUs with market conditions and the resulting fair values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79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2016</w:t>
            </w: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260" w:type="dxa"/>
            <w:vAlign w:val="bottom"/>
          </w:tcPr>
          <w:p>
            <w:pPr>
              <w:spacing w:after="0"/>
              <w:rPr>
                <w:sz w:val="22"/>
                <w:szCs w:val="22"/>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1.08%</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 in years</w:t>
            </w:r>
          </w:p>
        </w:tc>
        <w:tc>
          <w:tcPr>
            <w:tcW w:w="260" w:type="dxa"/>
            <w:vAlign w:val="bottom"/>
          </w:tcPr>
          <w:p>
            <w:pPr>
              <w:spacing w:after="0"/>
              <w:rPr>
                <w:sz w:val="22"/>
                <w:szCs w:val="22"/>
                <w:color w:val="auto"/>
              </w:rPr>
            </w:pPr>
          </w:p>
        </w:tc>
        <w:tc>
          <w:tcPr>
            <w:tcW w:w="1420" w:type="dxa"/>
            <w:vAlign w:val="bottom"/>
          </w:tcPr>
          <w:p>
            <w:pPr>
              <w:jc w:val="right"/>
              <w:ind w:right="25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231"/>
              <w:spacing w:after="0"/>
              <w:rPr>
                <w:sz w:val="20"/>
                <w:szCs w:val="20"/>
                <w:color w:val="auto"/>
              </w:rPr>
            </w:pPr>
            <w:r>
              <w:rPr>
                <w:rFonts w:ascii="Arial" w:cs="Arial" w:eastAsia="Arial" w:hAnsi="Arial"/>
                <w:sz w:val="18"/>
                <w:szCs w:val="18"/>
                <w:color w:val="auto"/>
              </w:rPr>
              <w:t>4</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6.28</w:t>
            </w:r>
          </w:p>
        </w:tc>
      </w:tr>
    </w:tbl>
    <w:p>
      <w:pPr>
        <w:spacing w:after="0" w:line="21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Stock-based compensation expense related to stock options granted to employees and directors was nil and $0.1 million for the three months ended September 30, 2017 and 2016, respectively, and nil and $0.9 million for the nine months ended September 30, 2017 and 2016, respectively. Stock-based compensation expense related to PBRSUs and RSUs granted to employees and directors was $3.8 million and $4.2 million for the three months ended September 30, 2017 and 2016, respectively, and $10.9 million and $13.3 million for the nine months ended September 30, 2017 and 2016, respectively.</w:t>
      </w:r>
    </w:p>
    <w:p>
      <w:pPr>
        <w:spacing w:after="0" w:line="206"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As of September 30, 2017, there was $31.9 million of unrecognized compensation cost related to RSUs, including PBRSUs, which is expected to be recognized over a weighted-average period of 2.6 years. Future grants of equity awards will increase the amount of stock-based compensation expense to be recorded.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In March 2016 and May 2016, the Company increased its share repurchase program by $25.0 million and $50.0 million, respectively, for a total amount authorized of $150.0 million. As of September 30, 2017, the Company repurchased $92.9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is reflected as a reduction to common stock and retained earnings in the Company's condensed consolidated balance sheet. Share repurchase activity during the period presented was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Average Price per</w:t>
            </w:r>
          </w:p>
        </w:tc>
        <w:tc>
          <w:tcPr>
            <w:tcW w:w="220" w:type="dxa"/>
            <w:vAlign w:val="bottom"/>
          </w:tcPr>
          <w:p>
            <w:pPr>
              <w:spacing w:after="0"/>
              <w:rPr>
                <w:sz w:val="16"/>
                <w:szCs w:val="16"/>
                <w:color w:val="auto"/>
              </w:rPr>
            </w:pPr>
          </w:p>
        </w:tc>
        <w:tc>
          <w:tcPr>
            <w:tcW w:w="1620" w:type="dxa"/>
            <w:vAlign w:val="bottom"/>
          </w:tcPr>
          <w:p>
            <w:pPr>
              <w:jc w:val="right"/>
              <w:ind w:right="234"/>
              <w:spacing w:after="0"/>
              <w:rPr>
                <w:sz w:val="20"/>
                <w:szCs w:val="20"/>
                <w:color w:val="auto"/>
              </w:rPr>
            </w:pPr>
            <w:r>
              <w:rPr>
                <w:rFonts w:ascii="Arial" w:cs="Arial" w:eastAsia="Arial" w:hAnsi="Arial"/>
                <w:sz w:val="16"/>
                <w:szCs w:val="16"/>
                <w:b w:val="1"/>
                <w:bCs w:val="1"/>
                <w:color w:val="auto"/>
              </w:rPr>
              <w:t>Value of Shares</w:t>
            </w:r>
          </w:p>
        </w:tc>
      </w:tr>
      <w:tr>
        <w:trPr>
          <w:trHeight w:val="228"/>
        </w:trPr>
        <w:tc>
          <w:tcPr>
            <w:tcW w:w="5720" w:type="dxa"/>
            <w:vAlign w:val="bottom"/>
          </w:tcPr>
          <w:p>
            <w:pPr>
              <w:spacing w:after="0"/>
              <w:rPr>
                <w:sz w:val="19"/>
                <w:szCs w:val="19"/>
                <w:color w:val="auto"/>
              </w:rPr>
            </w:pPr>
          </w:p>
        </w:tc>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Shares Repurchased</w:t>
            </w:r>
          </w:p>
        </w:tc>
        <w:tc>
          <w:tcPr>
            <w:tcW w:w="18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9"/>
                <w:szCs w:val="19"/>
                <w:color w:val="auto"/>
              </w:rPr>
            </w:pPr>
          </w:p>
        </w:tc>
        <w:tc>
          <w:tcPr>
            <w:tcW w:w="1620" w:type="dxa"/>
            <w:vAlign w:val="bottom"/>
          </w:tcPr>
          <w:p>
            <w:pPr>
              <w:jc w:val="right"/>
              <w:ind w:right="314"/>
              <w:spacing w:after="0"/>
              <w:rPr>
                <w:sz w:val="20"/>
                <w:szCs w:val="20"/>
                <w:color w:val="auto"/>
              </w:rPr>
            </w:pPr>
            <w:r>
              <w:rPr>
                <w:rFonts w:ascii="Arial" w:cs="Arial" w:eastAsia="Arial" w:hAnsi="Arial"/>
                <w:sz w:val="16"/>
                <w:szCs w:val="16"/>
                <w:b w:val="1"/>
                <w:bCs w:val="1"/>
                <w:color w:val="auto"/>
              </w:rPr>
              <w:t>Repurchased</w:t>
            </w:r>
          </w:p>
        </w:tc>
      </w:tr>
      <w:tr>
        <w:trPr>
          <w:trHeight w:val="257"/>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December 31, 2016</w:t>
            </w:r>
          </w:p>
        </w:tc>
        <w:tc>
          <w:tcPr>
            <w:tcW w:w="1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7,917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86,276</w:t>
            </w:r>
          </w:p>
        </w:tc>
      </w:tr>
      <w:tr>
        <w:trPr>
          <w:trHeight w:val="264"/>
        </w:trPr>
        <w:tc>
          <w:tcPr>
            <w:tcW w:w="5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Repurchase activity during the period</w:t>
            </w:r>
          </w:p>
        </w:tc>
        <w:tc>
          <w:tcPr>
            <w:tcW w:w="1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6,629</w:t>
            </w: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September 30, 2017</w:t>
            </w:r>
          </w:p>
        </w:tc>
        <w:tc>
          <w:tcPr>
            <w:tcW w:w="1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92,905</w:t>
            </w:r>
          </w:p>
        </w:tc>
      </w:tr>
      <w:tr>
        <w:trPr>
          <w:trHeight w:val="20"/>
        </w:trPr>
        <w:tc>
          <w:tcPr>
            <w:tcW w:w="57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items, was 42% and 36% for the three months ended September 30, 2017 and 2016, respectively, and 39% and 37% for the nine months ended September 30, 2017 and 2016, respectively.</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Company's 2014 through 2016 tax periods remain open to examination by the Internal Revenue Service and the 2012 through 2016 tax periods remain open to examination by most state tax authorities. The Internal Revenue Service's examination of Inventus's federal income tax return for fiscal year 2013 was closed during the three months ended March 31, 2017 with no material adjustments. The Company's 2015 through 2016 tax periods remain open to examination in the United Kingdom.</w:t>
      </w:r>
    </w:p>
    <w:p>
      <w:pPr>
        <w:spacing w:after="0" w:line="14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9"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During the three months ended September 30, 2017 and 2016, three and four members, respectively, of the Company’s Board of Directors also served on the boards of directors of RPX clients. During both nine month periods ended September 30, 2017 and 2016, four members of the Company’s Board of Directors also served on the boards of directors of RPX clients.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recognized the following from these clients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344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66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2016</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0"/>
        </w:trPr>
        <w:tc>
          <w:tcPr>
            <w:tcW w:w="4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0.6</w:t>
            </w:r>
          </w:p>
        </w:tc>
      </w:tr>
      <w:tr>
        <w:trPr>
          <w:trHeight w:val="20"/>
        </w:trPr>
        <w:tc>
          <w:tcPr>
            <w:tcW w:w="4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As of September 30, 2017 and December 31, 2016, there were $0.3 million and $1.3 million receivables, respectively, due from these clients.</w:t>
      </w:r>
    </w:p>
    <w:p>
      <w:pPr>
        <w:spacing w:after="0" w:line="134"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Company’s chief operating decision maker is its Chief Executive Officer. Prior to the acquisition of Inventus in January 2016, the Company’s Chief Executive Officer reviewed financial information presented on a consolidated basis and, as a result, the Company concluded that there was only one operating and reportable segment at that time. Subsequent to the acquisition of Inventus (see Note 7, Business Combinations), the Company's Chief Executive Officer reviews separate financial information for the patent risk management and discovery services businesses. Therefore, as of January 2016, the Company has two reportable segments: 1) patent risk management which generates its revenues primarily from membership subscriptions, premiums earned from insurance policies, and management fees for marketing, underwriting, and claim management and 2) discovery services which generates its revenues primarily from fees generated for data collection, hosting and processing, project management, and document review services. There are no material internal revenue transactions between these two reportable segments.</w:t>
      </w:r>
    </w:p>
    <w:p>
      <w:pPr>
        <w:spacing w:after="0" w:line="21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Although adjusted EBITDA is not a measure of financial performance determined in accordance with GAAP, the Company's chief operating decision maker evaluates segment financial performance by utilizing the segment's adjusted EBITDA because the Company believes it is a useful supplemental measure that reflects core operating performance and provides an indicator of the segment's ability to generate cash.</w:t>
      </w:r>
    </w:p>
    <w:p>
      <w:pPr>
        <w:spacing w:after="0" w:line="2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defines adjusted EBITDA as net income exclusive of provision for income taxes, interest and other income (expense), net, stock-based compensation and related employer payroll taxes, depreciation, and amortization. There are limitations in using the Company's measures of financial performance that are not determined in accordance with GAAP and these may be different from other financial measures not determined in accordance with GAAP used by other companies. These financial measures are limited in value because they exclude certain items that may have a material impact on the Company's reported financial results. In addition, they are subject to inherent limitations as they reflect the exercise of judgment by the Company about which items are adjusted to calculate its financial measures not determined in accordance with GAAP. The presentation of financial measures not determined in accordance with GAAP should not be considered in isolation or as a substitute for, or superior to, financial results determined in accordance with GAAP.</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Summarized financial information by segment utilized by the Company's chief operating decision maker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0"/>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6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2016</w:t>
            </w:r>
          </w:p>
        </w:tc>
      </w:tr>
      <w:tr>
        <w:trPr>
          <w:trHeight w:val="324"/>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660" w:type="dxa"/>
            <w:vAlign w:val="bottom"/>
            <w:shd w:val="clear" w:color="auto" w:fill="CCEEFF"/>
          </w:tcPr>
          <w:p>
            <w:pPr>
              <w:jc w:val="center"/>
              <w:ind w:right="2370"/>
              <w:spacing w:after="0"/>
              <w:rPr>
                <w:sz w:val="20"/>
                <w:szCs w:val="20"/>
                <w:color w:val="auto"/>
              </w:rPr>
            </w:pPr>
            <w:r>
              <w:rPr>
                <w:rFonts w:ascii="Arial" w:cs="Arial" w:eastAsia="Arial" w:hAnsi="Arial"/>
                <w:sz w:val="18"/>
                <w:szCs w:val="18"/>
                <w:b w:val="1"/>
                <w:bCs w:val="1"/>
                <w:color w:val="auto"/>
                <w:w w:val="99"/>
              </w:rPr>
              <w:t>Patent Risk Management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64,622</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190,723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203,482</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40,762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123,157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123,337</w:t>
            </w:r>
          </w:p>
        </w:tc>
      </w:tr>
      <w:tr>
        <w:trPr>
          <w:trHeight w:val="264"/>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16,008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17,575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47,084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59,112</w:t>
            </w:r>
          </w:p>
        </w:tc>
      </w:tr>
      <w:tr>
        <w:trPr>
          <w:trHeight w:val="257"/>
        </w:trPr>
        <w:tc>
          <w:tcPr>
            <w:tcW w:w="4660" w:type="dxa"/>
            <w:vAlign w:val="bottom"/>
            <w:shd w:val="clear" w:color="auto" w:fill="CCEEFF"/>
          </w:tcPr>
          <w:p>
            <w:pPr>
              <w:jc w:val="center"/>
              <w:ind w:right="2390"/>
              <w:spacing w:after="0"/>
              <w:rPr>
                <w:sz w:val="20"/>
                <w:szCs w:val="20"/>
                <w:color w:val="auto"/>
              </w:rPr>
            </w:pPr>
            <w:r>
              <w:rPr>
                <w:rFonts w:ascii="Arial" w:cs="Arial" w:eastAsia="Arial" w:hAnsi="Arial"/>
                <w:sz w:val="18"/>
                <w:szCs w:val="18"/>
                <w:color w:val="auto"/>
                <w:w w:val="99"/>
              </w:rPr>
              <w:t>Operating income</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7,852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20,482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21,033</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22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13,974</w:t>
            </w: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39,934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41,226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120,928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122,402</w:t>
            </w:r>
          </w:p>
        </w:tc>
      </w:tr>
      <w:tr>
        <w:trPr>
          <w:trHeight w:val="297"/>
        </w:trPr>
        <w:tc>
          <w:tcPr>
            <w:tcW w:w="4660" w:type="dxa"/>
            <w:vAlign w:val="bottom"/>
            <w:tcBorders>
              <w:bottom w:val="single" w:sz="8" w:color="CCEEFF"/>
            </w:tcBorders>
          </w:tcPr>
          <w:p>
            <w:pPr>
              <w:jc w:val="center"/>
              <w:ind w:right="2410"/>
              <w:spacing w:after="0"/>
              <w:rPr>
                <w:sz w:val="20"/>
                <w:szCs w:val="20"/>
                <w:color w:val="auto"/>
              </w:rPr>
            </w:pPr>
            <w:r>
              <w:rPr>
                <w:rFonts w:ascii="Arial" w:cs="Arial" w:eastAsia="Arial" w:hAnsi="Arial"/>
                <w:sz w:val="18"/>
                <w:szCs w:val="18"/>
                <w:color w:val="auto"/>
                <w:w w:val="99"/>
              </w:rPr>
              <w:t>Adjusted EBITDA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51,158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56,775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151,315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157,409</w:t>
            </w:r>
          </w:p>
        </w:tc>
      </w:tr>
      <w:tr>
        <w:trPr>
          <w:trHeight w:val="305"/>
        </w:trPr>
        <w:tc>
          <w:tcPr>
            <w:tcW w:w="4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Discovery Services</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57,925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47,823</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31,565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24,229</w:t>
            </w: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19,678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17,302</w:t>
            </w:r>
          </w:p>
        </w:tc>
      </w:tr>
      <w:tr>
        <w:trPr>
          <w:trHeight w:val="250"/>
        </w:trPr>
        <w:tc>
          <w:tcPr>
            <w:tcW w:w="4660" w:type="dxa"/>
            <w:vAlign w:val="bottom"/>
          </w:tcPr>
          <w:p>
            <w:pPr>
              <w:jc w:val="center"/>
              <w:ind w:right="2390"/>
              <w:spacing w:after="0"/>
              <w:rPr>
                <w:sz w:val="20"/>
                <w:szCs w:val="20"/>
                <w:color w:val="auto"/>
              </w:rPr>
            </w:pPr>
            <w:r>
              <w:rPr>
                <w:rFonts w:ascii="Arial" w:cs="Arial" w:eastAsia="Arial" w:hAnsi="Arial"/>
                <w:sz w:val="18"/>
                <w:szCs w:val="18"/>
                <w:color w:val="auto"/>
                <w:w w:val="99"/>
              </w:rPr>
              <w:t>Operating income</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6,292</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64"/>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7,350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6,910</w:t>
            </w:r>
          </w:p>
        </w:tc>
      </w:tr>
      <w:tr>
        <w:trPr>
          <w:trHeight w:val="257"/>
        </w:trPr>
        <w:tc>
          <w:tcPr>
            <w:tcW w:w="4660" w:type="dxa"/>
            <w:vAlign w:val="bottom"/>
            <w:tcBorders>
              <w:bottom w:val="single" w:sz="8" w:color="CCEEFF"/>
            </w:tcBorders>
            <w:shd w:val="clear" w:color="auto" w:fill="CCEEFF"/>
          </w:tcPr>
          <w:p>
            <w:pPr>
              <w:jc w:val="center"/>
              <w:ind w:right="2410"/>
              <w:spacing w:after="0"/>
              <w:rPr>
                <w:sz w:val="20"/>
                <w:szCs w:val="20"/>
                <w:color w:val="auto"/>
              </w:rPr>
            </w:pPr>
            <w:r>
              <w:rPr>
                <w:rFonts w:ascii="Arial" w:cs="Arial" w:eastAsia="Arial" w:hAnsi="Arial"/>
                <w:sz w:val="18"/>
                <w:szCs w:val="18"/>
                <w:color w:val="auto"/>
                <w:w w:val="99"/>
              </w:rPr>
              <w:t>Adjusted EBITDA</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13,567</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05"/>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85,702</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88,461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248,648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251,305</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52,282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154,722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147,566</w:t>
            </w:r>
          </w:p>
        </w:tc>
      </w:tr>
      <w:tr>
        <w:trPr>
          <w:trHeight w:val="264"/>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22,517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66,762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76,414</w:t>
            </w:r>
          </w:p>
        </w:tc>
      </w:tr>
      <w:tr>
        <w:trPr>
          <w:trHeight w:val="257"/>
        </w:trPr>
        <w:tc>
          <w:tcPr>
            <w:tcW w:w="4660" w:type="dxa"/>
            <w:vAlign w:val="bottom"/>
            <w:tcBorders>
              <w:bottom w:val="single" w:sz="8" w:color="CCEEFF"/>
            </w:tcBorders>
            <w:shd w:val="clear" w:color="auto" w:fill="CCEEFF"/>
          </w:tcPr>
          <w:p>
            <w:pPr>
              <w:jc w:val="center"/>
              <w:ind w:right="2390"/>
              <w:spacing w:after="0"/>
              <w:rPr>
                <w:sz w:val="20"/>
                <w:szCs w:val="20"/>
                <w:color w:val="auto"/>
              </w:rPr>
            </w:pPr>
            <w:r>
              <w:rPr>
                <w:rFonts w:ascii="Arial" w:cs="Arial" w:eastAsia="Arial" w:hAnsi="Arial"/>
                <w:sz w:val="18"/>
                <w:szCs w:val="18"/>
                <w:color w:val="auto"/>
                <w:w w:val="99"/>
              </w:rPr>
              <w:t>Operating income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10,903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27,164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27,325</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Company's subtotal segment adjusted EBITDA to consolidated net income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6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324"/>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Subtotal segment adjusted EBITDA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57,183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62,082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166,653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170,976</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(42,423)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(128,278)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(129,312)</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including related taxes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w:t>
            </w:r>
          </w:p>
        </w:tc>
      </w:tr>
      <w:tr>
        <w:trPr>
          <w:trHeight w:val="257"/>
        </w:trPr>
        <w:tc>
          <w:tcPr>
            <w:tcW w:w="4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16,551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16,502</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56"/>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37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total assets by segment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54"/>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2016</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Patent risk management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483,311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501,540</w:t>
            </w:r>
          </w:p>
        </w:tc>
      </w:tr>
      <w:tr>
        <w:trPr>
          <w:trHeight w:val="27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Discovery services </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248,543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233,749</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731,854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735,289</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340" w:hanging="170"/>
        <w:spacing w:after="0"/>
        <w:tabs>
          <w:tab w:leader="none" w:pos="34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Includes goodwill and intangible assets acquired through the Company's acquisition of Inventus in January 2016.</w:t>
      </w:r>
    </w:p>
    <w:p>
      <w:pPr>
        <w:spacing w:after="0" w:line="208"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The Company markets its solutions to companies around the world. Revenue is attributed to geographic areas based on the country in which the client is domiciled. 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7"/>
          </w:tcPr>
          <w:p>
            <w:pPr>
              <w:ind w:left="480"/>
              <w:spacing w:after="0"/>
              <w:rPr>
                <w:sz w:val="20"/>
                <w:szCs w:val="20"/>
                <w:color w:val="auto"/>
              </w:rPr>
            </w:pPr>
            <w:r>
              <w:rPr>
                <w:rFonts w:ascii="Arial" w:cs="Arial" w:eastAsia="Arial" w:hAnsi="Arial"/>
                <w:sz w:val="16"/>
                <w:szCs w:val="16"/>
                <w:b w:val="1"/>
                <w:bCs w:val="1"/>
                <w:color w:val="auto"/>
              </w:rPr>
              <w:t>Three Months Ended 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7"/>
          </w:tcPr>
          <w:p>
            <w:pPr>
              <w:ind w:left="600"/>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Borders>
              <w:bottom w:val="single" w:sz="8" w:color="auto"/>
            </w:tcBorders>
          </w:tcPr>
          <w:p>
            <w:pPr>
              <w:spacing w:after="0"/>
              <w:rPr>
                <w:sz w:val="19"/>
                <w:szCs w:val="19"/>
                <w:color w:val="auto"/>
              </w:rPr>
            </w:pPr>
          </w:p>
        </w:tc>
      </w:tr>
      <w:tr>
        <w:trPr>
          <w:trHeight w:val="264"/>
        </w:trPr>
        <w:tc>
          <w:tcPr>
            <w:tcW w:w="22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270"/>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50,006</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50,068</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146,672</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144,720</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63"/>
        </w:trPr>
        <w:tc>
          <w:tcPr>
            <w:tcW w:w="2280" w:type="dxa"/>
            <w:vAlign w:val="bottom"/>
          </w:tcPr>
          <w:p>
            <w:pPr>
              <w:ind w:left="40"/>
              <w:spacing w:after="0"/>
              <w:rPr>
                <w:sz w:val="20"/>
                <w:szCs w:val="20"/>
                <w:color w:val="auto"/>
              </w:rPr>
            </w:pPr>
            <w:r>
              <w:rPr>
                <w:rFonts w:ascii="Arial" w:cs="Arial" w:eastAsia="Arial" w:hAnsi="Arial"/>
                <w:sz w:val="18"/>
                <w:szCs w:val="18"/>
                <w:color w:val="auto"/>
              </w:rPr>
              <w:t>Germany</w:t>
            </w:r>
          </w:p>
        </w:tc>
        <w:tc>
          <w:tcPr>
            <w:tcW w:w="40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22"/>
                <w:szCs w:val="22"/>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6,018</w:t>
            </w:r>
          </w:p>
        </w:tc>
        <w:tc>
          <w:tcPr>
            <w:tcW w:w="120" w:type="dxa"/>
            <w:vAlign w:val="bottom"/>
          </w:tcPr>
          <w:p>
            <w:pPr>
              <w:spacing w:after="0"/>
              <w:rPr>
                <w:sz w:val="22"/>
                <w:szCs w:val="22"/>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22,699</w:t>
            </w:r>
          </w:p>
        </w:tc>
        <w:tc>
          <w:tcPr>
            <w:tcW w:w="10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22"/>
                <w:szCs w:val="22"/>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7"/>
        </w:trPr>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8,727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11,192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26,367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29,105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r>
      <w:tr>
        <w:trPr>
          <w:trHeight w:val="264"/>
        </w:trPr>
        <w:tc>
          <w:tcPr>
            <w:tcW w:w="2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 of world</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18,179</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21,183</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52,910</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63,911</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r>
      <w:tr>
        <w:trPr>
          <w:trHeight w:val="257"/>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85,702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88,461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248,648</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251,305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9"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On October 26, 2017, the Company's Board of Directors approved a quarterly cash dividend of $0.05 per share of common stock, the first of which is payable on December 5, 2017, to shareholders of record on November 20, 2017.</w:t>
      </w:r>
    </w:p>
    <w:p>
      <w:pPr>
        <w:spacing w:after="0" w:line="196" w:lineRule="exact"/>
        <w:rPr>
          <w:sz w:val="20"/>
          <w:szCs w:val="20"/>
          <w:color w:val="auto"/>
        </w:rPr>
      </w:pPr>
    </w:p>
    <w:p>
      <w:pPr>
        <w:jc w:val="both"/>
        <w:ind w:right="160" w:firstLine="486"/>
        <w:spacing w:after="0" w:line="253" w:lineRule="auto"/>
        <w:rPr>
          <w:sz w:val="20"/>
          <w:szCs w:val="20"/>
          <w:color w:val="auto"/>
        </w:rPr>
      </w:pPr>
      <w:r>
        <w:rPr>
          <w:rFonts w:ascii="Arial" w:cs="Arial" w:eastAsia="Arial" w:hAnsi="Arial"/>
          <w:sz w:val="18"/>
          <w:szCs w:val="18"/>
          <w:color w:val="auto"/>
        </w:rPr>
        <w:t>On October 30, 2017, the Company announced that it will be repaying its Term Facility (see Note 11, Debt) in full in the fourth quarter of 2017. The original terms of the five-year Term Facility entered into in February 2016 required quarterly repayments through 2021. Pursuant to the terms of the Credit Agreement, the Company will not incur any early termination costs by early repayment of this facility. The Revolving Credit Facility will remain available for the Company to utilize, and therefore the Company is required to be compliant with the covenants in Credit Agreement as described in Note 11, Debt.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81" w:lineRule="exact"/>
        <w:rPr>
          <w:sz w:val="20"/>
          <w:szCs w:val="20"/>
          <w:color w:val="auto"/>
        </w:rPr>
      </w:pPr>
    </w:p>
    <w:p>
      <w:pPr>
        <w:ind w:right="320" w:firstLine="446"/>
        <w:spacing w:after="0" w:line="26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February 28, 2017.</w:t>
      </w:r>
    </w:p>
    <w:p>
      <w:pPr>
        <w:spacing w:after="0" w:line="176"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patent acquisition spending, our acquisition of Inventus, and our competitive position.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10-K filed with the SEC on February 28, 2017.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color w:val="auto"/>
        </w:rPr>
        <w:t>Since our founding in 2008, we have been providing an alternative to litigation through our patent risk management services. In January 2016, through our acquisition of Inventus, we began offering technology-enabled discovery services to our clients.</w:t>
      </w:r>
    </w:p>
    <w:p>
      <w:pPr>
        <w:spacing w:after="0" w:line="196" w:lineRule="exact"/>
        <w:rPr>
          <w:sz w:val="20"/>
          <w:szCs w:val="20"/>
          <w:color w:val="auto"/>
        </w:rPr>
      </w:pPr>
    </w:p>
    <w:p>
      <w:pPr>
        <w:ind w:right="80" w:firstLine="446"/>
        <w:spacing w:after="0" w:line="256" w:lineRule="auto"/>
        <w:rPr>
          <w:sz w:val="20"/>
          <w:szCs w:val="20"/>
          <w:color w:val="auto"/>
        </w:rPr>
      </w:pPr>
      <w:r>
        <w:rPr>
          <w:rFonts w:ascii="Arial" w:cs="Arial" w:eastAsia="Arial" w:hAnsi="Arial"/>
          <w:sz w:val="18"/>
          <w:szCs w:val="18"/>
          <w:color w:val="auto"/>
        </w:rPr>
        <w:t>We help companies reduce patent-related risk and corporate legal expense by providing two primary service offerings: (1) a subscription-based patent risk management service offering that facilitates more efficient exchanges of value between owners and users of patents compared to transactions driven by actual or threatened litigation, and (2) a discovery services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Risk Management</w:t>
      </w:r>
    </w:p>
    <w:p>
      <w:pPr>
        <w:spacing w:after="0" w:line="95" w:lineRule="exact"/>
        <w:rPr>
          <w:sz w:val="20"/>
          <w:szCs w:val="20"/>
          <w:color w:val="auto"/>
        </w:rPr>
      </w:pPr>
    </w:p>
    <w:p>
      <w:pPr>
        <w:ind w:right="180" w:firstLine="446"/>
        <w:spacing w:after="0" w:line="252" w:lineRule="auto"/>
        <w:rPr>
          <w:sz w:val="20"/>
          <w:szCs w:val="20"/>
          <w:color w:val="auto"/>
        </w:rPr>
      </w:pPr>
      <w:r>
        <w:rPr>
          <w:rFonts w:ascii="Arial" w:cs="Arial" w:eastAsia="Arial" w:hAnsi="Arial"/>
          <w:sz w:val="18"/>
          <w:szCs w:val="18"/>
          <w:color w:val="auto"/>
        </w:rPr>
        <w:t>We serve as a trusted intermediary in the patent marketplace. Our business model aligns our interests with those of our clients, with whom we have developed trusted relationships. Our patent risk management services clients include companies that design, make, or sell technology-based products and services as well as companies that use technology in their businesses, and which face legal claims for patent infringement. We have not asserted and will not assert our patents. We have never initiated patent infringement litigation, and our clients receive guarantees that we will never assert patents against them. We consider this guarantee to be of paramount importance in establishing trust with our clients. In a market with limited publicly available data on pricing and terms of licenses and litigation settlement, we believe our data and market intelligence is a valuable resource for our clients and prospects. In exchange for an upfront annual subscription fee, we provide the following to our patent risk management clients throughout the duration of their membership:</w:t>
      </w:r>
    </w:p>
    <w:p>
      <w:pPr>
        <w:spacing w:after="0" w:line="44"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review and analysis of patents offered for sale, including analysis of patent quality, validity, and commercial significance;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defensive patent acquisition, through which we acquire patents and patent rights on behalf of all of our patent risk management clients;</w:t>
      </w: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facilitation of syndicated transactions;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art searches;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proprietary periodic analysis and publication of patent market trends;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tracking of all US patent applications and issuances, patent litigation activity, and associated parties; and</w:t>
      </w:r>
    </w:p>
    <w:p>
      <w:pPr>
        <w:spacing w:after="0" w:line="9" w:lineRule="exact"/>
        <w:rPr>
          <w:rFonts w:ascii="Arial" w:cs="Arial" w:eastAsia="Arial" w:hAnsi="Arial"/>
          <w:sz w:val="18"/>
          <w:szCs w:val="18"/>
          <w:color w:val="auto"/>
        </w:rPr>
      </w:pPr>
    </w:p>
    <w:p>
      <w:pPr>
        <w:ind w:left="1300" w:right="80" w:hanging="320"/>
        <w:spacing w:after="0" w:line="26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publication and provision of patent-related data to governmental and regulatory bodies to inform public policy discussion about patent reform and trends.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Access to these services is available primarily through discussions with our professionals—particularly client relations and our team of patent experts, as well as through a proprietary database, and attendance at periodic conferences.</w:t>
      </w:r>
    </w:p>
    <w:p>
      <w:pPr>
        <w:spacing w:after="0" w:line="196" w:lineRule="exact"/>
        <w:rPr>
          <w:sz w:val="20"/>
          <w:szCs w:val="20"/>
          <w:color w:val="auto"/>
        </w:rPr>
      </w:pPr>
    </w:p>
    <w:p>
      <w:pPr>
        <w:ind w:right="180" w:firstLine="446"/>
        <w:spacing w:after="0" w:line="253" w:lineRule="auto"/>
        <w:rPr>
          <w:sz w:val="20"/>
          <w:szCs w:val="20"/>
          <w:color w:val="auto"/>
        </w:rPr>
      </w:pPr>
      <w:r>
        <w:rPr>
          <w:rFonts w:ascii="Arial" w:cs="Arial" w:eastAsia="Arial" w:hAnsi="Arial"/>
          <w:sz w:val="18"/>
          <w:szCs w:val="18"/>
          <w:color w:val="auto"/>
        </w:rPr>
        <w:t>Insuring against the costs of patent infringement litigation is a natural extension of our patent risk management membership. Our patent infringement litigation expense insurance is a liability insurance policy that covers certain costs associated with patent infringement lawsuits. We assume some portion of the underwriting risk on the insurance policies that we issue on behalf of a Lloyd's of London underwriting syndicate. To date, the effect of the insurance policies that we have assumed through our reinsurance business has not been material to our results of operations or financial condition.</w:t>
      </w:r>
    </w:p>
    <w:p>
      <w:pPr>
        <w:spacing w:after="0" w:line="206"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In our defensive patent acquisition activities, we acquire patents, licenses to patents, patent rights and agreements for covenants not to sue, which we collectively refer to as “patent assets.”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From our inception through September 30, 2017, we have reviewed over 9,000 patent asset portfolios, completed 424 acquisitions of patent asset portfolios with gross and net patent acquisition spend of $ 2.3 billion and $1.0 billion, respectively. During the nine months ended September 30, 2017, we completed 39 acquisitions of patent assets and our gross and net patent acquisition spend totaled $114.7 million and $54.6 million, respectively.</w:t>
      </w:r>
    </w:p>
    <w:p>
      <w:pPr>
        <w:spacing w:after="0" w:line="206"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During the nine months ended September 30, 2017 and 2016, revenue from our patent risk management services was $190.7 million and $203.5 million, respectively. As of September 30, 2017, our patent risk management segment had more than 325 clients, consisting of our patent risk management network members and insurance clients. We provide patent risk management services to nearly 450 companies, including those insured under policies sold to venture funds and industry trade associations.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Discovery Services</w:t>
      </w:r>
    </w:p>
    <w:p>
      <w:pPr>
        <w:spacing w:after="0" w:line="9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Through our wholly owned subsidiary Inventus, in 2016 we began offering technology-enabled discovery services to assist law firms and corporate legal departments manage costs and risks related to the litigation discovery process. Our discovery service offering focuses on the process of consolidation and organization of data into meaningful discovery information powered by a mix of third-party and proprietary software. This allows our discovery services clients to efficiently and effectively manage a portfolio of litigation discovery matters in a central location.</w:t>
      </w:r>
    </w:p>
    <w:p>
      <w:pPr>
        <w:spacing w:after="0" w:line="206"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Our more than 1,000 discovery services clients in approximately a dozen countries benefit from our discovery services, which include data hosting and backup, data processing and collection, project management, document review, and traditional document production. All of these services are designed to streamline the administration of litigation, investigations, and regulatory compliance. During the nine months ended September 30, 2017 and 2016, revenue from our discovery services was $57.9 million and $47.8 million, respectively. Certain of our discovery services operations are denominated in currencies other than the U.S. dollar, primarily the British pound sterling and the Euro, and therefore these operations are exposed to foreign exchange rate fluctuations.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Subscription revenue includes membership subscriptions to our patent risk management services, premiums earned, net of ceding commissions, from insurance policies, and management fees related to our insurance business. Historically, the majority of our revenue has consisted of fees paid by our clients under subscription agreements. Subscription revenue will be positively or negatively impacted by the financial performance of our patent risk management clients since their subscription fees typically reset annually based upon their most recently reported annual financial results. 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a Lloyd's of London underwriting syndicate, and as a result we recognize only the portion of the underwriting risk that we assume. In addition, we receive management fees for marketing, underwriting, and claims management services. To date, insurance premium revenue has not been material to our results of operations.</w:t>
      </w:r>
    </w:p>
    <w:p>
      <w:pPr>
        <w:spacing w:after="0" w:line="212"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We recognize revenue from the sale of licenses and advisory fee income in connection with syndicated acquisitions through our patent risk management services, which we collectively refer to as fee-related revenue. In the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future, we may receive other revenue and fee income from newly-introduced products and services. Our fee-related revenue may fluctuate significantly from period to period.</w:t>
      </w:r>
    </w:p>
    <w:p>
      <w:pPr>
        <w:spacing w:after="0" w:line="1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Discovery revenue represents fees generated from services rendered in connection with our discovery services. These services are typically comprised of document collection, hosting, and processing, document review, document production, and project management, and are generally billed in arrears based on the number of users, amount of data processed and stored, or number of consulting hours. Our discovery revenue may fluctuate significantly based on the project-oriented nature of the discovery services we provide.</w:t>
      </w:r>
    </w:p>
    <w:p>
      <w:pPr>
        <w:spacing w:after="0" w:line="204"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do not believe that our rate of growth since inception is representative of anticipated future revenue growth and we may experience a year-over-year decline in revenue in future periods.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Cost of revenue from our patent risk management services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from our patent risk management service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from our patent risk management services began to include premiums ceded to reinsurers, loss reserves, and for reserves for known and incurred but not reported claims. We began to issue new policies under a reinsurance model in May 2014 and under this model we do not cede premiums.</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cost of revenue from our patent risk management services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periods immediately following the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weighted-average of 40 months, which may cause our cost of revenue to increase. Our cost of revenue from our patent risk management services may fluctuate in the future as it is dependent on the level of patent asset purchases, the amortization period of the patent assets we acquire, and the level of insurance policies we issue.</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Cost of revenue from our discovery services primarily consists of compensation costs for employees and third-party contractors who deliver services to our clients, costs incurred to maintain, secure, and store hosted data, license fees for the software we utilize in our discovery services process, and amortization of our identifiable intangible assets for technology used to provide our discovery services to our clients. Our cost of revenue related to hosting and processing data and software license fees is primarily fixed but can fluctuate based on levels of data hosted and number of users our clients choose to have access to the software. Our cost of revenue related to document review services is primarily variable and may fluctuate significantly based on the review services provided to our clients.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Selling, general and administrative expenses consist of salaries and related expenses, including stock-based compensation expense, amortization related to our intangible assets, cost of marketing programs, legal costs, professional fees, travel costs, facility costs, and other corporate expenses. We expect that in the foreseeable future, selling, general, and administrative expenses may decrease when compared to the prior year period as we seek to effectively manage expenses although such expenses could fluctuate from period to period.</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99"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Interest and other income (expense), net consists primarily of interest income earned on our cash, cash equivalents, and short-term investments, interest expense incurred on our term debt, gains or losses due to foreign currency fluctuations, as well as changes in fair value and gains on extinguishment of our deferred payment obligations. Our interest and other income (expense), net may fluctuate significantly as our long-term debt bears interest in line with the London interbank offered rate and our results of operations and cash flows are subject to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fluctuations due to changes in foreign currency exchange rates, particularly changes in the British pound sterling, Japanese yen, and Euro relative to the U.S. dollar.</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There have been no material changes to our significant accounting policies during the nine months ended September 30, 2017, as compared to the significant accounting policies presented under the heading “Basis of Presentation and Significant Accounting Policies” in Note 2 of the Notes to Consolidated Financial Statements in Part II, Item 8 of our Annual Report on Form 10-K filed with the SEC on February 28, 2017.</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2016, the Financial Accounting Standards Board ("FASB") issued Accounting Standards Update ("ASU") No.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("ASU 2016-09"). ASU 2016-09 identifies areas for simplification involving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aspects of accounting for share-based payment transactions, including the income tax consequences, classification of awards as either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liabilities, an option to recognize gross stock compensation expense with actual forfeitures recognized as they occur, as well as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classifications on the statement of cash flows. The amendments in this update became effective in the first quarter of 2017. We adopted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 on January 1, 2017 and the standard did not have a material impact on our consolidated financial statements.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right="600" w:firstLine="486"/>
        <w:spacing w:after="0" w:line="262" w:lineRule="auto"/>
        <w:rPr>
          <w:sz w:val="20"/>
          <w:szCs w:val="20"/>
          <w:color w:val="auto"/>
        </w:rPr>
      </w:pPr>
      <w:r>
        <w:rPr>
          <w:rFonts w:ascii="Arial" w:cs="Arial" w:eastAsia="Arial" w:hAnsi="Arial"/>
          <w:sz w:val="18"/>
          <w:szCs w:val="18"/>
          <w:color w:val="auto"/>
        </w:rPr>
        <w:t>Our recent accounting pronouncements are described in more detail in Note 2, "Basis of Presentation and Significant Accounting Policies," in Notes to Condensed Consolidated Financial Statements (unaudited) in Part I, Item 1 of this Quarterly Report on Form 10-Q.</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right="480" w:firstLine="446"/>
        <w:spacing w:after="0" w:line="256" w:lineRule="auto"/>
        <w:rPr>
          <w:sz w:val="20"/>
          <w:szCs w:val="20"/>
          <w:color w:val="auto"/>
        </w:rPr>
      </w:pPr>
      <w:r>
        <w:rPr>
          <w:rFonts w:ascii="Arial" w:cs="Arial" w:eastAsia="Arial" w:hAnsi="Arial"/>
          <w:sz w:val="18"/>
          <w:szCs w:val="18"/>
          <w:color w:val="auto"/>
        </w:rPr>
        <w:t>The following table sets forth our condensed consolidated statement of operations data for each of the periods indicated, including segment information (in thousands). Our historical results are not necessarily indicative of our results of operations to be expected for any future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6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64,622</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190,723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203,482</w:t>
            </w: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21,080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57,925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47,823</w:t>
            </w:r>
          </w:p>
        </w:tc>
      </w:tr>
      <w:tr>
        <w:trPr>
          <w:trHeight w:val="250"/>
        </w:trPr>
        <w:tc>
          <w:tcPr>
            <w:tcW w:w="4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85,702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88,461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248,648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251,305</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22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40,762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41,555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123,157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123,337</w:t>
            </w: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11,520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9,275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31,565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24,229</w:t>
            </w:r>
          </w:p>
        </w:tc>
      </w:tr>
      <w:tr>
        <w:trPr>
          <w:trHeight w:val="250"/>
        </w:trPr>
        <w:tc>
          <w:tcPr>
            <w:tcW w:w="4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52,282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50,830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154,722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147,566</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22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16,008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17,575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47,084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59,112</w:t>
            </w: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6,040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19,678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17,302</w:t>
            </w:r>
          </w:p>
        </w:tc>
      </w:tr>
      <w:tr>
        <w:trPr>
          <w:trHeight w:val="250"/>
        </w:trPr>
        <w:tc>
          <w:tcPr>
            <w:tcW w:w="4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selling, general and administrative expenses</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22,517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23,615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66,762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76,414</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6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22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20,482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21,033</w:t>
            </w: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6,682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6,292</w:t>
            </w:r>
          </w:p>
        </w:tc>
      </w:tr>
      <w:tr>
        <w:trPr>
          <w:trHeight w:val="250"/>
        </w:trPr>
        <w:tc>
          <w:tcPr>
            <w:tcW w:w="4660" w:type="dxa"/>
            <w:vAlign w:val="bottom"/>
          </w:tcPr>
          <w:p>
            <w:pPr>
              <w:ind w:left="500"/>
              <w:spacing w:after="0"/>
              <w:rPr>
                <w:sz w:val="20"/>
                <w:szCs w:val="20"/>
                <w:color w:val="auto"/>
              </w:rPr>
            </w:pPr>
            <w:r>
              <w:rPr>
                <w:rFonts w:ascii="Arial" w:cs="Arial" w:eastAsia="Arial" w:hAnsi="Arial"/>
                <w:sz w:val="18"/>
                <w:szCs w:val="18"/>
                <w:color w:val="auto"/>
              </w:rPr>
              <w:t>Total operating income</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10,903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27,164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27,325</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50"/>
        </w:trPr>
        <w:tc>
          <w:tcPr>
            <w:tcW w:w="46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10,991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27,146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26,331</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10,595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9,829</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8,115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16,551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16,502</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56"/>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following table sets forth our condensed consolidated statement of operations data as a percentage of total revenue for each of the periods indicated, including segment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19"/>
                <w:szCs w:val="19"/>
                <w:color w:val="auto"/>
              </w:rPr>
            </w:pPr>
          </w:p>
        </w:tc>
        <w:tc>
          <w:tcPr>
            <w:tcW w:w="3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9"/>
                <w:szCs w:val="19"/>
                <w:color w:val="auto"/>
              </w:rPr>
            </w:pPr>
          </w:p>
        </w:tc>
        <w:tc>
          <w:tcPr>
            <w:tcW w:w="34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5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2016</w:t>
            </w:r>
          </w:p>
        </w:tc>
      </w:tr>
      <w:tr>
        <w:trPr>
          <w:trHeight w:val="270"/>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70"/>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r>
      <w:tr>
        <w:trPr>
          <w:trHeight w:val="264"/>
        </w:trPr>
        <w:tc>
          <w:tcPr>
            <w:tcW w:w="4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r>
      <w:tr>
        <w:trPr>
          <w:trHeight w:val="270"/>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680" w:type="dxa"/>
            <w:vAlign w:val="bottom"/>
          </w:tcPr>
          <w:p>
            <w:pPr>
              <w:jc w:val="right"/>
              <w:ind w:right="17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49</w:t>
            </w:r>
          </w:p>
        </w:tc>
      </w:tr>
      <w:tr>
        <w:trPr>
          <w:trHeight w:val="270"/>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r>
      <w:tr>
        <w:trPr>
          <w:trHeight w:val="264"/>
        </w:trPr>
        <w:tc>
          <w:tcPr>
            <w:tcW w:w="4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cost of revenue</w:t>
            </w: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w:t>
            </w:r>
          </w:p>
        </w:tc>
      </w:tr>
      <w:tr>
        <w:trPr>
          <w:trHeight w:val="270"/>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6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680" w:type="dxa"/>
            <w:vAlign w:val="bottom"/>
          </w:tcPr>
          <w:p>
            <w:pPr>
              <w:jc w:val="right"/>
              <w:ind w:right="17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70"/>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r>
      <w:tr>
        <w:trPr>
          <w:trHeight w:val="215"/>
        </w:trPr>
        <w:tc>
          <w:tcPr>
            <w:tcW w:w="5560" w:type="dxa"/>
            <w:vAlign w:val="bottom"/>
            <w:gridSpan w:val="2"/>
          </w:tcPr>
          <w:p>
            <w:pPr>
              <w:ind w:left="500"/>
              <w:spacing w:after="0"/>
              <w:rPr>
                <w:sz w:val="20"/>
                <w:szCs w:val="20"/>
                <w:color w:val="auto"/>
              </w:rPr>
            </w:pPr>
            <w:r>
              <w:rPr>
                <w:rFonts w:ascii="Arial" w:cs="Arial" w:eastAsia="Arial" w:hAnsi="Arial"/>
                <w:sz w:val="18"/>
                <w:szCs w:val="18"/>
                <w:color w:val="auto"/>
              </w:rPr>
              <w:t>Total selling, general and administrative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4"/>
        </w:trPr>
        <w:tc>
          <w:tcPr>
            <w:tcW w:w="4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expenses</w:t>
            </w: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w:t>
            </w:r>
          </w:p>
        </w:tc>
      </w:tr>
      <w:tr>
        <w:trPr>
          <w:trHeight w:val="257"/>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r>
        <w:trPr>
          <w:trHeight w:val="26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680" w:type="dxa"/>
            <w:vAlign w:val="bottom"/>
          </w:tcPr>
          <w:p>
            <w:pPr>
              <w:jc w:val="right"/>
              <w:ind w:right="1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8</w:t>
            </w:r>
          </w:p>
        </w:tc>
      </w:tr>
      <w:tr>
        <w:trPr>
          <w:trHeight w:val="270"/>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50"/>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Total operating income</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80" w:type="dxa"/>
            <w:vAlign w:val="bottom"/>
          </w:tcPr>
          <w:p>
            <w:pPr>
              <w:jc w:val="right"/>
              <w:ind w:right="1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80" w:type="dxa"/>
            <w:vAlign w:val="bottom"/>
          </w:tcPr>
          <w:p>
            <w:pPr>
              <w:jc w:val="right"/>
              <w:ind w:right="1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r>
      <w:tr>
        <w:trPr>
          <w:trHeight w:val="257"/>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4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and 2016</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total revenue for each of the periods indicated, including revenue by segment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6"/>
                <w:szCs w:val="16"/>
                <w:b w:val="1"/>
                <w:bCs w:val="1"/>
                <w:color w:val="auto"/>
              </w:rPr>
              <w:t>Three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Subscription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62,346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62,414</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Fee-related revenue</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2,276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8,060</w:t>
            </w:r>
          </w:p>
        </w:tc>
      </w:tr>
      <w:tr>
        <w:trPr>
          <w:trHeight w:val="250"/>
        </w:trPr>
        <w:tc>
          <w:tcPr>
            <w:tcW w:w="8100" w:type="dxa"/>
            <w:vAlign w:val="bottom"/>
          </w:tcPr>
          <w:p>
            <w:pPr>
              <w:ind w:left="500"/>
              <w:spacing w:after="0"/>
              <w:rPr>
                <w:sz w:val="20"/>
                <w:szCs w:val="20"/>
                <w:color w:val="auto"/>
              </w:rPr>
            </w:pPr>
            <w:r>
              <w:rPr>
                <w:rFonts w:ascii="Arial" w:cs="Arial" w:eastAsia="Arial" w:hAnsi="Arial"/>
                <w:sz w:val="18"/>
                <w:szCs w:val="18"/>
                <w:color w:val="auto"/>
              </w:rPr>
              <w:t>Total patent risk management revenue</w:t>
            </w:r>
          </w:p>
        </w:tc>
        <w:tc>
          <w:tcPr>
            <w:tcW w:w="2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64,622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70,474</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21,080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17,987</w:t>
            </w:r>
          </w:p>
        </w:tc>
      </w:tr>
      <w:tr>
        <w:trPr>
          <w:trHeight w:val="257"/>
        </w:trPr>
        <w:tc>
          <w:tcPr>
            <w:tcW w:w="810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85,702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88,461</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Our revenue for the three months ended September 30, 2017 was $85.7 million compared to $88.5 million during the same period a year prior, a decrease of $2.8 million, or 3%. Subscription revenue, which includes membership subscriptions to our patent risk management services, premiums earned from insurance policies, and management fees, for the three months ended September 30, 2017 was essentially flat at $62.3 million compared to $62.4 million for the three months ended September 30, 2016. The minor decrease in subscription revenue was primarily attributable to a decrease of $2.1 million from clients who joined our network prior to September 30, 2016 and, in certain cases, may no longer be a part of our network as of September 30, 2017, partially offset by an increase in membership fees and insurance premiums of $2.0 million from new clients who joined our network subsequent to September 30, 2016. As of September 30, 2017, we provided patent risk management services to nearly 450 companies, including those insured under policies sold to venture funds and industry trade associations, as compared to approximately 328 as of September 30, 2016.</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40"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660" w:firstLine="486"/>
        <w:spacing w:after="0" w:line="256" w:lineRule="auto"/>
        <w:rPr>
          <w:sz w:val="20"/>
          <w:szCs w:val="20"/>
          <w:color w:val="auto"/>
        </w:rPr>
      </w:pPr>
      <w:r>
        <w:rPr>
          <w:rFonts w:ascii="Arial" w:cs="Arial" w:eastAsia="Arial" w:hAnsi="Arial"/>
          <w:sz w:val="18"/>
          <w:szCs w:val="18"/>
          <w:color w:val="auto"/>
        </w:rPr>
        <w:t>Revenue for the three months ended September 30, 2017 and 2016 included fee-related revenue of $ 2.3 million and $8.1 million, respectively, generated from our patent risk management business. The decrease was primarily attributable to decreases in fee-related revenue generated through syndicated acquisitions.</w:t>
      </w:r>
    </w:p>
    <w:p>
      <w:pPr>
        <w:spacing w:after="0" w:line="202"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Discovery revenue, which includes fees generated from data collection, hosting and processing, project management, and document review services, for the three months ended September 30, 2017 was $21.1 million compared to $18.0 million in the same period a year prior. The increase is primarily attributable to an increase in fees generated from document review services during the three months ended September 30, 2017 as compared to the prior year period.</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9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cost of revenue for the three months ended September 30, 2017 was $52.3 million compared to $50.8 million during the same period a year prior, an increase of $1.5 million, or 3%. Cost of revenue from our patent risk management services for the three months ended September 30, 2017 was $40.8 million compared to $ 41.6 million for the three months ended September 30, 2016. The decrease in our cost of revenue from our patent risk management services is primarily attributable to a decrease in patent amortization expense of $0.9 million and a decrease of $0.2 million related to our patent infringement litigation insurance, both partially offset by a $0.4 million increase in costs incurred to maintain and prosecute our patents and patent applications included in our portfolio and conduct inter partes reviews and prior art searches.</w:t>
      </w:r>
    </w:p>
    <w:p>
      <w:pPr>
        <w:spacing w:after="0" w:line="20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Cost of revenue from our discovery services for the three months ended September 30, 2017 was $11.5 million compared to $9.3 million for the three months ended September 30, 2016. The increase in our cost of revenue from our discovery services is primarily attributable to an increase in third-party contractor and personnel-related costs, including stock-based compensation, during the three months ended September 30, 2017 as compared to the prior year period.</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selling, general and administrative expenses for the three months ended September 30, 2017 were $22.5 million compared to $ 23.6 million during the same period a year prior, a decrease of $1.1 million, or 5%. Selling, general and administrative expense from our patent risk management services for the three months ended September 30, 2017 was $16.0 million compared to $17.6 million for the three months ended September 30, 2016. This decrease is primarily attributable to a $0.6 million decrease in personnel-related costs, including stock-based compensation, due to executive management changes during the three months ended March 31, 2017, as well as decreases in other general corporate costs during the three months ended September 30, 2017 as compared to the prior year period.</w:t>
      </w:r>
    </w:p>
    <w:p>
      <w:pPr>
        <w:spacing w:after="0" w:line="209"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Selling, general and administrative expenses from our discovery services for the three months ended September 30, 2017 were $6.5 million compared to $6.0 million for the three months ended September 30, 2016. The increase in selling, general and administrative expense from our discovery services is primarily attributable to increases in personnel-related costs, including stock-based compensation, due to increases in headcount.</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95"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Our interest and other income, net for the three months ended September 30, 2017 was $0.1 million compared to interest and other expense, net of $1.3 million during the same period a year prior, an increase of $1.4 million. The increase was primarily due to a $1.3 million increase in realized and unrealized foreign currency gains and a $0.2 million increase in interest income generated on our short-term investments partially offset by a $0.1 million increase in interest expense incurred on our term debt.</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Provision for Income Taxes</w:t>
      </w:r>
    </w:p>
    <w:p>
      <w:pPr>
        <w:spacing w:after="0" w:line="9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Our provision for income taxes was $4.6 million and $4.7 million for the three months ended September 30, 2017 and 2016, respectively. Our effective tax rate, including the impact of discrete items, was 42% and 36% for the three months ended September 30, 2017 and 2016, respectively.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and 2016</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total revenue for each of the periods indicated, including revenue by segment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Subscription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187,296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192,745</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Fee-related revenue</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3,427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10,737</w:t>
            </w:r>
          </w:p>
        </w:tc>
      </w:tr>
      <w:tr>
        <w:trPr>
          <w:trHeight w:val="250"/>
        </w:trPr>
        <w:tc>
          <w:tcPr>
            <w:tcW w:w="8100" w:type="dxa"/>
            <w:vAlign w:val="bottom"/>
          </w:tcPr>
          <w:p>
            <w:pPr>
              <w:ind w:left="500"/>
              <w:spacing w:after="0"/>
              <w:rPr>
                <w:sz w:val="20"/>
                <w:szCs w:val="20"/>
                <w:color w:val="auto"/>
              </w:rPr>
            </w:pPr>
            <w:r>
              <w:rPr>
                <w:rFonts w:ascii="Arial" w:cs="Arial" w:eastAsia="Arial" w:hAnsi="Arial"/>
                <w:sz w:val="18"/>
                <w:szCs w:val="18"/>
                <w:color w:val="auto"/>
              </w:rPr>
              <w:t>Total patent risk management revenue</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190,723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203,482</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57,925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47,823</w:t>
            </w:r>
          </w:p>
        </w:tc>
      </w:tr>
      <w:tr>
        <w:trPr>
          <w:trHeight w:val="257"/>
        </w:trPr>
        <w:tc>
          <w:tcPr>
            <w:tcW w:w="810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248,648</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251,305</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Our revenue for the nine months ended September 30, 2017 was $ 248.6 million compared to $251.3 million during the same period a year prior, a decrease of $2.7 million, or 1%. Subscription revenue, which includes membership subscriptions to our patent risk management services, premiums earned from insurance policies, and management fees, for the nine months ended September 30, 2017 was $187.3 million compared to $192.7 million for the nine months ended September 30, 2016. The decrease in subscription revenue was primarily attributable to a decrease of $12.5 million from clients who joined our network prior to September 30, 2016 and, in certain cases, may no longer be a part of our network as of September 30, 2017, partially offset by an increase in membership fees and insurance premiums of $7.1 million from new clients who joined our network subsequent to September 30, 2016. As of September 30, 2017, we provided patent risk management services to nearly 450 companies, including those insured under policies sold to venture funds and industry trade associations as of September 30, 2017, as compared to approximately 328 as of September 30, 2016.</w:t>
      </w:r>
    </w:p>
    <w:p>
      <w:pPr>
        <w:spacing w:after="0" w:line="213" w:lineRule="exact"/>
        <w:rPr>
          <w:sz w:val="20"/>
          <w:szCs w:val="20"/>
          <w:color w:val="auto"/>
        </w:rPr>
      </w:pPr>
    </w:p>
    <w:p>
      <w:pPr>
        <w:jc w:val="both"/>
        <w:ind w:right="620" w:firstLine="486"/>
        <w:spacing w:after="0" w:line="256" w:lineRule="auto"/>
        <w:rPr>
          <w:sz w:val="20"/>
          <w:szCs w:val="20"/>
          <w:color w:val="auto"/>
        </w:rPr>
      </w:pPr>
      <w:r>
        <w:rPr>
          <w:rFonts w:ascii="Arial" w:cs="Arial" w:eastAsia="Arial" w:hAnsi="Arial"/>
          <w:sz w:val="18"/>
          <w:szCs w:val="18"/>
          <w:color w:val="auto"/>
        </w:rPr>
        <w:t>Revenue for the nine months ended September 30, 2017 and 2016 included fee-related revenue of $3.4 million and $ 10.7 million, respectively, generated from our patent risk management business. The decrease was primarily attributable to decreases in fee-related revenue generated through syndicated acquisitions.</w:t>
      </w:r>
    </w:p>
    <w:p>
      <w:pPr>
        <w:spacing w:after="0" w:line="20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Discovery revenue, which includes fees generated from data collection, hosting and processing, project management, and document review services, for the nine months ended September 30, 2017 was $57.9 million compared to $47.8 million in the same period a year prior. The increase is primarily attributable to an increase in fees generated from document review services during the nine months ended September 30, 2017 as compared to the prior year period. The increase is also attributable to fees generated from discovery services for the full period during the nine months ended September 30, 2017, compared to a partial period during the nine months ended September 30, 2016, as we started offering our discovery services through our acquisition of Inventus on January 22, 2016.</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9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cost of revenue for the nine months ended September 30, 2017 was $154.7 million compared to $147.6 million during the same period a year prior, an increase of $7.1 million, or 5%. Cost of revenue from our patent risk management services for the nine months ended September 30, 2017 was $ 123.2 million compared to $123.3 million for the nine months ended September 30, 2016. The decrease in our cost of revenue from our patent risk management services is primarily attributable to a decrease in patent amortization expense of $0.8 million partially offset by an increase of $0.4 million related to our patent infringement litigation insurance and a $0.2 million increase in costs incurred to maintain and prosecute our patents and patent applications included in our portfolio and conduct inter partes reviews and prior art searches.</w:t>
      </w:r>
    </w:p>
    <w:p>
      <w:pPr>
        <w:spacing w:after="0" w:line="20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Cost of revenue from our discovery services for the nine months ended September 30, 2017 was $31.6 million compared to $24.2 million for the nine months ended September 30, 2016. The increase in our cost of revenue from our discovery services is primarily attributable to an increase in third-party contractor and personnel-related costs, including stock-based compensation, as well as an increase in the cost of revenue related to software licenses during the nine months ended September 30, 2017 as compared to the prior year period. This increase is also attributable to offering discovery services for a full period during the nine months ended September 30, 2017, compared to a partial period during the nine months ended September 30, 2016, as we started offering our discovery services through our acquisition of Inventus on January 22, 2016.</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5"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Our selling, general and administrative expenses for the nine months ended September 30, 2017 were $66.8 million compared to $76.4 million during the same period a year prior, a decrease of $9.6 million, or 13%. Selling, general and administrative expenses generated from our patent risk management services for the nine months ended September 30, 2017 were $47.1 million compared to $59.1 million for the nine months ended September 30, 2016. This decrease is primarily attributable to a $7.4 million decrease in personnel-related costs, including stock-based compensation, due to a decrease in headcount compared to the prior year period as well as executive management changes during the three months ended March 31, 2017. This decrease was also due to a $2.0 million decrease in professional services as we incurred various costs as a result of our acquisition of Inventus in January 2016, a $0.9 million decrease in our bad debt expense, a $0.6 million decrease in our amortization expense related to intangible assets (other than patents), and a $0.5 million decrease in our corporate legal expenses during the nine months ended September 30, 2017 as compared to the prior year period.</w:t>
      </w:r>
    </w:p>
    <w:p>
      <w:pPr>
        <w:spacing w:after="0" w:line="21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Selling, general and administrative expenses from our discovery services for the nine months ended September 30, 2017 were $19.7 million compared to $17.3 million for the nine months ended September 30, 2016. The increase in the selling, general and administrative expenses from our discovery services is primarily attributable to increases in personnel-related costs, including stock-based compensation, due to increases in headcount. The increase is also due to our offering of discovery services for a full period during the nine months ended September 30, 2017, compared to a partial period during the nine months ended September 30, 2016, as we started offering our discovery services through our acquisition of Inventus on January 22, 2016.</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interest and other expense, net for the nine months ended September 30, 2017 was nil compared to interest and other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$1.0 million during the same period a year prior, a decrease of $1.0 million. The decrease was primarily due to a $3.5 million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foreign currency gains, a $0.4 million increase in interest income generated from our short-term investments,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 million decrease in realized losses on exchange of our short-term investments. These were partially offset by a decrease of $1.9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fair value adjustments on our deferred payment obligations, a $0.7 million increase in interest expense incurred on our term debt,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decrease of $0.5 million of gains related to the extinguishment of our deferred payment obligations.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Provision for Income Taxes</w:t>
      </w:r>
    </w:p>
    <w:p>
      <w:pPr>
        <w:spacing w:after="0" w:line="95" w:lineRule="exact"/>
        <w:rPr>
          <w:sz w:val="20"/>
          <w:szCs w:val="20"/>
          <w:color w:val="auto"/>
        </w:rPr>
      </w:pPr>
    </w:p>
    <w:p>
      <w:pPr>
        <w:ind w:firstLine="486"/>
        <w:spacing w:after="0" w:line="291" w:lineRule="auto"/>
        <w:rPr>
          <w:sz w:val="20"/>
          <w:szCs w:val="20"/>
          <w:color w:val="auto"/>
        </w:rPr>
      </w:pPr>
      <w:r>
        <w:rPr>
          <w:rFonts w:ascii="Arial" w:cs="Arial" w:eastAsia="Arial" w:hAnsi="Arial"/>
          <w:sz w:val="17"/>
          <w:szCs w:val="17"/>
          <w:color w:val="auto"/>
        </w:rPr>
        <w:t>Our provision for income taxes was $10.6 million and $ 9.8 million for the nine months ended September 30, 2017 and 2016. Our effective tax rate, including the impact of discrete items, was 39% and 37% for the nine months ended September 30, 2017 and 2016,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9"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We supplement our consolidated financial statements presented on a GAAP basis with non-GAAP adjusted EBITDA less net patent spend as we believe that this non-GAAP measure provides useful information about core operating results and thus is appropriate to enhance the overall understanding of our past financial performance and our prospects for the future. We define non-GAAP adjusted EBITDA as net income exclusive of provision for income taxes, interest and other income (expense), net, stock-based compensation, including employer payroll taxes, depreciation, and amortization. We use this non-GAAP measure to evaluate our financial results and trends, allocate internal resources, prepare and approve our annual budget, develop short- and long-term operating plans, and assess the health of our business. We believe this non-GAAP measure may prove useful to investors who wish to consider the impact of certain items when comparing our financial performance with that of other companies. The adjustments to our GAAP results are made with the intent of providing both management and investors a more complete understanding of our underlying operational results, trends, and performance.</w:t>
      </w:r>
    </w:p>
    <w:p>
      <w:pPr>
        <w:spacing w:after="0" w:line="21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are limited in value because they exclude certain items that may have a material impact on our reported financial results. In addition, they are subject to inherent limitations as they reflect the exercise of judgment by management about which items are adjusted to calculate our non-GAAP financial measures. Management compensates for these limitations by analyzing current and future results on a GAAP basis as well as a non-GAAP basis and also by providing GAAP measures in our public disclosures.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presentation of additional information should not be considered in isolation or as a substitute for or superior to financial results determined in accordance with GAAP. Investors are encouraged to review the reconciliation of these non-GAAP measures to their most directly comparable GAAP financial measure and not to rely on any single financial measure to evaluate our business.</w:t>
      </w:r>
    </w:p>
    <w:p>
      <w:pPr>
        <w:spacing w:after="0" w:line="202" w:lineRule="exact"/>
        <w:rPr>
          <w:sz w:val="20"/>
          <w:szCs w:val="20"/>
          <w:color w:val="auto"/>
        </w:rPr>
      </w:pPr>
    </w:p>
    <w:p>
      <w:pPr>
        <w:ind w:firstLine="446"/>
        <w:spacing w:after="0" w:line="262" w:lineRule="auto"/>
        <w:rPr>
          <w:sz w:val="20"/>
          <w:szCs w:val="20"/>
          <w:color w:val="auto"/>
        </w:rPr>
      </w:pPr>
      <w:r>
        <w:rPr>
          <w:rFonts w:ascii="Arial" w:cs="Arial" w:eastAsia="Arial" w:hAnsi="Arial"/>
          <w:sz w:val="18"/>
          <w:szCs w:val="18"/>
          <w:color w:val="auto"/>
        </w:rPr>
        <w:t>The following table sets forth the reconciliation of net income to non-GAAP adjusted EBITDA less net patent spend for each of the periods indicated (in thousands). Our historical results are not necessarily indicative of our results of operations to be expected for any future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30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46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6,366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16,551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16,502</w:t>
            </w:r>
          </w:p>
        </w:tc>
      </w:tr>
      <w:tr>
        <w:trPr>
          <w:trHeight w:val="263"/>
        </w:trPr>
        <w:tc>
          <w:tcPr>
            <w:tcW w:w="466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9,829</w:t>
            </w:r>
          </w:p>
        </w:tc>
      </w:tr>
      <w:tr>
        <w:trPr>
          <w:trHeight w:val="277"/>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r>
      <w:tr>
        <w:trPr>
          <w:trHeight w:val="263"/>
        </w:trPr>
        <w:tc>
          <w:tcPr>
            <w:tcW w:w="4660" w:type="dxa"/>
            <w:vAlign w:val="bottom"/>
          </w:tcPr>
          <w:p>
            <w:pPr>
              <w:ind w:left="360"/>
              <w:spacing w:after="0"/>
              <w:rPr>
                <w:sz w:val="20"/>
                <w:szCs w:val="20"/>
                <w:color w:val="auto"/>
              </w:rPr>
            </w:pPr>
            <w:r>
              <w:rPr>
                <w:rFonts w:ascii="Arial" w:cs="Arial" w:eastAsia="Arial" w:hAnsi="Arial"/>
                <w:sz w:val="18"/>
                <w:szCs w:val="18"/>
                <w:color w:val="auto"/>
              </w:rPr>
              <w:t>Stock-based compensation, including related taxes</w:t>
            </w: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11,211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14,339</w:t>
            </w:r>
          </w:p>
        </w:tc>
      </w:tr>
      <w:tr>
        <w:trPr>
          <w:trHeight w:val="27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42,423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43,725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128,278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129,312</w:t>
            </w:r>
          </w:p>
        </w:tc>
      </w:tr>
      <w:tr>
        <w:trPr>
          <w:trHeight w:val="250"/>
        </w:trPr>
        <w:tc>
          <w:tcPr>
            <w:tcW w:w="4660" w:type="dxa"/>
            <w:vAlign w:val="bottom"/>
          </w:tcPr>
          <w:p>
            <w:pPr>
              <w:ind w:left="40"/>
              <w:spacing w:after="0"/>
              <w:rPr>
                <w:sz w:val="20"/>
                <w:szCs w:val="20"/>
                <w:color w:val="auto"/>
              </w:rPr>
            </w:pPr>
            <w:r>
              <w:rPr>
                <w:rFonts w:ascii="Arial" w:cs="Arial" w:eastAsia="Arial" w:hAnsi="Arial"/>
                <w:sz w:val="18"/>
                <w:szCs w:val="18"/>
                <w:color w:val="auto"/>
              </w:rPr>
              <w:t>Non-GAAP adjusted EBITDA</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57,183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62,082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166,653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170,976</w:t>
            </w:r>
          </w:p>
        </w:tc>
      </w:tr>
      <w:tr>
        <w:trPr>
          <w:trHeight w:val="27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patent spend</w:t>
            </w: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(71,934)</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Non-GAAP adjusted EBITDA less net patent spend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44,193</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27,282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112,078</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99,042</w:t>
            </w:r>
          </w:p>
        </w:tc>
      </w:tr>
      <w:tr>
        <w:trPr>
          <w:trHeight w:val="20"/>
        </w:trPr>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right="100" w:firstLine="446"/>
        <w:spacing w:after="0" w:line="251" w:lineRule="auto"/>
        <w:rPr>
          <w:sz w:val="20"/>
          <w:szCs w:val="20"/>
          <w:color w:val="auto"/>
        </w:rPr>
      </w:pPr>
      <w:r>
        <w:rPr>
          <w:rFonts w:ascii="Arial" w:cs="Arial" w:eastAsia="Arial" w:hAnsi="Arial"/>
          <w:sz w:val="18"/>
          <w:szCs w:val="18"/>
          <w:color w:val="auto"/>
        </w:rPr>
        <w:t>We have financed substantially all of our operations and patent asset acquisitions through subscription and other fees collected from our clients, patent-seller financing, the sale of equity securities, and from borrowing through term loan facilities. As of September 30, 2017, we had $228.4 million of cash and cash equivalents and $39.0 million in short-term investments. In January 2016, we paid aggregate consideration of $232.0 million in cash, net of working capital adjustments, at the closing of the Inventus transaction. On February 26, 2016, we entered into a credit agreement for a $ 100 million five-year term facility and a $ 50 million five-year revolving credit facility, which contains financial covenants requiring us to maintain certain leverage and fixed charge ratios which may impact our spending patterns and limits in the future. As of September 30, 2017, the total balance outstanding on the term facility was $ 91.3 million, and the revolving credit facility remains undrawn. In October 2017, we announced we will pay a quarterly cash dividend of $0.05 per share, the first of which is payable on December 5, 2017, to shareholders of record on November 20, 2017, and that we would be repaying our Term Facility in full in the fourth quarter of 2017. Our quarterly dividend and this repayment will reduce our outstanding cash and cash equivalents. See more information regarding our debt facilities, repayment schedule, and our early repayment in Note 11, "Debt," and Note 17, "Subsequent Events," in Notes to Condensed Consolidated Financial Statements (unaudited) in Part I, Item 1 of this Quarterly Report on Form 10-Q.</w:t>
      </w:r>
    </w:p>
    <w:p>
      <w:pPr>
        <w:spacing w:after="0" w:line="211" w:lineRule="exact"/>
        <w:rPr>
          <w:sz w:val="20"/>
          <w:szCs w:val="20"/>
          <w:color w:val="auto"/>
        </w:rPr>
      </w:pPr>
    </w:p>
    <w:p>
      <w:pPr>
        <w:ind w:right="20" w:firstLine="446"/>
        <w:spacing w:after="0" w:line="251" w:lineRule="auto"/>
        <w:rPr>
          <w:sz w:val="20"/>
          <w:szCs w:val="20"/>
          <w:color w:val="auto"/>
        </w:rPr>
      </w:pPr>
      <w:r>
        <w:rPr>
          <w:rFonts w:ascii="Arial" w:cs="Arial" w:eastAsia="Arial" w:hAnsi="Arial"/>
          <w:sz w:val="18"/>
          <w:szCs w:val="18"/>
          <w:color w:val="auto"/>
        </w:rPr>
        <w:t>We believe our existing cash, cash equivalents, and short-term investments will be sufficient to meet our working capital and capital expenditure needs for the foreseeable future, including paying our quarterly dividend and repaying our credit facility. Our future capital needs will depend on many factors, including, among other things, our acquisition of patent assets, addition and renewal of client membership agreements, growth of our insurance and discovery services businesses, and development of new products and services. We may experience fluctuations in patent acquisition spending as we acquire patent assets that will benefit our clients. Our cash used in investing activities may increase in the future as we acquire additional patent assets. Our cash used in financing activities may increase in the future as we pay our quarterly dividend and execute our stock repurchase program 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143,313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119,799</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(171,008)</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43,685</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Foreign-currency effect on cash and cash equivalents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128,299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Cash provided by operating activities for the nine months ended September 30, 2017 was $ 143.3 million, consisting of adjustments for non-cash items of $139.5 million, changes in working capital and non-current assets and liabilities of $12.8 million and net income of $16.6 million. Non-cash adjustments to net income primarily consisted of $128.3 million of depreciation and amortization, $10.9 million of stock-based compensation, a $1.1 million of amortization of premium on investments, and a $0.8 million net change in our deferred taxes, partially offset by an unrealized gain of $ 1.7 million due to foreign currency fluctuations. The change in working capital and non-current assets and liabilities resulted primarily from a $27.5 million decrease in deferred revenue, an increase in our prepaid expenses and other assets of $6.6 million, a $3.2 million decrease in our accrued and other liabilities, and a $0.2 million decrease in accounts payable, all partially offset by a $24.8 million decrease in accounts receivable due to the receipt of payment from a significant patent risk management client.</w:t>
      </w:r>
    </w:p>
    <w:p>
      <w:pPr>
        <w:spacing w:after="0" w:line="206"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Cash provided by operating activities for the nine months ended September 30, 2016 was $ 119.8 million, consisting of adjustments for non-cash items of $139.7 million, changes in working capital and non-current assets and liabilities of $36.4 million and net income of $16.5 million. Non-cash adjustments to net income primarily consisted of $129.3 million of depreciation and amortization, $14.1 million of stock-based compensation, an unrealized loss of $2.0 million due to foreign currency fluctuations, $1.6 million of amortization of premium on investments, $0.9 million of other cash movements, and $0.3 million realized loss on our sale of short-term investments, partially offset by $6.0 million net increase in our deferred taxes, $1.9 million of fair value adjustments on our deferred payment obligations and $0.5 million gain on extinguishment of our deferred payment obligation. The change in working capital and non-current assets and liabilities resulted primarily from a $13.1 million decrease in deferred revenue, an increase in our prepaid expenses and other assets of $11.2 million, a $ 8.2 million increase in accounts receivable, a $3.7 million decrease in our accrued and other liabilities, and a $0.3 million decrease in accounts payable.</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9"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Cash used in investing activities for the nine months ended September 30, 2017 was $5.1 million, of which $54.5 million was used to acquire patent assets, and $1.1 million was used to acquire property and equipment. These were partially offset by $50.5 million net maturities of our short-term investments.</w:t>
      </w:r>
    </w:p>
    <w:p>
      <w:pPr>
        <w:spacing w:after="0" w:line="20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Cash used in investing activities for the nine months ended September 30, 2016 was $171.0 million, of which $228.5 million was used for the acquisition of Inventus, net of cash received, $71.0 million was used to acquire patent assets, and $3.0 million was used to acquire property and equipment, partially offset by $131.0 million net sales and maturities of short-term investments primarily used to fund the acquisition of Inventus, and a $0.4 million decrease in our restricted cash balances.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Cash used in financing activities for the nine months ended September 30, 2017 was $10.5 million, of which $ 6.6 million was used to repurchase our common stock under our share repurchase program, payments of principal on our long-term debt of $5.0 million, and $4.5 million used in taxes paid related to net-share settlements of restricted stock units, partially offset by $6.0 million in proceeds from stock option exercises.</w:t>
      </w:r>
    </w:p>
    <w:p>
      <w:pPr>
        <w:spacing w:after="0" w:line="204"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Cash provided by financing activities for the nine months ended September 30, 2016 was $43.7 million, of which $100.0 million represented proceeds from the issuance of long-term debt and $3.7 million was received from the proceeds of stock option exercises, which were partially offset by $50.8 million used to repurchase our common stock under our share repurchase program, $3.1 million used in taxes paid related to net-share settlements of restricted stock units,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payments of principal on our long-term debt of $2.5 million, and $2.0 million for payments of issuance costs related to our long-term debt.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w:t>
      </w:r>
    </w:p>
    <w:p>
      <w:pPr>
        <w:spacing w:after="0" w:line="99"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We generally do not enter into long-term minimum purchase commitments. Our principal long-term commitments consist of obligations under operating leases for office space. In June 2017, we executed an amendment to our operating lease for our corporate headquarters in San Francisco. In accordance with the amendment, effective August 2017, we reduced our leased space by approximately 18,000 square feet of the approximately 67,000 square feet of total previously leased space, which reduces our future operating lease commitments by approximately $2.4 million over the remaining lease term. Other than this change to our lease obligation at our corporate headquarters, there were no material changes to our contractual obligations or commitments during the nine months ended September 30, 2017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12 of the Notes to Consolidated Financial Statements in Part II, Item 8 of our Annual Report on Form 10-K filed with the SEC on February 28, 2017.</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w:t>
      </w:r>
    </w:p>
    <w:p>
      <w:pPr>
        <w:spacing w:after="0" w:line="9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On February 26, 2016, we entered into the Credit Agreement which provided for the Term Facility and the Revolving Credit Facility. As of September 30, 2017, the total balance outstanding on the Term Facility is $ 91.3 million, and the Revolving Credit Facility remains undrawn. In October 2017, we announced we will be repaying our Term Facility in full in the fourth quarter of 2017. See more information regarding our debt facilities, repayment schedule, and our early repayment in Note 11, "Debt," and Note 17, "Subsequent Events," in Notes to Condensed Consolidated Financial Statements (unaudited) in Part I, Item 1 of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9"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In February 2015, our Board of Directors authorized the repurchase of up to $ 75.0 million of our outstanding shares of common stock. In March and May 2016, we increased our share repurchase program by $25.0 million and $50.0 million, respectively, for a total amount authorized of $150.0 million.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September 30, 2017, we had repurchased an aggregate of 8.5 million shares of common stock in the open market for $92.9 million under the share repurchase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9"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At September 30, 2017,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9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subscription agreements are denominated in U.S. dollars and, therefore, our subscription revenue is not currently subject to significant foreign currency risk. Certain of our discovery services operations are denominated in currencies other than the U.S. dollar, primarily the British pound sterling and the Euro, and therefore these operations are exposed to foreign exchange rate fluctuations, particularly in light of the referendum in the United Kingdom in which voters approved an exit from the European Union, commonly referred to as "Brexit," and other recent political developments. Our expenses are incurred primarily in the United States, with a portion of expenses incurred and denominated in the currencies where our international offices are located. Our results of operations and cash flows are subject to fluctuations due to changes in foreign currency exchange rates, particularly changes in the British pound sterling, Japanese yen, and Euro relative to the U.S. dollar, including changes due to Brexit. To date, we have not entered into any foreign currency hedging contracts.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9"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Our exposure to market risk for changes in interest rates relates primarily to our investment portfolio of cash equivalents and short-term investments and our long-term debt.</w:t>
      </w:r>
    </w:p>
    <w:p>
      <w:pPr>
        <w:spacing w:after="0" w:line="196"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As of September 30, 2017, we had an outstanding term facility with a five-year maturity with an aggregate carrying amount of $ 91.3 million, which bears interest which is payable quarterly in arrears at our option equal to either a base rate plus a margin ranging from 1.25% to 1.75% per annum or, at our election, the one-, two-, three-, or six-month LIBOR plus a margin ranging from 2.25% to 2.75% per annum, based upon the ratio of our debt to consolidated adjusted EBITDA ratio. A hypothetical 100 BPS increase or decrease in LIBOR would increase or decrease the interest expense on our term facility by approximately $0.7 million for the nine months ended September 30, 2017.</w:t>
      </w:r>
    </w:p>
    <w:p>
      <w:pPr>
        <w:spacing w:after="0" w:line="20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had cash, cash equivalents and short-term investments of $267.5 million as of September 30, 2017. Our cash balances deposited in U.S. banks are non-interest bearing and insured up to the Federal Deposit Insurance Corporation (“FDIC”) limits. Cash equivalents consist primarily of commercial paper, institutional money market funds, and municipal bonds denominated primarily in U.S. dollars. Interest rate fluctuations affect the returns on our invested funds.</w:t>
      </w:r>
    </w:p>
    <w:p>
      <w:pPr>
        <w:spacing w:after="0" w:line="2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As of September 30, 2017, our short-term investments of $ 39.0 million were primarily invested in municipal and corporate bonds maturing between 90 days and 12 months, U.S. government and agency securities, and commercial paper. As of September 30, 2017, our investments were primarily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September 30, 2017, we had not recorded any impairment charges related to our investments in the condensed consolidated statement of operations.</w:t>
      </w:r>
    </w:p>
    <w:p>
      <w:pPr>
        <w:spacing w:after="0" w:line="207"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A hypothetical change in interest rates of 10% during the nine months ended September 30, 2017 would not have had a material impact on the fair value of our investments.</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0"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2017,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2017 which were identified in connection with management's evaluation required by Rule 13a-15 and 15d-15 under the Exchange Act that have materially affected, or are reasonably likely to materially affect, our internal control over financial reporting.</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240" w:top="140" w:right="5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99"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Refer to Note 12, “Commitments and Contingencies,” in Notes to Condensed Consolidated Financial Statements (unaudited) in Part I, Item 1 of this Quarterly Report on Form 10-Q, which is hereby incorporated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 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7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In addition, we do not believe that our rate of growth since inception is representative of anticipated future revenue growth and we may experience a year-over-year decline in revenue in future periods. As a result, comparing our operating results on a period-to-period basis may not be meaningful. You should not rely on our past results as an indication of our future performance.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63"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how we recognize revenue under subscription agreements;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services that meet client requirements in a timely manner;</w:t>
      </w:r>
    </w:p>
    <w:p>
      <w:pPr>
        <w:spacing w:after="0" w:line="63" w:lineRule="exact"/>
        <w:rPr>
          <w:rFonts w:ascii="Arial" w:cs="Arial" w:eastAsia="Arial" w:hAnsi="Arial"/>
          <w:sz w:val="18"/>
          <w:szCs w:val="18"/>
          <w:color w:val="auto"/>
        </w:rPr>
      </w:pPr>
    </w:p>
    <w:p>
      <w:pPr>
        <w:ind w:left="820" w:right="52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addition or loss of discovery services clients and projects which are difficult to predict and may result in material changes in quarterly revenue and costs;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63" w:lineRule="exact"/>
        <w:rPr>
          <w:rFonts w:ascii="Arial" w:cs="Arial" w:eastAsia="Arial" w:hAnsi="Arial"/>
          <w:sz w:val="18"/>
          <w:szCs w:val="18"/>
          <w:color w:val="auto"/>
        </w:rPr>
      </w:pPr>
    </w:p>
    <w:p>
      <w:pPr>
        <w:ind w:left="820" w:right="36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services to our existing and potential clients;</w:t>
      </w:r>
    </w:p>
    <w:p>
      <w:pPr>
        <w:spacing w:after="0" w:line="34" w:lineRule="exact"/>
        <w:rPr>
          <w:rFonts w:ascii="Arial" w:cs="Arial" w:eastAsia="Arial" w:hAnsi="Arial"/>
          <w:sz w:val="18"/>
          <w:szCs w:val="18"/>
          <w:color w:val="auto"/>
        </w:rPr>
      </w:pPr>
    </w:p>
    <w:p>
      <w:pPr>
        <w:ind w:left="820" w:right="14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or the effects of changes in foreign exchange rates;</w:t>
      </w:r>
    </w:p>
    <w:p>
      <w:pPr>
        <w:spacing w:after="0" w:line="34" w:lineRule="exact"/>
        <w:rPr>
          <w:rFonts w:ascii="Arial" w:cs="Arial" w:eastAsia="Arial" w:hAnsi="Arial"/>
          <w:sz w:val="18"/>
          <w:szCs w:val="18"/>
          <w:color w:val="auto"/>
        </w:rPr>
      </w:pPr>
    </w:p>
    <w:p>
      <w:pPr>
        <w:ind w:left="820" w:right="32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lengthy and unpredictable membership sales cycle, including delays in potential clients’ decisions whether to subscribe to our patent risk management services;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and how we amortize those patent assets;</w:t>
      </w:r>
    </w:p>
    <w:p>
      <w:pPr>
        <w:spacing w:after="0" w:line="63" w:lineRule="exact"/>
        <w:rPr>
          <w:rFonts w:ascii="Arial" w:cs="Arial" w:eastAsia="Arial" w:hAnsi="Arial"/>
          <w:sz w:val="18"/>
          <w:szCs w:val="18"/>
          <w:color w:val="auto"/>
        </w:rPr>
      </w:pPr>
    </w:p>
    <w:p>
      <w:pPr>
        <w:ind w:left="820" w:right="68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34" w:lineRule="exact"/>
        <w:rPr>
          <w:rFonts w:ascii="Arial" w:cs="Arial" w:eastAsia="Arial" w:hAnsi="Arial"/>
          <w:sz w:val="18"/>
          <w:szCs w:val="18"/>
          <w:color w:val="auto"/>
        </w:rPr>
      </w:pPr>
    </w:p>
    <w:p>
      <w:pPr>
        <w:ind w:left="820" w:right="22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0"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63" w:lineRule="exact"/>
        <w:rPr>
          <w:rFonts w:ascii="Arial" w:cs="Arial" w:eastAsia="Arial" w:hAnsi="Arial"/>
          <w:sz w:val="18"/>
          <w:szCs w:val="18"/>
          <w:color w:val="auto"/>
        </w:rPr>
      </w:pPr>
    </w:p>
    <w:p>
      <w:pPr>
        <w:ind w:left="820" w:right="18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the costs of new business initiatives, and our acquisition of Inventus;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matters related to our acquisition of Inventus and the expansion of our business into discovery services;</w:t>
      </w:r>
    </w:p>
    <w:p>
      <w:pPr>
        <w:spacing w:after="0" w:line="63" w:lineRule="exact"/>
        <w:rPr>
          <w:rFonts w:ascii="Arial" w:cs="Arial" w:eastAsia="Arial" w:hAnsi="Arial"/>
          <w:sz w:val="18"/>
          <w:szCs w:val="18"/>
          <w:color w:val="auto"/>
        </w:rPr>
      </w:pPr>
    </w:p>
    <w:p>
      <w:pPr>
        <w:ind w:left="820" w:right="18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63" w:lineRule="exact"/>
        <w:rPr>
          <w:rFonts w:ascii="Arial" w:cs="Arial" w:eastAsia="Arial" w:hAnsi="Arial"/>
          <w:sz w:val="18"/>
          <w:szCs w:val="18"/>
          <w:color w:val="auto"/>
        </w:rPr>
      </w:pPr>
    </w:p>
    <w:p>
      <w:pPr>
        <w:ind w:left="820" w:right="60" w:hanging="326"/>
        <w:spacing w:after="0" w:line="256"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w:t>
      </w:r>
    </w:p>
    <w:p>
      <w:pPr>
        <w:spacing w:after="0" w:line="39"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right="40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96" w:lineRule="exact"/>
        <w:rPr>
          <w:sz w:val="20"/>
          <w:szCs w:val="20"/>
          <w:color w:val="auto"/>
        </w:rPr>
      </w:pPr>
    </w:p>
    <w:p>
      <w:pPr>
        <w:ind w:right="340" w:firstLine="446"/>
        <w:spacing w:after="0" w:line="262"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The market for our patent risk management services is evolving, and if these services are not widely accepted or if demand for these services is not sustained, our operating results will be adversely affected.</w:t>
      </w:r>
    </w:p>
    <w:p>
      <w:pPr>
        <w:spacing w:after="0" w:line="2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We have derived substantially all of our revenue from the sale of memberships to our patent risk management services and we expect this will continue for the foreseeable future. As a result, widespread acceptance of these services is critical to our future success. The market for patent risk management services is evolving and it is uncertain whether these services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services, then wide market adoption of our patent risk management services will not develop, or it may develop more slowly than we expect. Either scenario would adversely affect our operating results in a significant way. Factors that may negatively affect wide market acceptance of these services, as well as our ability to obtain new clients and renew existing clients, include:</w:t>
      </w:r>
    </w:p>
    <w:p>
      <w:pPr>
        <w:spacing w:after="0" w:line="44"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right="320" w:hanging="326"/>
        <w:spacing w:after="0" w:line="262"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concerns by existing or potential clients about our future ability to obtain rights to patent assets that are being or may be asserted against them;</w:t>
      </w:r>
    </w:p>
    <w:p>
      <w:pPr>
        <w:spacing w:after="0" w:line="34" w:lineRule="exact"/>
        <w:rPr>
          <w:rFonts w:ascii="Arial" w:cs="Arial" w:eastAsia="Arial" w:hAnsi="Arial"/>
          <w:sz w:val="18"/>
          <w:szCs w:val="18"/>
          <w:color w:val="auto"/>
        </w:rPr>
      </w:pPr>
    </w:p>
    <w:p>
      <w:pPr>
        <w:ind w:left="820" w:right="440" w:hanging="326"/>
        <w:spacing w:after="0" w:line="262"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42" w:lineRule="exact"/>
        <w:rPr>
          <w:sz w:val="20"/>
          <w:szCs w:val="20"/>
          <w:color w:val="auto"/>
        </w:rPr>
      </w:pPr>
    </w:p>
    <w:p>
      <w:pPr>
        <w:ind w:right="20" w:firstLine="446"/>
        <w:spacing w:after="0" w:line="251" w:lineRule="auto"/>
        <w:rPr>
          <w:sz w:val="20"/>
          <w:szCs w:val="20"/>
          <w:color w:val="auto"/>
        </w:rPr>
      </w:pPr>
      <w:r>
        <w:rPr>
          <w:rFonts w:ascii="Arial" w:cs="Arial" w:eastAsia="Arial" w:hAnsi="Arial"/>
          <w:sz w:val="18"/>
          <w:szCs w:val="18"/>
          <w:color w:val="auto"/>
        </w:rPr>
        <w:t>Our clients have no obligation to renew their subscriptions after the expiration of their initial membership period. We have limited historical data with respect to rates of subscription renewals, so we cannot accurately predict renewal rates. As of September 30, 2017, the weighted-average term of our subscription agreements with our current clients since the inception of those agreements was 2.3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has decreased and may continue to decrease further. If our clients do not renew their subscriptions or renew for shorter terms or if we allow them to renew at reduced subscription fees, our revenue may decline and our business may be adversely affected.</w:t>
      </w:r>
    </w:p>
    <w:p>
      <w:pPr>
        <w:spacing w:after="0" w:line="213"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services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we are unable to enhance our current services or to develop or acquire new services to provide additional value to our clients and potential clients, our business may be harmed.</w:t>
      </w:r>
    </w:p>
    <w:p>
      <w:pPr>
        <w:spacing w:after="0" w:line="13"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In order to attract new clients and retain existing clients, we need to enhance and improve our existing service offering and introduce new services that meet the needs of our clients. We have in the past, and may in the future, seek to acquire or invest in businesses, products or technologies that we believe could complement or expand our services, enhance our technical capabilities or otherwise offer growth opportunities.</w:t>
      </w:r>
    </w:p>
    <w:p>
      <w:pPr>
        <w:spacing w:after="0" w:line="204"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The development and implementation of new services will continue to require substantial time and resources, as well as require us to operate businesses that would be new to our organization. These or any other new services may not be introduced in a timely manner or at all. If we do introduce these or any other services, we may be unable to implement such services in a cost-effective manner, achieve wide market acceptance, meet client expectations or generate revenue sufficient to recoup the cost of developing such services. Any new services we introduce may expose us to additional laws, regulations and risks. If we are unable to develop these or other services successfully and enhance our existing services to meet client requirements or expectations, we may not be able to attract or retain clients, and our business may be harmed.</w:t>
      </w:r>
    </w:p>
    <w:p>
      <w:pPr>
        <w:spacing w:after="0" w:line="185" w:lineRule="exact"/>
        <w:rPr>
          <w:sz w:val="20"/>
          <w:szCs w:val="20"/>
          <w:color w:val="auto"/>
        </w:rPr>
      </w:pPr>
    </w:p>
    <w:p>
      <w:pPr>
        <w:jc w:val="both"/>
        <w:ind w:right="60"/>
        <w:spacing w:after="0" w:line="269"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services, our business and operating results will be adversely affected.</w:t>
      </w:r>
    </w:p>
    <w:p>
      <w:pPr>
        <w:spacing w:after="0" w:line="42" w:lineRule="exact"/>
        <w:rPr>
          <w:sz w:val="20"/>
          <w:szCs w:val="20"/>
          <w:color w:val="auto"/>
        </w:rPr>
      </w:pPr>
    </w:p>
    <w:p>
      <w:pPr>
        <w:ind w:right="60" w:firstLine="446"/>
        <w:spacing w:after="0" w:line="251" w:lineRule="auto"/>
        <w:rPr>
          <w:sz w:val="20"/>
          <w:szCs w:val="20"/>
          <w:color w:val="auto"/>
        </w:rPr>
      </w:pPr>
      <w:r>
        <w:rPr>
          <w:rFonts w:ascii="Arial" w:cs="Arial" w:eastAsia="Arial" w:hAnsi="Arial"/>
          <w:sz w:val="18"/>
          <w:szCs w:val="18"/>
          <w:color w:val="auto"/>
        </w:rPr>
        <w:t>We acquired our first patent assets in September 2008, sold our first membership in October 2008, and sold our first insurance policy in August 2012. In addition, we acquired Inventus and its litigation discovery services business in January 2016. The litigation discovery services business is a new business for us. Therefore, we have not only a limited operating history, but also a limited track record in executing our business model. Our future success depends on acceptance of our services by companies we target to become clients.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If the market for our services is not sustained, or if competitors introduce new solutions that compete with our services,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In order to attract new clients and retain existing clients, in certain cases we have previously offered, and may in the future offer, discounts or other contractual incentives to clients.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7" w:lineRule="exact"/>
        <w:rPr>
          <w:sz w:val="20"/>
          <w:szCs w:val="20"/>
          <w:color w:val="auto"/>
        </w:rPr>
      </w:pPr>
    </w:p>
    <w:p>
      <w:pPr>
        <w:ind w:right="180" w:firstLine="446"/>
        <w:spacing w:after="0" w:line="254" w:lineRule="auto"/>
        <w:rPr>
          <w:sz w:val="20"/>
          <w:szCs w:val="20"/>
          <w:color w:val="auto"/>
        </w:rPr>
      </w:pPr>
      <w:r>
        <w:rPr>
          <w:rFonts w:ascii="Arial" w:cs="Arial" w:eastAsia="Arial" w:hAnsi="Arial"/>
          <w:sz w:val="18"/>
          <w:szCs w:val="18"/>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204" w:lineRule="exact"/>
        <w:rPr>
          <w:sz w:val="20"/>
          <w:szCs w:val="20"/>
          <w:color w:val="auto"/>
        </w:rPr>
      </w:pPr>
    </w:p>
    <w:p>
      <w:pPr>
        <w:ind w:right="240" w:firstLine="446"/>
        <w:spacing w:after="0" w:line="254"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 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18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ASU Topic 606 will have a material effect on our consolidated financial statements and may increase the variability of the revenue recognized from our patent risk management fees from period to period.</w:t>
      </w:r>
    </w:p>
    <w:p>
      <w:pPr>
        <w:spacing w:after="0" w:line="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 xml:space="preserve">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well as associated ASUs 2016-08, 2016-10, 2016-12, 2016-20, 2017-13 (the foregoing ASUs collectively, "Topic 606"), which will supersede most existing revenue recognition guidance in U.S. GAAP. Topic 606 becomes effective for annual and interim periods beginning after December 15, 2017. We plan to adopt Topic 606 on January 1, 2018, using the full retrospective method of adoption. This standard will have a material effect on the Company's consolidated financial statements due to the identification of multiple performance obligations from our patent risk management membership subscription and the timing of recognition for these separable performance obligations. Specifically, we will recognize separate performance obligations under Topic 606 for certain discrete patent assets transferred to our membership clients as well as for access to the patent portfolio that clients obtain when becoming a member or renewing membership. The revenue generated from these additional performance obligations will be recognized at a point in time. Under existing U.S. GAAP, we generally recognize membership fees ratably on a gross basis over the term of the customer contract. Therefore, the adoption of Topic 606 may increase the variability of revenue recognized from our patent risk management services from period to period.</w:t>
      </w:r>
    </w:p>
    <w:p>
      <w:pPr>
        <w:spacing w:after="0" w:line="211"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will determine whether revenue should be recognized on a gross or net basis under Topic 606, which may result in revenue which is recognized on a gross basis under current U.S. GAAP to be recognized on a net basis due to the additional separable performance obligations. Additionally, based on the our initial assessment, we does not expect Topic 606 to have a material impact on our discovery services segment.</w:t>
      </w:r>
    </w:p>
    <w:p>
      <w:pPr>
        <w:spacing w:after="0" w:line="18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or continued engagements from these clients, our revenue may decrease substantially.</w:t>
      </w:r>
    </w:p>
    <w:p>
      <w:pPr>
        <w:spacing w:after="0" w:line="27"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We receive a significant amount of our revenue from a limited number of clients. For example, during the nine months ended September 30, 2017, our 10 highest revenue-generating clients accounted for approximately 31% of our total revenue. We expect that a significant portion of our revenue will continue to come from a relatively small number of clients for the foreseeable future. If any of these clients chooses not to remain a client, or if our fees from one of these clients decline, our revenue may correspondingly decrease and our operating results may be adversely affected.</w:t>
      </w:r>
    </w:p>
    <w:p>
      <w:pPr>
        <w:spacing w:after="0" w:line="184"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42" w:lineRule="exact"/>
        <w:rPr>
          <w:sz w:val="20"/>
          <w:szCs w:val="20"/>
          <w:color w:val="auto"/>
        </w:rPr>
      </w:pPr>
    </w:p>
    <w:p>
      <w:pPr>
        <w:ind w:right="20" w:firstLine="446"/>
        <w:spacing w:after="0" w:line="256" w:lineRule="auto"/>
        <w:rPr>
          <w:sz w:val="20"/>
          <w:szCs w:val="20"/>
          <w:color w:val="auto"/>
        </w:rPr>
      </w:pPr>
      <w:r>
        <w:rPr>
          <w:rFonts w:ascii="Arial" w:cs="Arial" w:eastAsia="Arial" w:hAnsi="Arial"/>
          <w:sz w:val="18"/>
          <w:szCs w:val="18"/>
          <w:color w:val="auto"/>
        </w:rPr>
        <w:t>Because we operate in a relatively new and unproven market, our membership sales efforts involve educating potential clients about the benefit of our services, including potential cost savings to a company. Potential clients typically undergo a lengthy decision-making process that has, in the past, generally resulted in a lengthy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84" w:lineRule="exact"/>
        <w:rPr>
          <w:sz w:val="20"/>
          <w:szCs w:val="20"/>
          <w:color w:val="auto"/>
        </w:rPr>
      </w:pPr>
    </w:p>
    <w:p>
      <w:pPr>
        <w:jc w:val="both"/>
        <w:ind w:right="720"/>
        <w:spacing w:after="0" w:line="269" w:lineRule="auto"/>
        <w:rPr>
          <w:sz w:val="20"/>
          <w:szCs w:val="20"/>
          <w:color w:val="auto"/>
        </w:rPr>
      </w:pPr>
      <w:r>
        <w:rPr>
          <w:rFonts w:ascii="Arial" w:cs="Arial" w:eastAsia="Arial" w:hAnsi="Arial"/>
          <w:sz w:val="18"/>
          <w:szCs w:val="18"/>
          <w:b w:val="1"/>
          <w:bCs w:val="1"/>
          <w:i w:val="1"/>
          <w:iCs w:val="1"/>
          <w:color w:val="auto"/>
        </w:rPr>
        <w:t>We acquired Inventus in January 2016, and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28"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services, enhance our technical capabilities or otherwise offer growth opportunities. We may not be able to integrate the acquired personnel, operations, and technologies successfully or effectively manage the combined business. The pursuit of potential acquisitions may divert the attention of management and cause us to incur various expenses in identifying, investigating and pursuing suitable acquisitions, whether or not they are consummated.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not achieve the anticipated benefits from the Inventus or another acquisition due to a number of factors, including:</w:t>
      </w:r>
    </w:p>
    <w:p>
      <w:pPr>
        <w:spacing w:after="0" w:line="225"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jc w:val="both"/>
        <w:ind w:left="820" w:right="820" w:hanging="326"/>
        <w:spacing w:after="0" w:line="256"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integrate the operations, systems (including accounting, management, information, human resources and other administrative systems), technologies, products, and personnel of each acquired company, which is an inherently risky and potentially lengthy and costly process;</w:t>
      </w:r>
    </w:p>
    <w:p>
      <w:pPr>
        <w:spacing w:after="0" w:line="39" w:lineRule="exact"/>
        <w:rPr>
          <w:rFonts w:ascii="Arial" w:cs="Arial" w:eastAsia="Arial" w:hAnsi="Arial"/>
          <w:sz w:val="18"/>
          <w:szCs w:val="18"/>
          <w:color w:val="auto"/>
        </w:rPr>
      </w:pPr>
    </w:p>
    <w:p>
      <w:pPr>
        <w:ind w:left="820" w:right="120" w:hanging="326"/>
        <w:spacing w:after="0" w:line="256"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appropriate for a public company at companies that prior to our acquisition may have lacked such controls, procedures, and policies or whose controls, procedures, and policies did not meet applicable legal and other standards;</w:t>
      </w:r>
    </w:p>
    <w:p>
      <w:pPr>
        <w:spacing w:after="0" w:line="39" w:lineRule="exact"/>
        <w:rPr>
          <w:rFonts w:ascii="Arial" w:cs="Arial" w:eastAsia="Arial" w:hAnsi="Arial"/>
          <w:sz w:val="18"/>
          <w:szCs w:val="18"/>
          <w:color w:val="auto"/>
        </w:rPr>
      </w:pPr>
    </w:p>
    <w:p>
      <w:pPr>
        <w:ind w:left="820" w:right="60" w:hanging="326"/>
        <w:spacing w:after="0" w:line="256"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the accounting, financial reporting, operating metrics and similar systems, controls and processes of an acquired business, and the risk that errors or irregularities in those systems, controls, and processes will lead to errors in our consolidated financial statements or make it more difficult to manage the acquired business;</w:t>
      </w:r>
    </w:p>
    <w:p>
      <w:pPr>
        <w:spacing w:after="0" w:line="39" w:lineRule="exact"/>
        <w:rPr>
          <w:rFonts w:ascii="Arial" w:cs="Arial" w:eastAsia="Arial" w:hAnsi="Arial"/>
          <w:sz w:val="18"/>
          <w:szCs w:val="18"/>
          <w:color w:val="auto"/>
        </w:rPr>
      </w:pPr>
    </w:p>
    <w:p>
      <w:pPr>
        <w:ind w:left="820" w:right="140" w:hanging="326"/>
        <w:spacing w:after="0" w:line="262"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loss of key customers, vendors, and other business partners of the companies we acquire following the announcement of our transaction plans;</w:t>
      </w:r>
    </w:p>
    <w:p>
      <w:pPr>
        <w:spacing w:after="0" w:line="34" w:lineRule="exact"/>
        <w:rPr>
          <w:rFonts w:ascii="Arial" w:cs="Arial" w:eastAsia="Arial" w:hAnsi="Arial"/>
          <w:sz w:val="18"/>
          <w:szCs w:val="18"/>
          <w:color w:val="auto"/>
        </w:rPr>
      </w:pPr>
    </w:p>
    <w:p>
      <w:pPr>
        <w:ind w:left="820" w:right="80" w:hanging="326"/>
        <w:spacing w:after="0" w:line="262"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inefficiencies and lack of control that may result if such integration is delayed or not implemented, and unforeseen difficulties and expenditures that may arise as a result;</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derivative lawsuits resulting from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our expansion into new international markets;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legal, financial and accounting challenges and complexities in areas such as tax planning and cash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0" w:firstLine="446"/>
        <w:spacing w:after="0" w:line="256" w:lineRule="auto"/>
        <w:rPr>
          <w:sz w:val="20"/>
          <w:szCs w:val="20"/>
          <w:color w:val="auto"/>
        </w:rPr>
      </w:pPr>
      <w:r>
        <w:rPr>
          <w:rFonts w:ascii="Arial" w:cs="Arial" w:eastAsia="Arial" w:hAnsi="Arial"/>
          <w:sz w:val="18"/>
          <w:szCs w:val="18"/>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If the Inventus security measures are breached, our discovery services may be perceived as not being secure, clients may curtail or stop using our discovery services, and we may incur significant legal and financial exposure.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process, store, and transmit large amounts of data, including personal information, for our discovery services clients, and a material security breach would expose us to a risk of loss of this information, litigation, and potential liability. Because the techniques used to obtain unauthorized access, disable or degrade service, or sabotage systems change frequently and often are not recognized until launched against a target, we may be unable to anticipate these techniques or to implement adequate preventative measures.</w:t>
      </w:r>
    </w:p>
    <w:p>
      <w:pPr>
        <w:spacing w:after="0" w:line="18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7"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Our previous chief executive officer resigned his employment with us in February 2017, and we announced earlier this year that our executive vice president was joining our board of directors and would be resigning her executive position later this year and that our previous chief financial officer would serve in another executive role effective May 15, 2017. We also recently announced that the CEO of Inventus has resigned. We do not maintain key person life insurance policies on any of our employees. The loss of one or more of our key employees, including the recent loss of our previous chief executive officer and our other executive officers, could seriously harm our business.</w:t>
      </w:r>
    </w:p>
    <w:p>
      <w:pPr>
        <w:spacing w:after="0" w:line="18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28"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services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99"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252"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28" w:lineRule="exact"/>
        <w:rPr>
          <w:sz w:val="20"/>
          <w:szCs w:val="20"/>
          <w:color w:val="auto"/>
        </w:rPr>
      </w:pPr>
    </w:p>
    <w:p>
      <w:pPr>
        <w:ind w:right="160" w:firstLine="446"/>
        <w:spacing w:after="0" w:line="252" w:lineRule="auto"/>
        <w:rPr>
          <w:sz w:val="20"/>
          <w:szCs w:val="20"/>
          <w:color w:val="auto"/>
        </w:rPr>
      </w:pPr>
      <w:r>
        <w:rPr>
          <w:rFonts w:ascii="Arial" w:cs="Arial" w:eastAsia="Arial" w:hAnsi="Arial"/>
          <w:sz w:val="18"/>
          <w:szCs w:val="18"/>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We have invested management time and resources into developing products designed to provide insurance against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We have invested management time and financial resources in the development of products designed to provide insurance against some of the costs resulting from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discovery services engagement agreements, including those related to our largest clients, can be terminated by our clients with little or no notice and without penalty, which may cause our operating results to be unpredictable.</w:t>
      </w:r>
    </w:p>
    <w:p>
      <w:pPr>
        <w:spacing w:after="0" w:line="2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Our discovery services clients typically retain us on an engagement-by-engagement basis, rather than under fixed-term contracts; the volume of work performed for any particular client is likely to vary from month to month and year to year, and a major client in one fiscal period may not require or may decide not to use our services in any subsequent fiscal period. Almost all of our discovery services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When discovery services engagements are terminated or reduced, we lose the associated future revenues, and we may not be able to recover associated costs or redeploy the affected employees in a timely manner to minimize the negative impact. In addition, our discovery services clients’ ability to terminate engagements with little or no notice and without penalty makes it difficult to predict our operating results for the discovery services segment in any particular fiscal period.</w:t>
      </w:r>
    </w:p>
    <w:p>
      <w:pPr>
        <w:spacing w:after="0" w:line="19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28" w:lineRule="exact"/>
        <w:rPr>
          <w:sz w:val="20"/>
          <w:szCs w:val="20"/>
          <w:color w:val="auto"/>
        </w:rPr>
      </w:pPr>
    </w:p>
    <w:p>
      <w:pPr>
        <w:ind w:right="80" w:firstLine="446"/>
        <w:spacing w:after="0" w:line="253"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206"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204"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services to clients or potential clients and harm our business and operating results.</w:t>
      </w:r>
    </w:p>
    <w:p>
      <w:pPr>
        <w:spacing w:after="0" w:line="13" w:lineRule="exact"/>
        <w:rPr>
          <w:sz w:val="20"/>
          <w:szCs w:val="20"/>
          <w:color w:val="auto"/>
        </w:rPr>
      </w:pPr>
    </w:p>
    <w:p>
      <w:pPr>
        <w:jc w:val="both"/>
        <w:ind w:right="60" w:firstLine="446"/>
        <w:spacing w:after="0" w:line="256" w:lineRule="auto"/>
        <w:rPr>
          <w:sz w:val="20"/>
          <w:szCs w:val="20"/>
          <w:color w:val="auto"/>
        </w:rPr>
      </w:pPr>
      <w:r>
        <w:rPr>
          <w:rFonts w:ascii="Arial" w:cs="Arial" w:eastAsia="Arial" w:hAnsi="Arial"/>
          <w:sz w:val="18"/>
          <w:szCs w:val="18"/>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services to our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0"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current and potential clients. For example, limitations on the ability to bring patent enforcement claims, limitations on potential liability for patent infringement, lower evidentiary standards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services or renew their memberships. Furthermore, even if companies are interested in subscribing to our services or maintaining their memberships, companies may be unwilling to pay the subscription fees that we propose. Any of these events could result in a material adverse effect on our business and operating results.</w:t>
      </w:r>
    </w:p>
    <w:p>
      <w:pPr>
        <w:spacing w:after="0" w:line="260" w:lineRule="exact"/>
        <w:rPr>
          <w:sz w:val="20"/>
          <w:szCs w:val="20"/>
          <w:color w:val="auto"/>
        </w:rPr>
      </w:pPr>
    </w:p>
    <w:p>
      <w:pPr>
        <w:ind w:right="240" w:firstLine="446"/>
        <w:spacing w:after="0" w:line="254" w:lineRule="auto"/>
        <w:rPr>
          <w:sz w:val="20"/>
          <w:szCs w:val="20"/>
          <w:color w:val="auto"/>
        </w:rPr>
      </w:pPr>
      <w:r>
        <w:rPr>
          <w:rFonts w:ascii="Arial" w:cs="Arial" w:eastAsia="Arial" w:hAnsi="Arial"/>
          <w:sz w:val="18"/>
          <w:szCs w:val="18"/>
          <w:color w:val="auto"/>
        </w:rPr>
        <w:t>In addition, future laws and regulations, or judicial interpretations thereof, could adversely affect our discovery services clients and thus indirectly affect our business. For example, changes to the Federal Rules of Civil Procedure regarding discovery of "electronically stored information" could result in a decreased need for discovery services. Any of these events could result in a material adverse effect on our business and operating results.</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services for existing clients and may not be able to respond effectively to changes in our market. This limited flexibility could have an adverse effect on our operating results.</w:t>
      </w:r>
    </w:p>
    <w:p>
      <w:pPr>
        <w:spacing w:after="0" w:line="13"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84"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b w:val="1"/>
          <w:bCs w:val="1"/>
          <w:i w:val="1"/>
          <w:iCs w:val="1"/>
          <w:color w:val="auto"/>
        </w:rPr>
        <w:t>Releases of new software products or upgrades to our existing software products or licensed third-party software may have undetected errors, or may not operate as intended or achieve our client's desired objectives, which could cause litigation claims against us, damage to our reputation, or loss of business.</w:t>
      </w:r>
    </w:p>
    <w:p>
      <w:pPr>
        <w:spacing w:after="0" w:line="4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Certain of our discovery services utilize software developed by us or third parties for the needs of our clients. Complex software products, such as those we utilize, can contain undetected errors when first introduced or as new versions are released, or may fail to operate as intended or achieve the client’s desired objectives. Any introduction of new software products or upgrade to existing software products has a risk of undetected errors. These undetected errors may be discovered only after a product has been installed and used either in our internal processing or by our clients. Likewise, the software products we acquire in business acquisitions have a risk of undetected errors. Any undetected errors, difficulties in installing and maintaining our software products or upgrade releases, or the failure to achieve the client's desired objectives, may result in a delay or loss of revenue, diversion of development resources, damage to our reputation, the loss of that client, loss of future business, increased service costs, potential litigation claims against us, or impaired market acceptance of our products.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not be able to compete effectively against others in our patent risk management or legal discovery services businesses. Any failure to compete effectively could harm our business and results of operations.</w:t>
      </w:r>
    </w:p>
    <w:p>
      <w:pPr>
        <w:spacing w:after="0" w:line="13" w:lineRule="exact"/>
        <w:rPr>
          <w:sz w:val="20"/>
          <w:szCs w:val="20"/>
          <w:color w:val="auto"/>
        </w:rPr>
      </w:pPr>
    </w:p>
    <w:p>
      <w:pPr>
        <w:ind w:right="380" w:firstLine="446"/>
        <w:spacing w:after="0" w:line="253"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services and the value and cost savings they provide.</w:t>
      </w:r>
    </w:p>
    <w:p>
      <w:pPr>
        <w:spacing w:after="0" w:line="206" w:lineRule="exact"/>
        <w:rPr>
          <w:sz w:val="20"/>
          <w:szCs w:val="20"/>
          <w:color w:val="auto"/>
        </w:rPr>
      </w:pPr>
    </w:p>
    <w:p>
      <w:pPr>
        <w:ind w:right="180" w:firstLine="446"/>
        <w:spacing w:after="0" w:line="254" w:lineRule="auto"/>
        <w:rPr>
          <w:sz w:val="20"/>
          <w:szCs w:val="20"/>
          <w:color w:val="auto"/>
        </w:rPr>
      </w:pPr>
      <w:r>
        <w:rPr>
          <w:rFonts w:ascii="Arial" w:cs="Arial" w:eastAsia="Arial" w:hAnsi="Arial"/>
          <w:sz w:val="18"/>
          <w:szCs w:val="18"/>
          <w:color w:val="auto"/>
        </w:rPr>
        <w:t>In addition to competing for new clients, we also compete to acquire patent assets. Our primary competitors in the market for patent assets are varied and include other entities that seek to accumulate patent assets, including NPEs such as Acacia Research, PanOptis, and Dominion Harbor. In addition, many NPEs that compete with us to acquire patent assets have complicated corporate structures that include a large number of subsidiaries, so it is difficult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0"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for us to know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202"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In addition, the discovery services market is highly fragmented, extremely competitive, and continually changing as technology and the legal and regulatory environments evolve around the world. Our competitors include larger businesses that offer a distinct discovery service offering such as DTI Global, KrolLDiscovery, Consilio, and FTI Consulting. We also compete with smaller regional discovery services businesses as well as discovery services practices inside large and mid-sized law firms and professional services firms. Many of our competitors in this market have a greater national and international presence, as well as have a significantly greater number of personnel, financial, technical, and marketing resources. In addition, these competitors may generate greater revenues and have greater name recognition than we do.</w:t>
      </w:r>
    </w:p>
    <w:p>
      <w:pPr>
        <w:spacing w:after="0" w:line="207"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We expect to face more direct competition in the future in both our patent risk management business and litigation discovery services business from other established and emerging companies. In addition, as a relatively new company in the patent risk management market and litigation discovery services market, we have limited insight into trends that may develop and affect our businesses. As a result, we may make errors in predicting and reacting to relevant business trends, making us unable to compete effectively against others.</w:t>
      </w:r>
    </w:p>
    <w:p>
      <w:pPr>
        <w:spacing w:after="0" w:line="204"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Our current or potential competitors in both our patent risk management business and litigation discovery services businesses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Certain of our acquisitions of patent assets are time consuming, complex and costly, which could adversely affect our operating results.</w:t>
      </w:r>
    </w:p>
    <w:p>
      <w:pPr>
        <w:spacing w:after="0" w:line="13"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206"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highly visible.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If we are not perceived as a trusted patent risk manager, our ability to gain wide market acceptance will be harmed, and our operating results could be adversely affected.</w:t>
      </w:r>
    </w:p>
    <w:p>
      <w:pPr>
        <w:spacing w:after="0" w:line="27"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unavailability of third-party technology could adversely impact our revenue and results of operations.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3" w:lineRule="exact"/>
        <w:rPr>
          <w:sz w:val="20"/>
          <w:szCs w:val="20"/>
          <w:color w:val="auto"/>
        </w:rPr>
      </w:pPr>
    </w:p>
    <w:p>
      <w:pPr>
        <w:ind w:right="180" w:firstLine="486"/>
        <w:spacing w:after="0" w:line="315" w:lineRule="auto"/>
        <w:rPr>
          <w:sz w:val="20"/>
          <w:szCs w:val="20"/>
          <w:color w:val="auto"/>
        </w:rPr>
      </w:pPr>
      <w:r>
        <w:rPr>
          <w:rFonts w:ascii="Arial" w:cs="Arial" w:eastAsia="Arial" w:hAnsi="Arial"/>
          <w:sz w:val="18"/>
          <w:szCs w:val="18"/>
          <w:color w:val="auto"/>
        </w:rPr>
        <w:t>We license certain discovery-related software from third parties and incorporate such software into our discovery services. Most of our third-party software license contracts expire within one year and may be renewed only by mutual consent. There is no assurance that we will be able to renew these contracts as they expire or that such renewals will be on the same or substantially similar terms or on conditions that are commercially reasonable to us. If we fail to renew these contracts as they expire, our discovery services offerings may be reduced. In addition, our third-party software licenses are non-exclusive, and therefore, our competitors may obtain the right to license certain of the technology covered by these agreements to compete directly with us. In certain situations, our third party software licensors are themselves also our competitors in the discovery services market.</w:t>
      </w:r>
    </w:p>
    <w:p>
      <w:pPr>
        <w:spacing w:after="0" w:line="178"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If certain of our third-party licensors were to change product offerings, cease actively supporting the technologies, fail to update and enhance the technologies to keep pace with changing industry standards, encounter technical difficulties in the continuing development of these technologies, significantly increase prices, terminate our licenses, suffer significant capacity or supply chain constraints or suffer significant disruptions, we would need to seek alternative suppliers and incur additional internal or external development costs to ensure continued performance of our discovery services. Such alternatives may not be available on attractive terms, or may not be as widely accepted or as effective as the current licenses provided by our existing suppliers. If the cost of licensing or maintaining the third party intellectual property significantly increases, our operating earnings could significantly decrease. In addition, interruption in functionality of our services and products as a result of changes in or with third party licensors could adversely affect our commitments to clients, future sales, and negatively affect our revenue and operating earnings.</w:t>
      </w:r>
    </w:p>
    <w:p>
      <w:pPr>
        <w:spacing w:after="0" w:line="19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Interruptions or delays in service at the data centers we utilize for discovery services could impair the delivery of our service and harm our business.</w:t>
      </w:r>
    </w:p>
    <w:p>
      <w:pPr>
        <w:spacing w:after="0" w:line="2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We provide services through computer hardware that is located in co-location data centers operated by unrelated third parties. Although we do own that computer hardware, we do not control the operation of these colocation facilities, which increases our vulnerability to problems with the services they provide. The data centers are subject to damage or interruption from earthquakes, floods, fires, power loss, terrorist attacks, telecommunications failures and similar events. These facilities are also subject to break-ins, sabotage, intentional acts of vandalism and similar misconduct. The occurrence of any of these events or other unanticipated problems at a facility could result in interruptions in certain of our services, although we have established backup recovery data centers to try to minimize this risk. In addition, the failure by our vendor to provide our required data communications capacity could result in poor service or interruptions in our service. Any damage to, or failure of, our systems or services could reduce our revenue, cause us to issue credits or pay penalties, cause clients to terminate their agreements with us and adversely affect our ability to secure business in the future. Our business will be harmed if our clients and potential clients believe our services are unreliable.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becomes impaired, we may be required to record a significant charge to earnings.</w:t>
      </w:r>
    </w:p>
    <w:p>
      <w:pPr>
        <w:spacing w:after="0" w:line="9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test goodwill for impairment at least annually. If such goodwill is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is determined, which would negatively affect our results of operations.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27"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40"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If we fail to manage the risks associated with operating an insurance business, our results of operations and financial condition may be adversely affected.</w:t>
      </w:r>
    </w:p>
    <w:p>
      <w:pPr>
        <w:spacing w:after="0" w:line="27" w:lineRule="exact"/>
        <w:rPr>
          <w:sz w:val="20"/>
          <w:szCs w:val="20"/>
          <w:color w:val="auto"/>
        </w:rPr>
      </w:pPr>
    </w:p>
    <w:p>
      <w:pPr>
        <w:ind w:right="260" w:firstLine="446"/>
        <w:spacing w:after="0" w:line="251" w:lineRule="auto"/>
        <w:rPr>
          <w:sz w:val="20"/>
          <w:szCs w:val="20"/>
          <w:color w:val="auto"/>
        </w:rPr>
      </w:pPr>
      <w:r>
        <w:rPr>
          <w:rFonts w:ascii="Arial" w:cs="Arial" w:eastAsia="Arial" w:hAnsi="Arial"/>
          <w:sz w:val="18"/>
          <w:szCs w:val="18"/>
          <w:color w:val="auto"/>
        </w:rPr>
        <w:t>In August 2012, we began to offer insurance products for patent claims, and therefore face risks associated with the operation of an insurance business.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exposes us to additional laws and regulations. Compliance with such laws and regulations may be costly, which could affect our results of operations.</w:t>
      </w:r>
    </w:p>
    <w:p>
      <w:pPr>
        <w:spacing w:after="0" w:line="19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auto"/>
        </w:rPr>
        <w:t>We may become involved in patent or other litigation proceedings related to our clients. Our involvement could cause us to expend significant resources. It could also require us to disclose information related to our clients, which could cause such clients not to renew their subscriptions with us.</w:t>
      </w:r>
    </w:p>
    <w:p>
      <w:pPr>
        <w:spacing w:after="0" w:line="42"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85" w:lineRule="exact"/>
        <w:rPr>
          <w:sz w:val="20"/>
          <w:szCs w:val="20"/>
          <w:color w:val="auto"/>
        </w:rPr>
      </w:pPr>
    </w:p>
    <w:p>
      <w:pPr>
        <w:ind w:right="40" w:firstLine="446"/>
        <w:spacing w:after="0" w:line="251" w:lineRule="auto"/>
        <w:rPr>
          <w:sz w:val="20"/>
          <w:szCs w:val="20"/>
          <w:color w:val="auto"/>
        </w:rPr>
      </w:pPr>
      <w:r>
        <w:rPr>
          <w:rFonts w:ascii="Arial" w:cs="Arial" w:eastAsia="Arial" w:hAnsi="Arial"/>
          <w:sz w:val="18"/>
          <w:szCs w:val="18"/>
          <w:color w:val="auto"/>
        </w:rPr>
        <w:t>Because of our presence in an emerging industry, the application to us of existing United States and foreign laws is unclear. Many laws do not contemplate or address the specific issues associated with our patent risk management services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212" w:lineRule="exact"/>
        <w:rPr>
          <w:sz w:val="20"/>
          <w:szCs w:val="20"/>
          <w:color w:val="auto"/>
        </w:rPr>
      </w:pPr>
    </w:p>
    <w:p>
      <w:pPr>
        <w:ind w:right="160" w:firstLine="446"/>
        <w:spacing w:after="0" w:line="252" w:lineRule="auto"/>
        <w:rPr>
          <w:sz w:val="20"/>
          <w:szCs w:val="20"/>
          <w:color w:val="auto"/>
        </w:rPr>
      </w:pPr>
      <w:r>
        <w:rPr>
          <w:rFonts w:ascii="Arial" w:cs="Arial" w:eastAsia="Arial" w:hAnsi="Arial"/>
          <w:sz w:val="18"/>
          <w:szCs w:val="18"/>
          <w:color w:val="auto"/>
        </w:rPr>
        <w:t>Additionally, we face risks from laws that could be passed or changed in the future, including in the United Kingdom as a result of Brexit. Since a significant portion of the regulatory framework in the United Kingdom is derived from EU directives and regulations, Brexit could materially affect the regulatory regime in the United Kingdom. Changes in laws and regulations regarding data protection, privacy, network security, or encryption may affect our discovery services.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could harm our business and operating results.</w:t>
      </w:r>
    </w:p>
    <w:p>
      <w:pPr>
        <w:spacing w:after="0" w:line="27" w:lineRule="exact"/>
        <w:rPr>
          <w:sz w:val="20"/>
          <w:szCs w:val="20"/>
          <w:color w:val="auto"/>
        </w:rPr>
      </w:pPr>
    </w:p>
    <w:p>
      <w:pPr>
        <w:ind w:right="80" w:firstLine="446"/>
        <w:spacing w:after="0" w:line="253" w:lineRule="auto"/>
        <w:rPr>
          <w:sz w:val="20"/>
          <w:szCs w:val="20"/>
          <w:color w:val="auto"/>
        </w:rPr>
      </w:pPr>
      <w:r>
        <w:rPr>
          <w:rFonts w:ascii="Arial" w:cs="Arial" w:eastAsia="Arial" w:hAnsi="Arial"/>
          <w:sz w:val="18"/>
          <w:szCs w:val="18"/>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prosecute our patent assets properly, the value of those assets to our clients would be reduced or eliminated, and our business may be harmed.</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If we fail to develop widespread brand awareness cost-effectively, we may not attract new clients and our business and operating results may suffer.</w:t>
      </w:r>
    </w:p>
    <w:p>
      <w:pPr>
        <w:spacing w:after="0" w:line="27" w:lineRule="exact"/>
        <w:rPr>
          <w:sz w:val="20"/>
          <w:szCs w:val="20"/>
          <w:color w:val="auto"/>
        </w:rPr>
      </w:pPr>
    </w:p>
    <w:p>
      <w:pPr>
        <w:ind w:right="260" w:firstLine="446"/>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services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7" w:lineRule="exact"/>
        <w:rPr>
          <w:sz w:val="20"/>
          <w:szCs w:val="20"/>
          <w:color w:val="auto"/>
        </w:rPr>
      </w:pPr>
    </w:p>
    <w:p>
      <w:pPr>
        <w:ind w:right="100" w:firstLine="446"/>
        <w:spacing w:after="0" w:line="250" w:lineRule="auto"/>
        <w:rPr>
          <w:sz w:val="20"/>
          <w:szCs w:val="20"/>
          <w:color w:val="auto"/>
        </w:rPr>
      </w:pPr>
      <w:r>
        <w:rPr>
          <w:rFonts w:ascii="Arial" w:cs="Arial" w:eastAsia="Arial" w:hAnsi="Arial"/>
          <w:sz w:val="18"/>
          <w:szCs w:val="18"/>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 If we are unable to effectively remediate control deficiencies which are identified or are otherwise unable to maintain adequate internal controls over our financial reporting in the future, we may not be able to prepare reliable financial statements and comply with our reporting obligations on a timely basis, which could materially adversely affect our business and subject us to legal and regulatory action.</w:t>
      </w:r>
    </w:p>
    <w:p>
      <w:pPr>
        <w:spacing w:after="0" w:line="19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services or fees payable under our subscription agreements, which could adversely affect our financial condition and operating results.</w:t>
      </w:r>
    </w:p>
    <w:p>
      <w:pPr>
        <w:spacing w:after="0" w:line="13"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Our operations and performance depend significantly on worldwide economic conditions. In particular, the economics of countries in Europe have been experiencing weakness associated with high sovereign debt levels, weakness in the banking sector, and uncertainty over the future of the Euro zone, including instability surrounding Brexit. Uncertainty about global economic conditions poses a risk as businesses may postpone spending in response to tighter credit, negative financial news and declines in income or asset values. This response could have a material negative effect on the demand for our services.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3" w:lineRule="exact"/>
        <w:rPr>
          <w:sz w:val="20"/>
          <w:szCs w:val="20"/>
          <w:color w:val="auto"/>
        </w:rPr>
      </w:pPr>
    </w:p>
    <w:p>
      <w:pPr>
        <w:ind w:right="200" w:firstLine="270"/>
        <w:spacing w:after="0" w:line="252"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 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8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50" w:lineRule="exact"/>
        <w:rPr>
          <w:sz w:val="20"/>
          <w:szCs w:val="20"/>
          <w:color w:val="auto"/>
        </w:rPr>
      </w:pPr>
    </w:p>
    <w:p>
      <w:pPr>
        <w:ind w:right="100" w:firstLine="446"/>
        <w:spacing w:after="0" w:line="251"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acquire patent assets, develop new services or enhance our existing service offering,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taken on significant debt, which will decrease our business flexibility and increase our interest expense.</w:t>
      </w:r>
    </w:p>
    <w:p>
      <w:pPr>
        <w:spacing w:after="0" w:line="99"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On February 26, 2016, we entered into the Credit Agreement (defined above) which provided for the Term Facility and the Revolving Credit Facility. As of September 30, 2017, the total balance outstanding on the Term Facility was $91.3 million, and the Revolving Credit Facility remains undrawn. In October 2017, we announced we will be repaying our Term Facility in full in the fourth quarter of 2017. The Revolving Credit Facility will remain available for the Company to utilize.</w:t>
      </w:r>
    </w:p>
    <w:p>
      <w:pPr>
        <w:spacing w:after="0" w:line="204"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This debt, together with certain covenants imposed on us in connection with incurring this debt, among other things, limits how we conduct our business, reduces our flexibility to respond to changing business and economic conditions and increases our interest expense.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 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 In addition, the covenants in our debt limit our ability to, among other things, obtain additional financing, make acquisitions or other investments, repurchase our stock or pay dividends, or dispose of patent assets. These limitations could adversely affect our financial condition and results of operations.</w:t>
      </w:r>
    </w:p>
    <w:p>
      <w:pPr>
        <w:spacing w:after="0" w:line="190"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2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insurance product.</w:t>
      </w:r>
    </w:p>
    <w:p>
      <w:pPr>
        <w:spacing w:after="0" w:line="99"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In May 2014, we began offering an “A” rated insurance product. If we are unable to maintain our relationship with one or more “A” rated insurance companies, we may be unable to continue offering an “A” rated insurance product, which could have an adverse effect on new insurance business growth and retention of our existing insurance business.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7"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7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7"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Current Report on Form 10-Q and others such as:</w:t>
      </w:r>
    </w:p>
    <w:p>
      <w:pPr>
        <w:spacing w:after="0" w:line="42"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right="180" w:hanging="326"/>
        <w:spacing w:after="0" w:line="262"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estimates of our operating results or changes in recommendations by any securities analysts that elect to follow our common stock;</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120" w:hanging="326"/>
        <w:spacing w:after="0" w:line="262"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34" w:lineRule="exact"/>
        <w:rPr>
          <w:rFonts w:ascii="Arial" w:cs="Arial" w:eastAsia="Arial" w:hAnsi="Arial"/>
          <w:sz w:val="18"/>
          <w:szCs w:val="18"/>
          <w:color w:val="auto"/>
        </w:rPr>
      </w:pPr>
    </w:p>
    <w:p>
      <w:pPr>
        <w:ind w:left="820" w:right="180" w:hanging="326"/>
        <w:spacing w:after="0" w:line="262"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63" w:lineRule="exact"/>
        <w:rPr>
          <w:rFonts w:ascii="Arial" w:cs="Arial" w:eastAsia="Arial" w:hAnsi="Arial"/>
          <w:sz w:val="18"/>
          <w:szCs w:val="18"/>
          <w:color w:val="auto"/>
        </w:rPr>
      </w:pPr>
    </w:p>
    <w:p>
      <w:pPr>
        <w:ind w:left="820" w:right="220" w:hanging="326"/>
        <w:spacing w:after="0" w:line="262"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macroeconomic, market, and political factors and trends, including in light of Brexit, the outcome of the United States Presidential election, and other recent political developments;</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 in our quarterly dividend or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200" w:firstLine="446"/>
        <w:spacing w:after="0" w:line="254" w:lineRule="auto"/>
        <w:rPr>
          <w:sz w:val="20"/>
          <w:szCs w:val="20"/>
          <w:color w:val="auto"/>
        </w:rPr>
      </w:pPr>
      <w:r>
        <w:rPr>
          <w:rFonts w:ascii="Arial" w:cs="Arial" w:eastAsia="Arial" w:hAnsi="Arial"/>
          <w:sz w:val="18"/>
          <w:szCs w:val="18"/>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0"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7" w:lineRule="exact"/>
        <w:rPr>
          <w:sz w:val="20"/>
          <w:szCs w:val="20"/>
          <w:color w:val="auto"/>
        </w:rPr>
      </w:pPr>
    </w:p>
    <w:p>
      <w:pPr>
        <w:jc w:val="both"/>
        <w:ind w:right="220" w:firstLine="446"/>
        <w:spacing w:after="0" w:line="256" w:lineRule="auto"/>
        <w:rPr>
          <w:sz w:val="20"/>
          <w:szCs w:val="20"/>
          <w:color w:val="auto"/>
        </w:rPr>
      </w:pPr>
      <w:r>
        <w:rPr>
          <w:rFonts w:ascii="Arial" w:cs="Arial" w:eastAsia="Arial" w:hAnsi="Arial"/>
          <w:sz w:val="18"/>
          <w:szCs w:val="18"/>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202" w:lineRule="exact"/>
        <w:rPr>
          <w:sz w:val="20"/>
          <w:szCs w:val="20"/>
          <w:color w:val="auto"/>
        </w:rPr>
      </w:pPr>
    </w:p>
    <w:p>
      <w:pPr>
        <w:jc w:val="both"/>
        <w:ind w:right="200" w:firstLine="446"/>
        <w:spacing w:after="0" w:line="256" w:lineRule="auto"/>
        <w:rPr>
          <w:sz w:val="20"/>
          <w:szCs w:val="20"/>
          <w:color w:val="auto"/>
        </w:rPr>
      </w:pPr>
      <w:r>
        <w:rPr>
          <w:rFonts w:ascii="Arial" w:cs="Arial" w:eastAsia="Arial" w:hAnsi="Arial"/>
          <w:sz w:val="18"/>
          <w:szCs w:val="18"/>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202" w:lineRule="exact"/>
        <w:rPr>
          <w:sz w:val="20"/>
          <w:szCs w:val="20"/>
          <w:color w:val="auto"/>
        </w:rPr>
      </w:pPr>
    </w:p>
    <w:p>
      <w:pPr>
        <w:ind w:right="100" w:firstLine="446"/>
        <w:spacing w:after="0" w:line="262"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4"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42" w:lineRule="exact"/>
        <w:rPr>
          <w:sz w:val="20"/>
          <w:szCs w:val="20"/>
          <w:color w:val="auto"/>
        </w:rPr>
      </w:pPr>
    </w:p>
    <w:p>
      <w:pPr>
        <w:ind w:right="200" w:firstLine="446"/>
        <w:spacing w:after="0" w:line="254"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7"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47"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right="600" w:hanging="326"/>
        <w:spacing w:after="0" w:line="262"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540" w:hanging="326"/>
        <w:spacing w:after="0" w:line="262"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200" w:hanging="326"/>
        <w:spacing w:after="0" w:line="262"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34" w:lineRule="exact"/>
        <w:rPr>
          <w:rFonts w:ascii="Arial" w:cs="Arial" w:eastAsia="Arial" w:hAnsi="Arial"/>
          <w:sz w:val="18"/>
          <w:szCs w:val="18"/>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57"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February 2015, our Board of Directors approved a share repurchase program of up to $75.0 million. In March 2016 and May 2016, our Board of Directors further increased the amount authorized to repurchase by $25.0 million and $50.0 million, respectively, to an aggregate authorized amount of $150.0 million. The timing and actual number of shares repurchased will depend on a variety of factors including price, corporate and regulatory requirements, 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0"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8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quarterly dividend is new and modest in amount, and consequently, your ability to achieve a return on your investment will continue to depend primarily on appreciation in the price of our common stock.</w:t>
      </w:r>
    </w:p>
    <w:p>
      <w:pPr>
        <w:spacing w:after="0" w:line="27" w:lineRule="exact"/>
        <w:rPr>
          <w:sz w:val="20"/>
          <w:szCs w:val="20"/>
          <w:color w:val="auto"/>
        </w:rPr>
      </w:pPr>
    </w:p>
    <w:p>
      <w:pPr>
        <w:ind w:right="260" w:firstLine="446"/>
        <w:spacing w:after="0" w:line="253" w:lineRule="auto"/>
        <w:rPr>
          <w:sz w:val="20"/>
          <w:szCs w:val="20"/>
          <w:color w:val="auto"/>
        </w:rPr>
      </w:pPr>
      <w:r>
        <w:rPr>
          <w:rFonts w:ascii="Arial" w:cs="Arial" w:eastAsia="Arial" w:hAnsi="Arial"/>
          <w:sz w:val="18"/>
          <w:szCs w:val="18"/>
          <w:color w:val="auto"/>
        </w:rPr>
        <w:t>On October 30, 2017, we announced that we will pay a quarterly cash dividend of $ 0.05 per share, the first of which is payable on December 5, 2017, to shareholders of record on November 20, 2017. Previously, we had never declared or paid cash dividends on our common stock. Our quarterly dividend is new and modest in amount. Consequently, investors must rely on sales of their common stock after price appreciation, which may never occur, as the primary way to realize any future gains on their investments. There is no guarantee that shares of our common stock will appreciate in value or even maintain the price at which our stockholders have purchased their shares.</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September 30, 2017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Approximate</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20" w:type="dxa"/>
            <w:vAlign w:val="bottom"/>
          </w:tcPr>
          <w:p>
            <w:pPr>
              <w:spacing w:after="0"/>
              <w:rPr>
                <w:sz w:val="17"/>
                <w:szCs w:val="17"/>
                <w:color w:val="auto"/>
              </w:rPr>
            </w:pP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Dollar Value that</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Announced</w:t>
            </w:r>
          </w:p>
        </w:tc>
        <w:tc>
          <w:tcPr>
            <w:tcW w:w="120" w:type="dxa"/>
            <w:vAlign w:val="bottom"/>
          </w:tcPr>
          <w:p>
            <w:pPr>
              <w:spacing w:after="0"/>
              <w:rPr>
                <w:sz w:val="17"/>
                <w:szCs w:val="17"/>
                <w:color w:val="auto"/>
              </w:rPr>
            </w:pP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Purchased Under</w:t>
            </w:r>
          </w:p>
        </w:tc>
      </w:tr>
      <w:tr>
        <w:trPr>
          <w:trHeight w:val="25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Paid per Share</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 xml:space="preserve">the Programs </w:t>
            </w:r>
            <w:r>
              <w:rPr>
                <w:rFonts w:ascii="Arial" w:cs="Arial" w:eastAsia="Arial" w:hAnsi="Arial"/>
                <w:sz w:val="21"/>
                <w:szCs w:val="21"/>
                <w:b w:val="1"/>
                <w:bCs w:val="1"/>
                <w:color w:val="auto"/>
                <w:w w:val="96"/>
                <w:vertAlign w:val="superscript"/>
              </w:rPr>
              <w:t>(1)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July 31, 2017</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4,400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58,879,728</w:t>
            </w:r>
          </w:p>
        </w:tc>
      </w:tr>
      <w:tr>
        <w:trPr>
          <w:trHeight w:val="27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31, 2017</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58,009,854</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September 30, 2017</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70,939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70,939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57,094,920</w:t>
            </w:r>
          </w:p>
        </w:tc>
      </w:tr>
      <w:tr>
        <w:trPr>
          <w:trHeight w:val="250"/>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8890</wp:posOffset>
            </wp:positionV>
            <wp:extent cx="1003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8890</wp:posOffset>
            </wp:positionV>
            <wp:extent cx="1012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6" w:lineRule="exact"/>
        <w:rPr>
          <w:sz w:val="20"/>
          <w:szCs w:val="20"/>
          <w:color w:val="auto"/>
        </w:rPr>
      </w:pPr>
    </w:p>
    <w:p>
      <w:pPr>
        <w:ind w:left="420" w:right="80" w:hanging="250"/>
        <w:spacing w:after="0" w:line="258" w:lineRule="auto"/>
        <w:tabs>
          <w:tab w:leader="none" w:pos="420" w:val="left"/>
        </w:tabs>
        <w:numPr>
          <w:ilvl w:val="0"/>
          <w:numId w:val="29"/>
        </w:numPr>
        <w:rPr>
          <w:rFonts w:ascii="Arial" w:cs="Arial" w:eastAsia="Arial" w:hAnsi="Arial"/>
          <w:sz w:val="21"/>
          <w:szCs w:val="21"/>
          <w:color w:val="auto"/>
          <w:vertAlign w:val="superscript"/>
        </w:rPr>
      </w:pPr>
      <w:r>
        <w:rPr>
          <w:rFonts w:ascii="Arial" w:cs="Arial" w:eastAsia="Arial" w:hAnsi="Arial"/>
          <w:sz w:val="17"/>
          <w:szCs w:val="17"/>
          <w:color w:val="auto"/>
        </w:rPr>
        <w:t>On February 10, 2015, we announced that our Board of Directors had authorized a share repurchase program under which we are authorized to repurchase up to $75.0 million of our outstanding common stock with no expiration date from the date of authorization. In March 2016 and May 2016, we increased our share repurchase program by $25.0 million and $50.0 million, respectively, for a total amount authorized of $150.0 million. As of September 30, 2017, we had repurchased $92.9 million of our outstanding common stock. Under the program, shares may be repurchased in privately negotiated and/or open market transactions, including under plans complying with Rule 10b5-1 under the Exchange Act. Our share repurchase program does not obligate us to acquire any specific number of shares.</w:t>
      </w:r>
    </w:p>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3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55"/>
        </w:trPr>
        <w:tc>
          <w:tcPr>
            <w:tcW w:w="7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540" w:type="dxa"/>
            <w:vAlign w:val="bottom"/>
            <w:gridSpan w:val="5"/>
          </w:tcPr>
          <w:p>
            <w:pPr>
              <w:ind w:left="40"/>
              <w:spacing w:after="0"/>
              <w:rPr>
                <w:sz w:val="20"/>
                <w:szCs w:val="20"/>
                <w:color w:val="auto"/>
              </w:rPr>
            </w:pPr>
            <w:r>
              <w:rPr>
                <w:rFonts w:ascii="Arial" w:cs="Arial" w:eastAsia="Arial" w:hAnsi="Arial"/>
                <w:sz w:val="18"/>
                <w:szCs w:val="18"/>
                <w:b w:val="1"/>
                <w:bCs w:val="1"/>
                <w:color w:val="auto"/>
              </w:rPr>
              <w:t>Exhibits.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5"/>
        </w:trPr>
        <w:tc>
          <w:tcPr>
            <w:tcW w:w="780" w:type="dxa"/>
            <w:vAlign w:val="bottom"/>
          </w:tcPr>
          <w:p>
            <w:pPr>
              <w:jc w:val="center"/>
              <w:ind w:left="59"/>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Exhibit</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Filing</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Provided</w:t>
            </w:r>
          </w:p>
        </w:tc>
      </w:tr>
      <w:tr>
        <w:trPr>
          <w:trHeight w:val="196"/>
        </w:trPr>
        <w:tc>
          <w:tcPr>
            <w:tcW w:w="780" w:type="dxa"/>
            <w:vAlign w:val="bottom"/>
            <w:tcBorders>
              <w:bottom w:val="single" w:sz="8" w:color="auto"/>
            </w:tcBorders>
          </w:tcPr>
          <w:p>
            <w:pPr>
              <w:jc w:val="center"/>
              <w:ind w:left="79"/>
              <w:spacing w:after="0"/>
              <w:rPr>
                <w:sz w:val="20"/>
                <w:szCs w:val="20"/>
                <w:color w:val="auto"/>
              </w:rPr>
            </w:pPr>
            <w:r>
              <w:rPr>
                <w:rFonts w:ascii="Arial" w:cs="Arial" w:eastAsia="Arial" w:hAnsi="Arial"/>
                <w:sz w:val="14"/>
                <w:szCs w:val="14"/>
                <w:b w:val="1"/>
                <w:bCs w:val="1"/>
                <w:color w:val="auto"/>
              </w:rPr>
              <w:t>Number</w:t>
            </w:r>
          </w:p>
        </w:tc>
        <w:tc>
          <w:tcPr>
            <w:tcW w:w="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tcPr>
          <w:p>
            <w:pPr>
              <w:spacing w:after="0"/>
              <w:rPr>
                <w:sz w:val="17"/>
                <w:szCs w:val="17"/>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Herewith</w:t>
            </w:r>
          </w:p>
        </w:tc>
      </w:tr>
    </w:tbl>
    <w:p>
      <w:pPr>
        <w:spacing w:after="0" w:line="163" w:lineRule="exact"/>
        <w:rPr>
          <w:sz w:val="20"/>
          <w:szCs w:val="20"/>
          <w:color w:val="auto"/>
        </w:rPr>
      </w:pPr>
    </w:p>
    <w:p>
      <w:pPr>
        <w:sectPr>
          <w:pgSz w:w="11900" w:h="16838" w:orient="portrait"/>
          <w:cols w:equalWidth="0" w:num="1">
            <w:col w:w="11420"/>
          </w:cols>
          <w:pgMar w:left="240" w:top="108" w:right="239" w:bottom="1440" w:gutter="0" w:footer="0" w:header="0"/>
        </w:sectPr>
      </w:pPr>
    </w:p>
    <w:tbl>
      <w:tblPr>
        <w:tblLayout w:type="fixed"/>
        <w:tblInd w:w="40" w:type="dxa"/>
        <w:tblCellMar>
          <w:top w:w="0" w:type="dxa"/>
          <w:left w:w="0" w:type="dxa"/>
          <w:bottom w:w="0" w:type="dxa"/>
          <w:right w:w="0" w:type="dxa"/>
        </w:tblCellMar>
      </w:tblPr>
      <w:tr>
        <w:trPr>
          <w:trHeight w:val="161"/>
        </w:trPr>
        <w:tc>
          <w:tcPr>
            <w:tcW w:w="200" w:type="dxa"/>
            <w:vAlign w:val="bottom"/>
            <w:tcBorders>
              <w:bottom w:val="single" w:sz="8" w:color="0000FF"/>
            </w:tcBorders>
          </w:tcPr>
          <w:p>
            <w:pPr>
              <w:spacing w:after="0"/>
              <w:rPr>
                <w:rFonts w:ascii="Arial" w:cs="Arial" w:eastAsia="Arial" w:hAnsi="Arial"/>
                <w:sz w:val="14"/>
                <w:szCs w:val="14"/>
                <w:color w:val="0000FF"/>
                <w:w w:val="92"/>
              </w:rPr>
            </w:pPr>
            <w:hyperlink r:id="rId11">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ind w:left="2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720" w:type="dxa"/>
            <w:vAlign w:val="bottom"/>
          </w:tcPr>
          <w:p>
            <w:pPr>
              <w:ind w:left="240"/>
              <w:spacing w:after="0"/>
              <w:rPr>
                <w:sz w:val="20"/>
                <w:szCs w:val="20"/>
                <w:color w:val="auto"/>
              </w:rPr>
            </w:pPr>
            <w:r>
              <w:rPr>
                <w:rFonts w:ascii="Arial" w:cs="Arial" w:eastAsia="Arial" w:hAnsi="Arial"/>
                <w:sz w:val="14"/>
                <w:szCs w:val="14"/>
                <w:color w:val="auto"/>
              </w:rPr>
              <w:t>S-1</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333-171817</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3.2</w:t>
            </w:r>
          </w:p>
        </w:tc>
        <w:tc>
          <w:tcPr>
            <w:tcW w:w="1000" w:type="dxa"/>
            <w:vAlign w:val="bottom"/>
          </w:tcPr>
          <w:p>
            <w:pPr>
              <w:jc w:val="right"/>
              <w:spacing w:after="0"/>
              <w:rPr>
                <w:sz w:val="20"/>
                <w:szCs w:val="20"/>
                <w:color w:val="auto"/>
              </w:rPr>
            </w:pPr>
            <w:r>
              <w:rPr>
                <w:rFonts w:ascii="Arial" w:cs="Arial" w:eastAsia="Arial" w:hAnsi="Arial"/>
                <w:sz w:val="14"/>
                <w:szCs w:val="14"/>
                <w:color w:val="auto"/>
              </w:rPr>
              <w:t>1/21/2011</w:t>
            </w:r>
          </w:p>
        </w:tc>
        <w:tc>
          <w:tcPr>
            <w:tcW w:w="0" w:type="dxa"/>
            <w:vAlign w:val="bottom"/>
          </w:tcPr>
          <w:p>
            <w:pPr>
              <w:spacing w:after="0"/>
              <w:rPr>
                <w:sz w:val="1"/>
                <w:szCs w:val="1"/>
                <w:color w:val="auto"/>
              </w:rPr>
            </w:pPr>
          </w:p>
        </w:tc>
      </w:tr>
      <w:tr>
        <w:trPr>
          <w:trHeight w:val="385"/>
        </w:trPr>
        <w:tc>
          <w:tcPr>
            <w:tcW w:w="200" w:type="dxa"/>
            <w:vAlign w:val="bottom"/>
            <w:tcBorders>
              <w:bottom w:val="single" w:sz="8" w:color="0000FF"/>
            </w:tcBorders>
          </w:tcPr>
          <w:p>
            <w:pPr>
              <w:spacing w:after="0"/>
              <w:rPr>
                <w:rFonts w:ascii="Arial" w:cs="Arial" w:eastAsia="Arial" w:hAnsi="Arial"/>
                <w:sz w:val="14"/>
                <w:szCs w:val="14"/>
                <w:color w:val="0000FF"/>
                <w:w w:val="92"/>
              </w:rPr>
            </w:pPr>
            <w:hyperlink r:id="rId12">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20" w:type="dxa"/>
            <w:vAlign w:val="bottom"/>
          </w:tcPr>
          <w:p>
            <w:pPr>
              <w:ind w:left="240"/>
              <w:spacing w:after="0"/>
              <w:rPr>
                <w:sz w:val="20"/>
                <w:szCs w:val="20"/>
                <w:color w:val="auto"/>
              </w:rPr>
            </w:pPr>
            <w:r>
              <w:rPr>
                <w:rFonts w:ascii="Arial" w:cs="Arial" w:eastAsia="Arial" w:hAnsi="Arial"/>
                <w:sz w:val="14"/>
                <w:szCs w:val="14"/>
                <w:color w:val="auto"/>
              </w:rPr>
              <w:t>Amended and Restated Bylaws of RPX Corporation</w:t>
            </w:r>
          </w:p>
        </w:tc>
        <w:tc>
          <w:tcPr>
            <w:tcW w:w="720" w:type="dxa"/>
            <w:vAlign w:val="bottom"/>
          </w:tcPr>
          <w:p>
            <w:pPr>
              <w:ind w:left="240"/>
              <w:spacing w:after="0"/>
              <w:rPr>
                <w:sz w:val="20"/>
                <w:szCs w:val="20"/>
                <w:color w:val="auto"/>
              </w:rPr>
            </w:pPr>
            <w:r>
              <w:rPr>
                <w:rFonts w:ascii="Arial" w:cs="Arial" w:eastAsia="Arial" w:hAnsi="Arial"/>
                <w:sz w:val="14"/>
                <w:szCs w:val="14"/>
                <w:color w:val="auto"/>
              </w:rPr>
              <w:t>8-K</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001-35146</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3.1</w:t>
            </w:r>
          </w:p>
        </w:tc>
        <w:tc>
          <w:tcPr>
            <w:tcW w:w="1000" w:type="dxa"/>
            <w:vAlign w:val="bottom"/>
          </w:tcPr>
          <w:p>
            <w:pPr>
              <w:jc w:val="right"/>
              <w:spacing w:after="0"/>
              <w:rPr>
                <w:sz w:val="20"/>
                <w:szCs w:val="20"/>
                <w:color w:val="auto"/>
              </w:rPr>
            </w:pPr>
            <w:r>
              <w:rPr>
                <w:rFonts w:ascii="Arial" w:cs="Arial" w:eastAsia="Arial" w:hAnsi="Arial"/>
                <w:sz w:val="14"/>
                <w:szCs w:val="14"/>
                <w:color w:val="auto"/>
              </w:rPr>
              <w:t>12/11/2015</w:t>
            </w:r>
          </w:p>
        </w:tc>
        <w:tc>
          <w:tcPr>
            <w:tcW w:w="0" w:type="dxa"/>
            <w:vAlign w:val="bottom"/>
          </w:tcPr>
          <w:p>
            <w:pPr>
              <w:spacing w:after="0"/>
              <w:rPr>
                <w:sz w:val="1"/>
                <w:szCs w:val="1"/>
                <w:color w:val="auto"/>
              </w:rPr>
            </w:pPr>
          </w:p>
        </w:tc>
      </w:tr>
      <w:tr>
        <w:trPr>
          <w:trHeight w:val="363"/>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20" w:type="dxa"/>
            <w:vAlign w:val="bottom"/>
          </w:tcPr>
          <w:p>
            <w:pPr>
              <w:ind w:left="240"/>
              <w:spacing w:after="0"/>
              <w:rPr>
                <w:sz w:val="20"/>
                <w:szCs w:val="20"/>
                <w:color w:val="auto"/>
              </w:rPr>
            </w:pPr>
            <w:r>
              <w:rPr>
                <w:rFonts w:ascii="Arial" w:cs="Arial" w:eastAsia="Arial" w:hAnsi="Arial"/>
                <w:sz w:val="14"/>
                <w:szCs w:val="14"/>
                <w:color w:val="auto"/>
              </w:rPr>
              <w:t>Certification of Chief Executive Officer Pursuant to Rule 13-14(a) or 15(d)-14(a)</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00" w:type="dxa"/>
            <w:vAlign w:val="bottom"/>
            <w:gridSpan w:val="3"/>
          </w:tcPr>
          <w:p>
            <w:pPr>
              <w:spacing w:after="0" w:line="144" w:lineRule="exact"/>
              <w:rPr>
                <w:rFonts w:ascii="Arial" w:cs="Arial" w:eastAsia="Arial" w:hAnsi="Arial"/>
                <w:sz w:val="14"/>
                <w:szCs w:val="14"/>
                <w:color w:val="0000FF"/>
              </w:rPr>
            </w:pPr>
            <w:hyperlink w:anchor="page55">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5520" w:type="dxa"/>
            <w:vAlign w:val="bottom"/>
          </w:tcPr>
          <w:p>
            <w:pPr>
              <w:ind w:left="240"/>
              <w:spacing w:after="0" w:line="144" w:lineRule="exact"/>
              <w:rPr>
                <w:sz w:val="20"/>
                <w:szCs w:val="20"/>
                <w:color w:val="auto"/>
              </w:rPr>
            </w:pPr>
            <w:r>
              <w:rPr>
                <w:rFonts w:ascii="Arial" w:cs="Arial" w:eastAsia="Arial" w:hAnsi="Arial"/>
                <w:sz w:val="14"/>
                <w:szCs w:val="14"/>
                <w:color w:val="auto"/>
              </w:rPr>
              <w:t>of the Securities Exchange Act of 1934 as Adopted Pursuant to Section 302 of</w:t>
            </w:r>
          </w:p>
        </w:tc>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ind w:left="240"/>
              <w:spacing w:after="0"/>
              <w:rPr>
                <w:sz w:val="20"/>
                <w:szCs w:val="20"/>
                <w:color w:val="auto"/>
              </w:rPr>
            </w:pPr>
            <w:r>
              <w:rPr>
                <w:rFonts w:ascii="Arial" w:cs="Arial" w:eastAsia="Arial" w:hAnsi="Arial"/>
                <w:sz w:val="14"/>
                <w:szCs w:val="14"/>
                <w:color w:val="auto"/>
              </w:rPr>
              <w:t>the Sarbanes-Oxley Act of 2002</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20" w:type="dxa"/>
            <w:vAlign w:val="bottom"/>
          </w:tcPr>
          <w:p>
            <w:pPr>
              <w:ind w:left="240"/>
              <w:spacing w:after="0"/>
              <w:rPr>
                <w:sz w:val="20"/>
                <w:szCs w:val="20"/>
                <w:color w:val="auto"/>
              </w:rPr>
            </w:pPr>
            <w:r>
              <w:rPr>
                <w:rFonts w:ascii="Arial" w:cs="Arial" w:eastAsia="Arial" w:hAnsi="Arial"/>
                <w:sz w:val="14"/>
                <w:szCs w:val="14"/>
                <w:color w:val="auto"/>
              </w:rPr>
              <w:t>Certification of Chief Financial Officer Pursuant to Rule 13-14(a) or 15(d)-14(a)</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00" w:type="dxa"/>
            <w:vAlign w:val="bottom"/>
            <w:gridSpan w:val="3"/>
          </w:tcPr>
          <w:p>
            <w:pPr>
              <w:spacing w:after="0" w:line="144" w:lineRule="exact"/>
              <w:rPr>
                <w:rFonts w:ascii="Arial" w:cs="Arial" w:eastAsia="Arial" w:hAnsi="Arial"/>
                <w:sz w:val="14"/>
                <w:szCs w:val="14"/>
                <w:color w:val="0000FF"/>
              </w:rPr>
            </w:pPr>
            <w:hyperlink w:anchor="page56">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5520" w:type="dxa"/>
            <w:vAlign w:val="bottom"/>
          </w:tcPr>
          <w:p>
            <w:pPr>
              <w:ind w:left="240"/>
              <w:spacing w:after="0" w:line="144" w:lineRule="exact"/>
              <w:rPr>
                <w:sz w:val="20"/>
                <w:szCs w:val="20"/>
                <w:color w:val="auto"/>
              </w:rPr>
            </w:pPr>
            <w:r>
              <w:rPr>
                <w:rFonts w:ascii="Arial" w:cs="Arial" w:eastAsia="Arial" w:hAnsi="Arial"/>
                <w:sz w:val="14"/>
                <w:szCs w:val="14"/>
                <w:color w:val="auto"/>
              </w:rPr>
              <w:t>of the Securities Exchange Act of 1934 as Adopted Pursuant to Section 302 of</w:t>
            </w:r>
          </w:p>
        </w:tc>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20" w:type="dxa"/>
            <w:vAlign w:val="bottom"/>
          </w:tcPr>
          <w:p>
            <w:pPr>
              <w:spacing w:after="0"/>
              <w:rPr>
                <w:sz w:val="14"/>
                <w:szCs w:val="14"/>
                <w:color w:val="auto"/>
              </w:rPr>
            </w:pPr>
          </w:p>
        </w:tc>
        <w:tc>
          <w:tcPr>
            <w:tcW w:w="5520" w:type="dxa"/>
            <w:vAlign w:val="bottom"/>
          </w:tcPr>
          <w:p>
            <w:pPr>
              <w:ind w:left="240"/>
              <w:spacing w:after="0"/>
              <w:rPr>
                <w:sz w:val="20"/>
                <w:szCs w:val="20"/>
                <w:color w:val="auto"/>
              </w:rPr>
            </w:pPr>
            <w:r>
              <w:rPr>
                <w:rFonts w:ascii="Arial" w:cs="Arial" w:eastAsia="Arial" w:hAnsi="Arial"/>
                <w:sz w:val="14"/>
                <w:szCs w:val="14"/>
                <w:color w:val="auto"/>
              </w:rPr>
              <w:t>the Sarbanes-Oxley Act of 2002</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800" w:type="dxa"/>
            <w:vAlign w:val="bottom"/>
            <w:gridSpan w:val="3"/>
            <w:vMerge w:val="restart"/>
          </w:tcPr>
          <w:p>
            <w:pPr>
              <w:spacing w:after="0"/>
              <w:rPr>
                <w:rFonts w:ascii="Arial" w:cs="Arial" w:eastAsia="Arial" w:hAnsi="Arial"/>
                <w:sz w:val="14"/>
                <w:szCs w:val="14"/>
                <w:color w:val="0000FF"/>
              </w:rPr>
            </w:pPr>
            <w:hyperlink w:anchor="page57">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5520" w:type="dxa"/>
            <w:vAlign w:val="bottom"/>
          </w:tcPr>
          <w:p>
            <w:pPr>
              <w:ind w:left="2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800" w:type="dxa"/>
            <w:vAlign w:val="bottom"/>
            <w:gridSpan w:val="3"/>
            <w:vMerge w:val="continue"/>
          </w:tcPr>
          <w:p>
            <w:pPr>
              <w:spacing w:after="0"/>
              <w:rPr>
                <w:sz w:val="5"/>
                <w:szCs w:val="5"/>
                <w:color w:val="auto"/>
              </w:rPr>
            </w:pPr>
          </w:p>
        </w:tc>
        <w:tc>
          <w:tcPr>
            <w:tcW w:w="5520" w:type="dxa"/>
            <w:vAlign w:val="bottom"/>
            <w:vMerge w:val="restart"/>
          </w:tcPr>
          <w:p>
            <w:pPr>
              <w:ind w:left="2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7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520" w:type="dxa"/>
            <w:vAlign w:val="bottom"/>
          </w:tcPr>
          <w:p>
            <w:pPr>
              <w:spacing w:after="0"/>
              <w:rPr>
                <w:sz w:val="7"/>
                <w:szCs w:val="7"/>
                <w:color w:val="auto"/>
              </w:rPr>
            </w:pPr>
          </w:p>
        </w:tc>
        <w:tc>
          <w:tcPr>
            <w:tcW w:w="55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7"/>
        </w:trPr>
        <w:tc>
          <w:tcPr>
            <w:tcW w:w="800" w:type="dxa"/>
            <w:vAlign w:val="bottom"/>
            <w:gridSpan w:val="3"/>
            <w:vMerge w:val="restart"/>
          </w:tcPr>
          <w:p>
            <w:pPr>
              <w:spacing w:after="0"/>
              <w:rPr>
                <w:rFonts w:ascii="Arial" w:cs="Arial" w:eastAsia="Arial" w:hAnsi="Arial"/>
                <w:sz w:val="14"/>
                <w:szCs w:val="14"/>
                <w:color w:val="0000FF"/>
              </w:rPr>
            </w:pPr>
            <w:hyperlink w:anchor="page58">
              <w:r>
                <w:rPr>
                  <w:rFonts w:ascii="Arial" w:cs="Arial" w:eastAsia="Arial" w:hAnsi="Arial"/>
                  <w:sz w:val="14"/>
                  <w:szCs w:val="14"/>
                  <w:color w:val="0000FF"/>
                </w:rPr>
                <w:t>32.</w:t>
              </w:r>
              <w:r>
                <w:rPr>
                  <w:rFonts w:ascii="Arial" w:cs="Arial" w:eastAsia="Arial" w:hAnsi="Arial"/>
                  <w:sz w:val="14"/>
                  <w:szCs w:val="14"/>
                  <w:u w:val="single" w:color="auto"/>
                  <w:color w:val="0000FF"/>
                </w:rPr>
                <w:t>2</w:t>
              </w:r>
            </w:hyperlink>
          </w:p>
        </w:tc>
        <w:tc>
          <w:tcPr>
            <w:tcW w:w="5520" w:type="dxa"/>
            <w:vAlign w:val="bottom"/>
          </w:tcPr>
          <w:p>
            <w:pPr>
              <w:ind w:left="2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800" w:type="dxa"/>
            <w:vAlign w:val="bottom"/>
            <w:gridSpan w:val="3"/>
            <w:vMerge w:val="continue"/>
          </w:tcPr>
          <w:p>
            <w:pPr>
              <w:spacing w:after="0"/>
              <w:rPr>
                <w:sz w:val="5"/>
                <w:szCs w:val="5"/>
                <w:color w:val="auto"/>
              </w:rPr>
            </w:pPr>
          </w:p>
        </w:tc>
        <w:tc>
          <w:tcPr>
            <w:tcW w:w="5520" w:type="dxa"/>
            <w:vAlign w:val="bottom"/>
            <w:vMerge w:val="restart"/>
          </w:tcPr>
          <w:p>
            <w:pPr>
              <w:ind w:left="2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7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520" w:type="dxa"/>
            <w:vAlign w:val="bottom"/>
          </w:tcPr>
          <w:p>
            <w:pPr>
              <w:spacing w:after="0"/>
              <w:rPr>
                <w:sz w:val="7"/>
                <w:szCs w:val="7"/>
                <w:color w:val="auto"/>
              </w:rPr>
            </w:pPr>
          </w:p>
        </w:tc>
        <w:tc>
          <w:tcPr>
            <w:tcW w:w="55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800" w:type="dxa"/>
            <w:vAlign w:val="bottom"/>
            <w:gridSpan w:val="3"/>
          </w:tcPr>
          <w:p>
            <w:pPr>
              <w:spacing w:after="0"/>
              <w:rPr>
                <w:sz w:val="20"/>
                <w:szCs w:val="20"/>
                <w:color w:val="auto"/>
              </w:rPr>
            </w:pPr>
            <w:r>
              <w:rPr>
                <w:rFonts w:ascii="Arial" w:cs="Arial" w:eastAsia="Arial" w:hAnsi="Arial"/>
                <w:sz w:val="14"/>
                <w:szCs w:val="14"/>
                <w:color w:val="auto"/>
              </w:rPr>
              <w:t>101.INS</w:t>
            </w:r>
          </w:p>
        </w:tc>
        <w:tc>
          <w:tcPr>
            <w:tcW w:w="5520" w:type="dxa"/>
            <w:vAlign w:val="bottom"/>
          </w:tcPr>
          <w:p>
            <w:pPr>
              <w:ind w:left="240"/>
              <w:spacing w:after="0"/>
              <w:rPr>
                <w:sz w:val="20"/>
                <w:szCs w:val="20"/>
                <w:color w:val="auto"/>
              </w:rPr>
            </w:pPr>
            <w:r>
              <w:rPr>
                <w:rFonts w:ascii="Arial" w:cs="Arial" w:eastAsia="Arial" w:hAnsi="Arial"/>
                <w:sz w:val="14"/>
                <w:szCs w:val="14"/>
                <w:color w:val="auto"/>
              </w:rPr>
              <w:t>XBRL Instance Document</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gridSpan w:val="3"/>
          </w:tcPr>
          <w:p>
            <w:pPr>
              <w:spacing w:after="0"/>
              <w:rPr>
                <w:sz w:val="20"/>
                <w:szCs w:val="20"/>
                <w:color w:val="auto"/>
              </w:rPr>
            </w:pPr>
            <w:r>
              <w:rPr>
                <w:rFonts w:ascii="Arial" w:cs="Arial" w:eastAsia="Arial" w:hAnsi="Arial"/>
                <w:sz w:val="14"/>
                <w:szCs w:val="14"/>
                <w:color w:val="auto"/>
              </w:rPr>
              <w:t>101.SCH</w:t>
            </w:r>
          </w:p>
        </w:tc>
        <w:tc>
          <w:tcPr>
            <w:tcW w:w="5520" w:type="dxa"/>
            <w:vAlign w:val="bottom"/>
          </w:tcPr>
          <w:p>
            <w:pPr>
              <w:ind w:left="240"/>
              <w:spacing w:after="0"/>
              <w:rPr>
                <w:sz w:val="20"/>
                <w:szCs w:val="20"/>
                <w:color w:val="auto"/>
              </w:rPr>
            </w:pPr>
            <w:r>
              <w:rPr>
                <w:rFonts w:ascii="Arial" w:cs="Arial" w:eastAsia="Arial" w:hAnsi="Arial"/>
                <w:sz w:val="14"/>
                <w:szCs w:val="14"/>
                <w:color w:val="auto"/>
              </w:rPr>
              <w:t>XBRL Taxonomy Extension Schema Document</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gridSpan w:val="3"/>
          </w:tcPr>
          <w:p>
            <w:pPr>
              <w:spacing w:after="0"/>
              <w:rPr>
                <w:sz w:val="20"/>
                <w:szCs w:val="20"/>
                <w:color w:val="auto"/>
              </w:rPr>
            </w:pPr>
            <w:r>
              <w:rPr>
                <w:rFonts w:ascii="Arial" w:cs="Arial" w:eastAsia="Arial" w:hAnsi="Arial"/>
                <w:sz w:val="14"/>
                <w:szCs w:val="14"/>
                <w:color w:val="auto"/>
              </w:rPr>
              <w:t>101.CAL</w:t>
            </w:r>
          </w:p>
        </w:tc>
        <w:tc>
          <w:tcPr>
            <w:tcW w:w="5520" w:type="dxa"/>
            <w:vAlign w:val="bottom"/>
          </w:tcPr>
          <w:p>
            <w:pPr>
              <w:ind w:left="240"/>
              <w:spacing w:after="0"/>
              <w:rPr>
                <w:sz w:val="20"/>
                <w:szCs w:val="20"/>
                <w:color w:val="auto"/>
              </w:rPr>
            </w:pPr>
            <w:r>
              <w:rPr>
                <w:rFonts w:ascii="Arial" w:cs="Arial" w:eastAsia="Arial" w:hAnsi="Arial"/>
                <w:sz w:val="14"/>
                <w:szCs w:val="14"/>
                <w:color w:val="auto"/>
              </w:rPr>
              <w:t>XBRL Taxonomy Extension Calculation Linkbase Document</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gridSpan w:val="3"/>
          </w:tcPr>
          <w:p>
            <w:pPr>
              <w:spacing w:after="0"/>
              <w:rPr>
                <w:sz w:val="20"/>
                <w:szCs w:val="20"/>
                <w:color w:val="auto"/>
              </w:rPr>
            </w:pPr>
            <w:r>
              <w:rPr>
                <w:rFonts w:ascii="Arial" w:cs="Arial" w:eastAsia="Arial" w:hAnsi="Arial"/>
                <w:sz w:val="14"/>
                <w:szCs w:val="14"/>
                <w:color w:val="auto"/>
              </w:rPr>
              <w:t>101.DEF</w:t>
            </w:r>
          </w:p>
        </w:tc>
        <w:tc>
          <w:tcPr>
            <w:tcW w:w="5520" w:type="dxa"/>
            <w:vAlign w:val="bottom"/>
          </w:tcPr>
          <w:p>
            <w:pPr>
              <w:ind w:left="240"/>
              <w:spacing w:after="0"/>
              <w:rPr>
                <w:sz w:val="20"/>
                <w:szCs w:val="20"/>
                <w:color w:val="auto"/>
              </w:rPr>
            </w:pPr>
            <w:r>
              <w:rPr>
                <w:rFonts w:ascii="Arial" w:cs="Arial" w:eastAsia="Arial" w:hAnsi="Arial"/>
                <w:sz w:val="14"/>
                <w:szCs w:val="14"/>
                <w:color w:val="auto"/>
              </w:rPr>
              <w:t>XBRL Taxonomy Extension Definition Linkbase Document</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gridSpan w:val="3"/>
          </w:tcPr>
          <w:p>
            <w:pPr>
              <w:spacing w:after="0"/>
              <w:rPr>
                <w:sz w:val="20"/>
                <w:szCs w:val="20"/>
                <w:color w:val="auto"/>
              </w:rPr>
            </w:pPr>
            <w:r>
              <w:rPr>
                <w:rFonts w:ascii="Arial" w:cs="Arial" w:eastAsia="Arial" w:hAnsi="Arial"/>
                <w:sz w:val="14"/>
                <w:szCs w:val="14"/>
                <w:color w:val="auto"/>
              </w:rPr>
              <w:t>101.LAB</w:t>
            </w:r>
          </w:p>
        </w:tc>
        <w:tc>
          <w:tcPr>
            <w:tcW w:w="5520" w:type="dxa"/>
            <w:vAlign w:val="bottom"/>
          </w:tcPr>
          <w:p>
            <w:pPr>
              <w:ind w:left="240"/>
              <w:spacing w:after="0"/>
              <w:rPr>
                <w:sz w:val="20"/>
                <w:szCs w:val="20"/>
                <w:color w:val="auto"/>
              </w:rPr>
            </w:pPr>
            <w:r>
              <w:rPr>
                <w:rFonts w:ascii="Arial" w:cs="Arial" w:eastAsia="Arial" w:hAnsi="Arial"/>
                <w:sz w:val="14"/>
                <w:szCs w:val="14"/>
                <w:color w:val="auto"/>
              </w:rPr>
              <w:t>XBRL Taxonomy Extension Label Linkbase Document</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0" w:type="dxa"/>
            <w:vAlign w:val="bottom"/>
            <w:gridSpan w:val="3"/>
          </w:tcPr>
          <w:p>
            <w:pPr>
              <w:spacing w:after="0"/>
              <w:rPr>
                <w:sz w:val="20"/>
                <w:szCs w:val="20"/>
                <w:color w:val="auto"/>
              </w:rPr>
            </w:pPr>
            <w:r>
              <w:rPr>
                <w:rFonts w:ascii="Arial" w:cs="Arial" w:eastAsia="Arial" w:hAnsi="Arial"/>
                <w:sz w:val="14"/>
                <w:szCs w:val="14"/>
                <w:color w:val="auto"/>
              </w:rPr>
              <w:t>101.PRE</w:t>
            </w:r>
          </w:p>
        </w:tc>
        <w:tc>
          <w:tcPr>
            <w:tcW w:w="5520" w:type="dxa"/>
            <w:vAlign w:val="bottom"/>
          </w:tcPr>
          <w:p>
            <w:pPr>
              <w:ind w:left="240"/>
              <w:spacing w:after="0"/>
              <w:rPr>
                <w:sz w:val="20"/>
                <w:szCs w:val="20"/>
                <w:color w:val="auto"/>
              </w:rPr>
            </w:pPr>
            <w:r>
              <w:rPr>
                <w:rFonts w:ascii="Arial" w:cs="Arial" w:eastAsia="Arial" w:hAnsi="Arial"/>
                <w:sz w:val="14"/>
                <w:szCs w:val="14"/>
                <w:color w:val="auto"/>
              </w:rPr>
              <w:t>XBRL Taxonomy Extension Presentation Linkbase Document</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11" w:lineRule="exact"/>
        <w:rPr>
          <w:sz w:val="20"/>
          <w:szCs w:val="20"/>
          <w:color w:val="auto"/>
        </w:rPr>
      </w:pPr>
    </w:p>
    <w:p>
      <w:pPr>
        <w:sectPr>
          <w:pgSz w:w="11900" w:h="16838" w:orient="portrait"/>
          <w:cols w:equalWidth="0" w:num="2">
            <w:col w:w="10140" w:space="720"/>
            <w:col w:w="560"/>
          </w:cols>
          <w:pgMar w:left="240" w:top="1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108"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9"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980" w:type="dxa"/>
            <w:vAlign w:val="bottom"/>
            <w:gridSpan w:val="2"/>
          </w:tcPr>
          <w:p>
            <w:pPr>
              <w:ind w:left="3320"/>
              <w:spacing w:after="0"/>
              <w:rPr>
                <w:sz w:val="20"/>
                <w:szCs w:val="20"/>
                <w:color w:val="auto"/>
              </w:rPr>
            </w:pPr>
            <w:r>
              <w:rPr>
                <w:rFonts w:ascii="Arial" w:cs="Arial" w:eastAsia="Arial" w:hAnsi="Arial"/>
                <w:sz w:val="18"/>
                <w:szCs w:val="18"/>
                <w:color w:val="auto"/>
              </w:rPr>
              <w:t>RPX CORPORATION</w:t>
            </w:r>
          </w:p>
        </w:tc>
      </w:tr>
      <w:tr>
        <w:trPr>
          <w:trHeight w:val="270"/>
        </w:trPr>
        <w:tc>
          <w:tcPr>
            <w:tcW w:w="5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6980" w:type="dxa"/>
            <w:vAlign w:val="bottom"/>
            <w:gridSpan w:val="2"/>
          </w:tcPr>
          <w:p>
            <w:pPr>
              <w:ind w:left="3320"/>
              <w:spacing w:after="0"/>
              <w:rPr>
                <w:sz w:val="20"/>
                <w:szCs w:val="20"/>
                <w:color w:val="auto"/>
              </w:rPr>
            </w:pPr>
            <w:r>
              <w:rPr>
                <w:rFonts w:ascii="Arial" w:cs="Arial" w:eastAsia="Arial" w:hAnsi="Arial"/>
                <w:sz w:val="18"/>
                <w:szCs w:val="18"/>
                <w:color w:val="auto"/>
              </w:rPr>
              <w:t>(Registrant)</w:t>
            </w:r>
          </w:p>
        </w:tc>
      </w:tr>
      <w:tr>
        <w:trPr>
          <w:trHeight w:val="58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120"/>
              <w:spacing w:after="0"/>
              <w:rPr>
                <w:sz w:val="20"/>
                <w:szCs w:val="20"/>
                <w:color w:val="auto"/>
              </w:rPr>
            </w:pPr>
            <w:r>
              <w:rPr>
                <w:rFonts w:ascii="Arial" w:cs="Arial" w:eastAsia="Arial" w:hAnsi="Arial"/>
                <w:sz w:val="18"/>
                <w:szCs w:val="18"/>
                <w:color w:val="auto"/>
              </w:rPr>
              <w:t>November 2, 2017</w:t>
            </w:r>
          </w:p>
        </w:tc>
        <w:tc>
          <w:tcPr>
            <w:tcW w:w="3720" w:type="dxa"/>
            <w:vAlign w:val="bottom"/>
          </w:tcPr>
          <w:p>
            <w:pPr>
              <w:ind w:left="3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MARTIN E. ROBERTS</w:t>
            </w:r>
          </w:p>
        </w:tc>
      </w:tr>
      <w:tr>
        <w:trPr>
          <w:trHeight w:val="243"/>
        </w:trPr>
        <w:tc>
          <w:tcPr>
            <w:tcW w:w="5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260" w:type="dxa"/>
            <w:vAlign w:val="bottom"/>
          </w:tcPr>
          <w:p>
            <w:pPr>
              <w:ind w:left="280"/>
              <w:spacing w:after="0"/>
              <w:rPr>
                <w:sz w:val="20"/>
                <w:szCs w:val="20"/>
                <w:color w:val="auto"/>
              </w:rPr>
            </w:pPr>
            <w:r>
              <w:rPr>
                <w:rFonts w:ascii="Arial" w:cs="Arial" w:eastAsia="Arial" w:hAnsi="Arial"/>
                <w:sz w:val="18"/>
                <w:szCs w:val="18"/>
                <w:color w:val="auto"/>
              </w:rPr>
              <w:t>Martin E. Roberts</w:t>
            </w:r>
          </w:p>
        </w:tc>
      </w:tr>
      <w:tr>
        <w:trPr>
          <w:trHeight w:val="270"/>
        </w:trPr>
        <w:tc>
          <w:tcPr>
            <w:tcW w:w="5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3260" w:type="dxa"/>
            <w:vAlign w:val="bottom"/>
          </w:tcPr>
          <w:p>
            <w:pPr>
              <w:ind w:left="280"/>
              <w:spacing w:after="0"/>
              <w:rPr>
                <w:sz w:val="20"/>
                <w:szCs w:val="20"/>
                <w:color w:val="auto"/>
              </w:rPr>
            </w:pPr>
            <w:r>
              <w:rPr>
                <w:rFonts w:ascii="Arial" w:cs="Arial" w:eastAsia="Arial" w:hAnsi="Arial"/>
                <w:sz w:val="18"/>
                <w:szCs w:val="18"/>
                <w:color w:val="auto"/>
              </w:rPr>
              <w:t>Chief Executive Officer</w:t>
            </w:r>
          </w:p>
        </w:tc>
      </w:tr>
      <w:tr>
        <w:trPr>
          <w:trHeight w:val="270"/>
        </w:trPr>
        <w:tc>
          <w:tcPr>
            <w:tcW w:w="5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3260" w:type="dxa"/>
            <w:vAlign w:val="bottom"/>
          </w:tcPr>
          <w:p>
            <w:pPr>
              <w:ind w:left="280"/>
              <w:spacing w:after="0"/>
              <w:rPr>
                <w:sz w:val="20"/>
                <w:szCs w:val="20"/>
                <w:color w:val="auto"/>
              </w:rPr>
            </w:pPr>
            <w:r>
              <w:rPr>
                <w:rFonts w:ascii="Arial" w:cs="Arial" w:eastAsia="Arial" w:hAnsi="Arial"/>
                <w:sz w:val="18"/>
                <w:szCs w:val="18"/>
                <w:color w:val="auto"/>
              </w:rPr>
              <w:t>(Principal Executive Officer)</w:t>
            </w:r>
          </w:p>
        </w:tc>
      </w:tr>
      <w:tr>
        <w:trPr>
          <w:trHeight w:val="91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120"/>
              <w:spacing w:after="0"/>
              <w:rPr>
                <w:sz w:val="20"/>
                <w:szCs w:val="20"/>
                <w:color w:val="auto"/>
              </w:rPr>
            </w:pPr>
            <w:r>
              <w:rPr>
                <w:rFonts w:ascii="Arial" w:cs="Arial" w:eastAsia="Arial" w:hAnsi="Arial"/>
                <w:sz w:val="18"/>
                <w:szCs w:val="18"/>
                <w:color w:val="auto"/>
              </w:rPr>
              <w:t>November 2, 2017</w:t>
            </w:r>
          </w:p>
        </w:tc>
        <w:tc>
          <w:tcPr>
            <w:tcW w:w="3720" w:type="dxa"/>
            <w:vAlign w:val="bottom"/>
          </w:tcPr>
          <w:p>
            <w:pPr>
              <w:ind w:left="332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DAVID J. ANDERSON</w:t>
            </w:r>
          </w:p>
        </w:tc>
      </w:tr>
      <w:tr>
        <w:trPr>
          <w:trHeight w:val="243"/>
        </w:trPr>
        <w:tc>
          <w:tcPr>
            <w:tcW w:w="5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260" w:type="dxa"/>
            <w:vAlign w:val="bottom"/>
          </w:tcPr>
          <w:p>
            <w:pPr>
              <w:ind w:left="280"/>
              <w:spacing w:after="0"/>
              <w:rPr>
                <w:sz w:val="20"/>
                <w:szCs w:val="20"/>
                <w:color w:val="auto"/>
              </w:rPr>
            </w:pPr>
            <w:r>
              <w:rPr>
                <w:rFonts w:ascii="Arial" w:cs="Arial" w:eastAsia="Arial" w:hAnsi="Arial"/>
                <w:sz w:val="18"/>
                <w:szCs w:val="18"/>
                <w:color w:val="auto"/>
              </w:rPr>
              <w:t>David J. Anderson</w:t>
            </w:r>
          </w:p>
        </w:tc>
      </w:tr>
      <w:tr>
        <w:trPr>
          <w:trHeight w:val="270"/>
        </w:trPr>
        <w:tc>
          <w:tcPr>
            <w:tcW w:w="5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3260" w:type="dxa"/>
            <w:vAlign w:val="bottom"/>
          </w:tcPr>
          <w:p>
            <w:pPr>
              <w:ind w:left="28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3260" w:type="dxa"/>
            <w:vAlign w:val="bottom"/>
          </w:tcPr>
          <w:p>
            <w:pPr>
              <w:ind w:left="280"/>
              <w:spacing w:after="0"/>
              <w:rPr>
                <w:sz w:val="20"/>
                <w:szCs w:val="20"/>
                <w:color w:val="auto"/>
              </w:rPr>
            </w:pPr>
            <w:r>
              <w:rPr>
                <w:rFonts w:ascii="Arial" w:cs="Arial" w:eastAsia="Arial" w:hAnsi="Arial"/>
                <w:sz w:val="18"/>
                <w:szCs w:val="18"/>
                <w:color w:val="auto"/>
              </w:rPr>
              <w:t>(Principal Financial Officer)</w:t>
            </w:r>
          </w:p>
        </w:tc>
      </w:tr>
      <w:tr>
        <w:trPr>
          <w:trHeight w:val="689"/>
        </w:trPr>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720" w:type="dxa"/>
            <w:vAlign w:val="bottom"/>
          </w:tcPr>
          <w:p>
            <w:pPr>
              <w:ind w:left="1720"/>
              <w:spacing w:after="0"/>
              <w:rPr>
                <w:sz w:val="20"/>
                <w:szCs w:val="20"/>
                <w:color w:val="auto"/>
              </w:rPr>
            </w:pPr>
            <w:r>
              <w:rPr>
                <w:rFonts w:ascii="Arial" w:cs="Arial" w:eastAsia="Arial" w:hAnsi="Arial"/>
                <w:sz w:val="18"/>
                <w:szCs w:val="18"/>
                <w:color w:val="auto"/>
              </w:rPr>
              <w:t>52</w:t>
            </w:r>
          </w:p>
        </w:tc>
        <w:tc>
          <w:tcPr>
            <w:tcW w:w="3260" w:type="dxa"/>
            <w:vAlign w:val="bottom"/>
          </w:tcPr>
          <w:p>
            <w:pPr>
              <w:spacing w:after="0"/>
              <w:rPr>
                <w:sz w:val="24"/>
                <w:szCs w:val="24"/>
                <w:color w:val="auto"/>
              </w:rPr>
            </w:pPr>
          </w:p>
        </w:tc>
      </w:tr>
    </w:tbl>
    <w:p>
      <w:pPr>
        <w:sectPr>
          <w:pgSz w:w="11900" w:h="16838" w:orient="portrait"/>
          <w:cols w:equalWidth="0" w:num="1">
            <w:col w:w="11380"/>
          </w:cols>
          <w:pgMar w:left="240" w:top="140" w:right="2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Martin E. Roberts, certify that:</w:t>
      </w:r>
    </w:p>
    <w:p>
      <w:pPr>
        <w:spacing w:after="0" w:line="90" w:lineRule="exact"/>
        <w:rPr>
          <w:sz w:val="20"/>
          <w:szCs w:val="20"/>
          <w:color w:val="auto"/>
        </w:rPr>
      </w:pPr>
    </w:p>
    <w:p>
      <w:pPr>
        <w:ind w:left="880" w:hanging="46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ind w:left="880" w:right="40" w:hanging="467"/>
        <w:spacing w:after="0" w:line="25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880" w:right="80" w:hanging="467"/>
        <w:spacing w:after="0" w:line="25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880" w:right="180" w:hanging="467"/>
        <w:spacing w:after="0" w:line="25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300" w:right="180" w:hanging="428"/>
        <w:spacing w:after="0" w:line="25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300" w:right="160" w:hanging="428"/>
        <w:spacing w:after="0" w:line="25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300" w:right="100" w:hanging="428"/>
        <w:spacing w:after="0" w:line="25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300" w:right="240" w:hanging="428"/>
        <w:spacing w:after="0" w:line="25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880" w:right="80" w:hanging="467"/>
        <w:spacing w:after="0" w:line="25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left="1300" w:right="100" w:hanging="428"/>
        <w:spacing w:after="0" w:line="25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300" w:right="20" w:hanging="428"/>
        <w:spacing w:after="0" w:line="262"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Martin E. Roberts</w:t>
      </w:r>
    </w:p>
    <w:p>
      <w:pPr>
        <w:spacing w:after="0" w:line="4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David J. Anderson, certify that:</w:t>
      </w:r>
    </w:p>
    <w:p>
      <w:pPr>
        <w:spacing w:after="0" w:line="90" w:lineRule="exact"/>
        <w:rPr>
          <w:sz w:val="20"/>
          <w:szCs w:val="20"/>
          <w:color w:val="auto"/>
        </w:rPr>
      </w:pPr>
    </w:p>
    <w:p>
      <w:pPr>
        <w:ind w:left="880" w:hanging="46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ind w:left="880" w:right="40" w:hanging="467"/>
        <w:spacing w:after="0" w:line="25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880" w:right="80" w:hanging="467"/>
        <w:spacing w:after="0" w:line="25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880" w:right="180" w:hanging="467"/>
        <w:spacing w:after="0" w:line="25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300" w:right="180" w:hanging="428"/>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300" w:right="160" w:hanging="428"/>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300" w:right="100" w:hanging="428"/>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300" w:right="240" w:hanging="428"/>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880" w:right="80" w:hanging="467"/>
        <w:spacing w:after="0" w:line="25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ind w:left="1300" w:right="100" w:hanging="428"/>
        <w:spacing w:after="0" w:line="256"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300" w:right="20" w:hanging="428"/>
        <w:spacing w:after="0" w:line="262"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Anderson</w:t>
      </w:r>
    </w:p>
    <w:p>
      <w:pPr>
        <w:spacing w:after="0" w:line="4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Quarterly Report on Form 10-Q for the fiscal quarter ended September 30, 2017 of RPX Corporation, (the “Company”) as filed with the Securities and Exchange Commission on the date hereof (the “Report”), I, Martin E. Roberts,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880" w:hanging="46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right="280" w:hanging="467"/>
        <w:spacing w:after="0" w:line="262"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Martin E. Roberts</w:t>
      </w:r>
    </w:p>
    <w:p>
      <w:pPr>
        <w:spacing w:after="0" w:line="4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Quarterly Report on Form 10-Q for the fiscal quarter ended September 30, 2017 of RPX Corporation, (the “Company”) as filed with the Securities and Exchange Commission on the date hereof (the “Report”), I, David J. Anderson, Senior Vice President &amp; Chief Financial Officer of the Company, certify, pursuant to 18 U.S.C. Section 1350, as adopted pursuant to Section 906 of the Sarbanes-Oxley Act of 2002, that:</w:t>
      </w:r>
    </w:p>
    <w:p>
      <w:pPr>
        <w:spacing w:after="0" w:line="69" w:lineRule="exact"/>
        <w:rPr>
          <w:sz w:val="20"/>
          <w:szCs w:val="20"/>
          <w:color w:val="auto"/>
        </w:rPr>
      </w:pPr>
    </w:p>
    <w:p>
      <w:pPr>
        <w:ind w:left="880" w:hanging="46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right="280" w:hanging="467"/>
        <w:spacing w:after="0" w:line="262"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Anderson</w:t>
      </w:r>
    </w:p>
    <w:p>
      <w:pPr>
        <w:spacing w:after="0" w:line="4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decimal"/>
      <w:start w:val="15"/>
    </w:lvl>
  </w:abstractNum>
  <w:abstractNum w:abstractNumId="18">
    <w:nsid w:val="B03E0C6"/>
    <w:multiLevelType w:val="hybridMultilevel"/>
    <w:lvl w:ilvl="0">
      <w:lvlJc w:val="left"/>
      <w:lvlText w:val="%1."/>
      <w:numFmt w:val="decimal"/>
      <w:start w:val="16"/>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7"/>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Archives/edgar/data/1509432/000119312511012087/dex32.htm" TargetMode="External"/><Relationship Id="rId12" Type="http://schemas.openxmlformats.org/officeDocument/2006/relationships/hyperlink" Target="http://www.sec.gov/Archives/edgar/data/1509432/000150943215000120/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2019-12-29T03:48:08Z</dcterms:created>
  <dcterms:modified xsi:type="dcterms:W3CDTF">2019-12-29T03:48:08Z</dcterms:modified>
</cp:coreProperties>
</file>