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ANNUAL REPORT PURSUANT TO SECTION 13 OR 15(d) OF THE SECURITIES EXCHANGE ACT OF 1934 FOR</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FISCAL YEAR ENDED DECEMBER 31, 2013</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ind w:left="260" w:hanging="252"/>
        <w:spacing w:after="0" w:line="205" w:lineRule="auto"/>
        <w:tabs>
          <w:tab w:leader="none" w:pos="260" w:val="left"/>
        </w:tabs>
        <w:numPr>
          <w:ilvl w:val="0"/>
          <w:numId w:val="1"/>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241" w:lineRule="exact"/>
        <w:rPr>
          <w:sz w:val="24"/>
          <w:szCs w:val="24"/>
          <w:color w:val="auto"/>
        </w:rPr>
      </w:pPr>
    </w:p>
    <w:p>
      <w:pPr>
        <w:spacing w:after="0"/>
        <w:tabs>
          <w:tab w:leader="none" w:pos="46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40"/>
          </w:cols>
          <w:pgMar w:left="240" w:top="233" w:right="31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(866) 779-7641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40"/>
          </w:cols>
          <w:pgMar w:left="240" w:top="233" w:right="31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left="226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580" w:space="720"/>
            <w:col w:w="4040"/>
          </w:cols>
          <w:pgMar w:left="240" w:top="233" w:right="319" w:bottom="1440" w:gutter="0" w:footer="0" w:header="0"/>
          <w:type w:val="continuous"/>
        </w:sectPr>
      </w:pPr>
    </w:p>
    <w:p>
      <w:pPr>
        <w:ind w:left="1500"/>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02" w:lineRule="exact"/>
        <w:rPr>
          <w:sz w:val="24"/>
          <w:szCs w:val="24"/>
          <w:color w:val="auto"/>
        </w:rPr>
      </w:pPr>
    </w:p>
    <w:p>
      <w:pPr>
        <w:sectPr>
          <w:pgSz w:w="11900" w:h="16838" w:orient="portrait"/>
          <w:cols w:equalWidth="0" w:num="2">
            <w:col w:w="6680" w:space="720"/>
            <w:col w:w="394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40"/>
          </w:cols>
          <w:pgMar w:left="240" w:top="233" w:right="31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2"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ectPr>
          <w:pgSz w:w="11900" w:h="16838" w:orient="portrait"/>
          <w:cols w:equalWidth="0" w:num="4">
            <w:col w:w="7620" w:space="160"/>
            <w:col w:w="300" w:space="80"/>
            <w:col w:w="140" w:space="180"/>
            <w:col w:w="2860"/>
          </w:cols>
          <w:pgMar w:left="240" w:top="233" w:right="31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ectPr>
          <w:pgSz w:w="11900" w:h="16838" w:orient="portrait"/>
          <w:cols w:equalWidth="0" w:num="4">
            <w:col w:w="7760" w:space="160"/>
            <w:col w:w="300" w:space="80"/>
            <w:col w:w="160" w:space="160"/>
            <w:col w:w="2720"/>
          </w:cols>
          <w:pgMar w:left="240" w:top="233" w:right="319" w:bottom="1440" w:gutter="0" w:footer="0" w:header="0"/>
          <w:type w:val="continuous"/>
        </w:sect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6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51" w:lineRule="exact"/>
        <w:rPr>
          <w:sz w:val="24"/>
          <w:szCs w:val="24"/>
          <w:color w:val="auto"/>
        </w:rPr>
      </w:pPr>
    </w:p>
    <w:p>
      <w:pPr>
        <w:ind w:right="26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98" w:lineRule="exact"/>
        <w:rPr>
          <w:sz w:val="24"/>
          <w:szCs w:val="24"/>
          <w:color w:val="auto"/>
        </w:rPr>
      </w:pPr>
    </w:p>
    <w:p>
      <w:pPr>
        <w:sectPr>
          <w:pgSz w:w="11900" w:h="16838" w:orient="portrait"/>
          <w:cols w:equalWidth="0" w:num="4">
            <w:col w:w="2080" w:space="720"/>
            <w:col w:w="4980" w:space="720"/>
            <w:col w:w="1880" w:space="720"/>
            <w:col w:w="240"/>
          </w:cols>
          <w:pgMar w:left="240" w:top="233" w:right="319" w:bottom="144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5">
            <w:col w:w="2100" w:space="720"/>
            <w:col w:w="140" w:space="40"/>
            <w:col w:w="4780" w:space="720"/>
            <w:col w:w="1880" w:space="720"/>
            <w:col w:w="2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1" w:lineRule="exact"/>
        <w:rPr>
          <w:sz w:val="20"/>
          <w:szCs w:val="20"/>
          <w:color w:val="auto"/>
        </w:rPr>
      </w:pPr>
    </w:p>
    <w:p>
      <w:pPr>
        <w:spacing w:after="0" w:line="184" w:lineRule="exact"/>
        <w:tabs>
          <w:tab w:leader="none" w:pos="6820" w:val="left"/>
          <w:tab w:leader="none" w:pos="7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 aggregate market value of the common stock held by non-affiliates of the registrant was $648.6 million as of June 28, 2013, which is the last business day of the registrant’s most recently completed second fiscal quarter, based upon the closing sale price on The NASDAQ Global Select Market reported for such date. Shares of common stock held by each officer and director and by each person that owned 5 percent or more of the Registrant</w:t>
      </w:r>
      <w:r>
        <w:rPr>
          <w:rFonts w:ascii="Arial" w:cs="Arial" w:eastAsia="Arial" w:hAnsi="Arial"/>
          <w:sz w:val="17"/>
          <w:szCs w:val="17"/>
          <w:color w:val="auto"/>
        </w:rPr>
        <w:t>’</w:t>
      </w:r>
      <w:r>
        <w:rPr>
          <w:rFonts w:ascii="Arial" w:cs="Arial" w:eastAsia="Arial" w:hAnsi="Arial"/>
          <w:sz w:val="15"/>
          <w:szCs w:val="15"/>
          <w:color w:val="auto"/>
        </w:rPr>
        <w:t>s outstanding Common Stock were excluded due to the fact that such persons may be deemed to be affiliates. This determination of affiliate status is not necessarily a conclusive determination for other purposes.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 were 52,903,058 shares of the registrant’s common stock issued and outstanding as of February 28, 2014.</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Portions of the Definitive Proxy Statement for registrant’s 2014 Annual Meeting of Stockholders (the “2014 Proxy Statement”), are incorporated by reference in Part III of this Form 10-K to the extent stated herein. The 2014 Proxy Statement will be filed within 120 days of the registrant’s fiscal year ended December 31, 2013.</w:t>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0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00" w:type="dxa"/>
            <w:vAlign w:val="bottom"/>
            <w:gridSpan w:val="2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640" w:type="dxa"/>
            <w:vAlign w:val="bottom"/>
            <w:gridSpan w:val="1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5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PART II</w:t>
              </w:r>
            </w:hyperlink>
          </w:p>
        </w:tc>
        <w:tc>
          <w:tcPr>
            <w:tcW w:w="380" w:type="dxa"/>
            <w:vAlign w:val="bottom"/>
            <w:gridSpan w:val="2"/>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2"/>
          </w:tcPr>
          <w:p>
            <w:pPr>
              <w:spacing w:after="0"/>
              <w:rPr>
                <w:sz w:val="24"/>
                <w:szCs w:val="24"/>
                <w:color w:val="auto"/>
              </w:rPr>
            </w:pPr>
          </w:p>
        </w:tc>
        <w:tc>
          <w:tcPr>
            <w:tcW w:w="8080" w:type="dxa"/>
            <w:vAlign w:val="bottom"/>
            <w:gridSpan w:val="2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2700" w:type="dxa"/>
            <w:vAlign w:val="bottom"/>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Consolidated Financial Data</w:t>
              </w:r>
            </w:hyperlink>
          </w:p>
        </w:tc>
        <w:tc>
          <w:tcPr>
            <w:tcW w:w="5380" w:type="dxa"/>
            <w:vAlign w:val="bottom"/>
            <w:gridSpan w:val="10"/>
          </w:tcPr>
          <w:p>
            <w:pPr>
              <w:spacing w:after="0"/>
              <w:rPr>
                <w:sz w:val="21"/>
                <w:szCs w:val="21"/>
                <w:color w:val="auto"/>
              </w:rPr>
            </w:pPr>
          </w:p>
        </w:tc>
        <w:tc>
          <w:tcPr>
            <w:tcW w:w="146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8.</w:t>
            </w:r>
          </w:p>
        </w:tc>
        <w:tc>
          <w:tcPr>
            <w:tcW w:w="4320" w:type="dxa"/>
            <w:vAlign w:val="bottom"/>
            <w:gridSpan w:val="1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Financial Statements and Supplementary Data</w:t>
              </w:r>
            </w:hyperlink>
          </w:p>
        </w:tc>
        <w:tc>
          <w:tcPr>
            <w:tcW w:w="522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78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rPr>
                <w:rFonts w:ascii="Arial" w:cs="Arial" w:eastAsia="Arial" w:hAnsi="Arial"/>
                <w:sz w:val="18"/>
                <w:szCs w:val="18"/>
                <w:b w:val="1"/>
                <w:bCs w:val="1"/>
                <w:color w:val="0000EE"/>
                <w:w w:val="95"/>
              </w:rPr>
            </w:pPr>
            <w:hyperlink w:anchor="page66">
              <w:r>
                <w:rPr>
                  <w:rFonts w:ascii="Arial" w:cs="Arial" w:eastAsia="Arial" w:hAnsi="Arial"/>
                  <w:sz w:val="18"/>
                  <w:szCs w:val="18"/>
                  <w:b w:val="1"/>
                  <w:bCs w:val="1"/>
                  <w:color w:val="0000EE"/>
                  <w:w w:val="95"/>
                </w:rPr>
                <w:t>PART III</w:t>
              </w:r>
            </w:hyperlink>
          </w:p>
        </w:tc>
        <w:tc>
          <w:tcPr>
            <w:tcW w:w="34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34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Executive Compensation</w:t>
              </w:r>
            </w:hyperlink>
          </w:p>
        </w:tc>
        <w:tc>
          <w:tcPr>
            <w:tcW w:w="2280" w:type="dxa"/>
            <w:vAlign w:val="bottom"/>
            <w:gridSpan w:val="4"/>
          </w:tcPr>
          <w:p>
            <w:pPr>
              <w:spacing w:after="0"/>
              <w:rPr>
                <w:sz w:val="21"/>
                <w:szCs w:val="21"/>
                <w:color w:val="auto"/>
              </w:rPr>
            </w:pPr>
          </w:p>
        </w:tc>
        <w:tc>
          <w:tcPr>
            <w:tcW w:w="546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54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41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IV</w:t>
              </w:r>
            </w:hyperlink>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4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and Consolidated Financial Statement Schedules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980" w:type="dxa"/>
            <w:vAlign w:val="bottom"/>
            <w:gridSpan w:val="8"/>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b w:val="1"/>
                <w:bCs w:val="1"/>
                <w:color w:val="0000EE"/>
                <w:w w:val="96"/>
              </w:rPr>
            </w:pPr>
            <w:hyperlink w:anchor="page69">
              <w:r>
                <w:rPr>
                  <w:rFonts w:ascii="Arial" w:cs="Arial" w:eastAsia="Arial" w:hAnsi="Arial"/>
                  <w:sz w:val="18"/>
                  <w:szCs w:val="18"/>
                  <w:b w:val="1"/>
                  <w:bCs w:val="1"/>
                  <w:color w:val="0000EE"/>
                  <w:w w:val="96"/>
                </w:rPr>
                <w:t>SIGNATURES</w:t>
              </w:r>
            </w:hyperlink>
          </w:p>
        </w:tc>
        <w:tc>
          <w:tcPr>
            <w:tcW w:w="2980" w:type="dxa"/>
            <w:vAlign w:val="bottom"/>
            <w:gridSpan w:val="8"/>
          </w:tcPr>
          <w:p>
            <w:pPr>
              <w:spacing w:after="0"/>
              <w:rPr>
                <w:sz w:val="21"/>
                <w:szCs w:val="21"/>
                <w:color w:val="auto"/>
              </w:rPr>
            </w:pPr>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EXHIBITS</w:t>
              </w:r>
            </w:hyperlink>
          </w:p>
        </w:tc>
        <w:tc>
          <w:tcPr>
            <w:tcW w:w="838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81"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and competitive position.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7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RPX Corporation (together with its subsidiaries, “RPX”, “the Company”, “our”, “we” or “us”) was incorporated on July 15, 2008 in the state of Delaware. We help companies reduce patent-related risk and expense. Products and services in today’s economy increasingly incorporate innovative and complex technologies that are subject to a growing number of issued patents. As a result of this technology and patent proliferation, companies of all sizes can face significant challenges managing the risks and expenses arising from claims that their products and services infringe on patents owned by others.</w:t>
      </w:r>
    </w:p>
    <w:p>
      <w:pPr>
        <w:spacing w:after="0" w:line="15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believe the process by which value is transferred from users to owners of patents lacks key attributes of more developed markets, such as an open exchange to execute transactions, transparent pricing information and broadly accepted standard contract terms. Because an orderly and efficient market for the exchange of patent value has yet to develop, this transfer of value is currently driven by litigation or the threat of litigation. Patent litigation today is a multi-billion dollar industry.</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patent risk management solution facilitates more efficient exchanges of value between owners and users of patents compared to transactions driven by actual or threatened litigation. The core of our solution is defensive patent aggregation, in which we acquire patents and licenses to patents that are being or may be asserted against our current and prospective clients. We then license these patent assets to our clients to protect them from potential patent infringement assertions. We believe our solution allows clients to mitigate patent risk at a lower cost than they would be able to achieve through other approaches. We also provide our clients with access to our proprietary patent market intelligence and data. We refer to patents, licenses to patents, patent rights and acquired covenants not to sue specific companies collectively as “patent assets.”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solution offers the following benefits to our clients:</w:t>
      </w:r>
    </w:p>
    <w:p>
      <w:pPr>
        <w:spacing w:after="0" w:line="77" w:lineRule="exact"/>
        <w:rPr>
          <w:sz w:val="20"/>
          <w:szCs w:val="20"/>
          <w:color w:val="auto"/>
        </w:rPr>
      </w:pPr>
    </w:p>
    <w:p>
      <w:pPr>
        <w:ind w:left="820" w:right="6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license and acquire many that are being or may be asserted against our clients or potential clients. Our clients have no litigation risk related to the patents that we own.</w:t>
      </w:r>
    </w:p>
    <w:p>
      <w:pPr>
        <w:spacing w:after="0" w:line="32"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typically based on a client’s historical financial results. Accordingly, our subscription fee</w:t>
      </w:r>
      <w:r>
        <w:rPr>
          <w:rFonts w:ascii="Arial" w:cs="Arial" w:eastAsia="Arial" w:hAnsi="Arial"/>
          <w:sz w:val="18"/>
          <w:szCs w:val="18"/>
          <w:i w:val="1"/>
          <w:iCs w:val="1"/>
          <w:color w:val="auto"/>
        </w:rPr>
        <w:t xml:space="preserve"> </w:t>
      </w:r>
      <w:r>
        <w:rPr>
          <w:rFonts w:ascii="Arial" w:cs="Arial" w:eastAsia="Arial" w:hAnsi="Arial"/>
          <w:sz w:val="18"/>
          <w:szCs w:val="18"/>
          <w:color w:val="auto"/>
        </w:rPr>
        <w:t>is predictable for our clients. We believe our approach to pricing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9" w:lineRule="exact"/>
        <w:rPr>
          <w:rFonts w:ascii="Arial" w:cs="Arial" w:eastAsia="Arial" w:hAnsi="Arial"/>
          <w:sz w:val="18"/>
          <w:szCs w:val="18"/>
          <w:color w:val="auto"/>
        </w:rPr>
      </w:pPr>
    </w:p>
    <w:p>
      <w:pPr>
        <w:ind w:left="820" w:right="4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820" w:right="120"/>
        <w:spacing w:after="0" w:line="324" w:lineRule="auto"/>
        <w:rPr>
          <w:sz w:val="20"/>
          <w:szCs w:val="20"/>
          <w:color w:val="auto"/>
        </w:rPr>
      </w:pPr>
      <w:r>
        <w:rPr>
          <w:rFonts w:ascii="Arial" w:cs="Arial" w:eastAsia="Arial" w:hAnsi="Arial"/>
          <w:sz w:val="18"/>
          <w:szCs w:val="18"/>
          <w:color w:val="auto"/>
        </w:rPr>
        <w:t>market. As part of their subscription, our clients have access to this information through our proprietary web portal and through discussions with our client relations team.</w:t>
      </w:r>
    </w:p>
    <w:p>
      <w:pPr>
        <w:spacing w:after="0" w:line="14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Insuring against the cost of non-practicing entity (“NPE”) litigation expense is a natural extension of our core defensive patent aggregation service. In August 2012, we started to offer NPE patent infringement litigation expense insurance, which is a liability insurance policy for operating companies that covers certain costs associated with patent infringement lawsuits by NPEs. The insurance product complements our core defensive patent acquisition service, enabling policyholders, who must be members of our client network, to better manage and mitigate the risk of NPE patent litigation.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United States Constitution empowers Congress “to promote the progress of science and the useful arts by securing for limited times to authors and inventors the exclusive right to their respective writings and discoveries” through the grant of patents. Patent rights are a key component of a knowledge-based economy and are assets that can be bought, sold or licensed. We refer to the market in which participants exchange value related to patents as the “patent market.”</w:t>
      </w:r>
    </w:p>
    <w:p>
      <w:pPr>
        <w:spacing w:after="0" w:line="187"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Patent litigation risk plagues operating companies of all sizes, has the potential to significantly disrupt business activities and distract from normal business operations, and can have a significant adverse financial impact on industry participants. We believe the extensive use of litigation and the threat of litigation prevents efficient transactions between the principal participants in the market: patent owners and operating companies.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Monetization of Patents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Historically, the following fundamental attributes of patents have enabled patent monetization:</w:t>
      </w:r>
    </w:p>
    <w:p>
      <w:pPr>
        <w:spacing w:after="0" w:line="77" w:lineRule="exact"/>
        <w:rPr>
          <w:sz w:val="20"/>
          <w:szCs w:val="20"/>
          <w:color w:val="auto"/>
        </w:rPr>
      </w:pPr>
    </w:p>
    <w:p>
      <w:pPr>
        <w:ind w:left="820" w:right="14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Provide a Limited Monopoly </w:t>
      </w:r>
      <w:r>
        <w:rPr>
          <w:rFonts w:ascii="Arial" w:cs="Arial" w:eastAsia="Arial" w:hAnsi="Arial"/>
          <w:sz w:val="18"/>
          <w:szCs w:val="18"/>
          <w:color w:val="auto"/>
        </w:rPr>
        <w:t>– In exchange for public disclosure of an invention, a patent owner is granted a monopoly over the use of a</w:t>
      </w:r>
      <w:r>
        <w:rPr>
          <w:rFonts w:ascii="Arial" w:cs="Arial" w:eastAsia="Arial" w:hAnsi="Arial"/>
          <w:sz w:val="18"/>
          <w:szCs w:val="18"/>
          <w:i w:val="1"/>
          <w:iCs w:val="1"/>
          <w:color w:val="auto"/>
        </w:rPr>
        <w:t xml:space="preserve"> </w:t>
      </w:r>
      <w:r>
        <w:rPr>
          <w:rFonts w:ascii="Arial" w:cs="Arial" w:eastAsia="Arial" w:hAnsi="Arial"/>
          <w:sz w:val="18"/>
          <w:szCs w:val="18"/>
          <w:color w:val="auto"/>
        </w:rPr>
        <w:t>patented invention for a specified period, typically 20 years from the filing of the patent application.</w:t>
      </w:r>
    </w:p>
    <w:p>
      <w:pPr>
        <w:spacing w:after="0" w:line="21" w:lineRule="exact"/>
        <w:rPr>
          <w:rFonts w:ascii="Arial" w:cs="Arial" w:eastAsia="Arial" w:hAnsi="Arial"/>
          <w:sz w:val="18"/>
          <w:szCs w:val="18"/>
          <w:color w:val="auto"/>
        </w:rPr>
      </w:pPr>
    </w:p>
    <w:p>
      <w:pPr>
        <w:ind w:left="820" w:right="60" w:hanging="326"/>
        <w:spacing w:after="0" w:line="276"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Patents Confer Negative Rights </w:t>
      </w:r>
      <w:r>
        <w:rPr>
          <w:rFonts w:ascii="Arial" w:cs="Arial" w:eastAsia="Arial" w:hAnsi="Arial"/>
          <w:sz w:val="17"/>
          <w:szCs w:val="17"/>
          <w:color w:val="auto"/>
        </w:rPr>
        <w:t>– Patent rights are negative rights, meaning that they generally enable a patent owner to exclude others from</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exploitation of a patented invention, regardless of whether the patent owner has the resources to manufacture or commercialize the invention. As the owner of a negative right, a patent owner has recourse through litigation to prevent others from using, making, offering for sale or selling the patented invention. Even when the patented invention is only a component of a broader product or service, the negative right can be enforced against any product or service that incorporates the component.</w:t>
      </w:r>
    </w:p>
    <w:p>
      <w:pPr>
        <w:spacing w:after="0" w:line="23" w:lineRule="exact"/>
        <w:rPr>
          <w:rFonts w:ascii="Arial" w:cs="Arial" w:eastAsia="Arial" w:hAnsi="Arial"/>
          <w:sz w:val="17"/>
          <w:szCs w:val="17"/>
          <w:color w:val="auto"/>
        </w:rPr>
      </w:pPr>
    </w:p>
    <w:p>
      <w:pPr>
        <w:ind w:left="820" w:right="340" w:hanging="326"/>
        <w:spacing w:after="0" w:line="325"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Patents May Be Licensed and are Infinitely Divisible </w:t>
      </w:r>
      <w:r>
        <w:rPr>
          <w:rFonts w:ascii="Arial" w:cs="Arial" w:eastAsia="Arial" w:hAnsi="Arial"/>
          <w:sz w:val="16"/>
          <w:szCs w:val="16"/>
          <w:color w:val="auto"/>
        </w:rPr>
        <w:t>– A patent owner can authorize the use of the patented invention by one or more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in exchange for licensing fees. There is no legal limit to the amount of licenses a patent owner can provide to market participants.</w:t>
      </w:r>
    </w:p>
    <w:p>
      <w:pPr>
        <w:spacing w:after="0" w:line="1" w:lineRule="exact"/>
        <w:rPr>
          <w:rFonts w:ascii="Arial" w:cs="Arial" w:eastAsia="Arial" w:hAnsi="Arial"/>
          <w:sz w:val="16"/>
          <w:szCs w:val="16"/>
          <w:color w:val="auto"/>
        </w:rPr>
      </w:pPr>
    </w:p>
    <w:p>
      <w:pPr>
        <w:ind w:left="820" w:right="20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Are Assets That Can Be Transferred </w:t>
      </w:r>
      <w:r>
        <w:rPr>
          <w:rFonts w:ascii="Arial" w:cs="Arial" w:eastAsia="Arial" w:hAnsi="Arial"/>
          <w:sz w:val="18"/>
          <w:szCs w:val="18"/>
          <w:color w:val="auto"/>
        </w:rPr>
        <w:t>– A patent can be sold, in which case the negative right and monopoly associated with the patented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 are transferred to the buyer. When a patent is sold, the buyer’s negative rights may be constrained by licenses granted by previous owners.</w:t>
      </w:r>
    </w:p>
    <w:p>
      <w:pPr>
        <w:spacing w:after="0" w:line="18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22" w:lineRule="exact"/>
        <w:rPr>
          <w:sz w:val="20"/>
          <w:szCs w:val="20"/>
          <w:color w:val="auto"/>
        </w:rPr>
      </w:pPr>
    </w:p>
    <w:p>
      <w:pPr>
        <w:ind w:left="820" w:hanging="32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Improved Search Capabilities </w:t>
      </w:r>
      <w:r>
        <w:rPr>
          <w:rFonts w:ascii="Arial" w:cs="Arial" w:eastAsia="Arial" w:hAnsi="Arial"/>
          <w:sz w:val="18"/>
          <w:szCs w:val="18"/>
          <w:color w:val="auto"/>
        </w:rPr>
        <w:t>– The entire database of United States patents is searchable on the Internet, enabling patent investors to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patents and their owners. The Internet also makes it much easier for patent owners to identify and research products and services that may relate to their patents.</w:t>
      </w:r>
    </w:p>
    <w:p>
      <w:pPr>
        <w:spacing w:after="0" w:line="32"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Rate of Issuance of Technology Patents </w:t>
      </w:r>
      <w:r>
        <w:rPr>
          <w:rFonts w:ascii="Arial" w:cs="Arial" w:eastAsia="Arial" w:hAnsi="Arial"/>
          <w:sz w:val="18"/>
          <w:szCs w:val="18"/>
          <w:color w:val="auto"/>
        </w:rPr>
        <w:t>– Patents issued with class code identifiers that we classify as technology-related patents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doubled in the past 10 years.</w:t>
      </w:r>
    </w:p>
    <w:p>
      <w:pPr>
        <w:spacing w:after="0" w:line="21" w:lineRule="exact"/>
        <w:rPr>
          <w:rFonts w:ascii="Arial" w:cs="Arial" w:eastAsia="Arial" w:hAnsi="Arial"/>
          <w:sz w:val="18"/>
          <w:szCs w:val="18"/>
          <w:color w:val="auto"/>
        </w:rPr>
      </w:pPr>
    </w:p>
    <w:p>
      <w:pPr>
        <w:ind w:left="820" w:hanging="326"/>
        <w:spacing w:after="0" w:line="272"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Overlap of Technology Patents </w:t>
      </w:r>
      <w:r>
        <w:rPr>
          <w:rFonts w:ascii="Arial" w:cs="Arial" w:eastAsia="Arial" w:hAnsi="Arial"/>
          <w:sz w:val="17"/>
          <w:szCs w:val="17"/>
          <w:color w:val="auto"/>
        </w:rPr>
        <w:t>– Because inventors can patent incremental improvements to existing inventions, multiple patents can apply to</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components of a product or service. Consequently, multiple patent owners may seek to extract license fees related to a single product or service. One example of this overlap of patents is semiconductor technology known as DRAM. Today, there are several thousand issued United States patents with “DRAM” specifically listed as a claim element. These DRAM patents span design, fabrication, testing and component technology including dies, capacitors, memory cells, transistors, integrated circuits, substrates and packaging. Each of those aspects may be covered by multiple patents that could be infringed by a DRAM semiconductor device or downstream product. Potential infringement of these patents could occur by anyone who designs, makes, uses or sells a product using this technology.</w:t>
      </w:r>
    </w:p>
    <w:p>
      <w:pPr>
        <w:spacing w:after="0" w:line="29" w:lineRule="exact"/>
        <w:rPr>
          <w:rFonts w:ascii="Arial" w:cs="Arial" w:eastAsia="Arial" w:hAnsi="Arial"/>
          <w:sz w:val="17"/>
          <w:szCs w:val="17"/>
          <w:color w:val="auto"/>
        </w:rPr>
      </w:pPr>
    </w:p>
    <w:p>
      <w:pPr>
        <w:ind w:left="820" w:right="40" w:hanging="326"/>
        <w:spacing w:after="0" w:line="31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Technology Convergence </w:t>
      </w:r>
      <w:r>
        <w:rPr>
          <w:rFonts w:ascii="Arial" w:cs="Arial" w:eastAsia="Arial" w:hAnsi="Arial"/>
          <w:sz w:val="16"/>
          <w:szCs w:val="16"/>
          <w:color w:val="auto"/>
        </w:rPr>
        <w:t>– Modern products and services incorporate numerous technology components, such as the evolution of mobile devices.</w:t>
      </w:r>
      <w:r>
        <w:rPr>
          <w:rFonts w:ascii="Arial" w:cs="Arial" w:eastAsia="Arial" w:hAnsi="Arial"/>
          <w:sz w:val="16"/>
          <w:szCs w:val="16"/>
          <w:i w:val="1"/>
          <w:iCs w:val="1"/>
          <w:color w:val="auto"/>
        </w:rPr>
        <w:t xml:space="preserve"> </w:t>
      </w:r>
      <w:r>
        <w:rPr>
          <w:rFonts w:ascii="Arial" w:cs="Arial" w:eastAsia="Arial" w:hAnsi="Arial"/>
          <w:sz w:val="16"/>
          <w:szCs w:val="16"/>
          <w:color w:val="auto"/>
        </w:rPr>
        <w:t>This growth can be attributed to the expanded set of features and functionality incorporated in today’s smartphones, including touchscreens, Internet access, streaming video, media playback, application store readiness and other web-based services, and Wi-Fi connectivity options.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6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Companies Employing Patented Technologies </w:t>
      </w:r>
      <w:r>
        <w:rPr>
          <w:rFonts w:ascii="Arial" w:cs="Arial" w:eastAsia="Arial" w:hAnsi="Arial"/>
          <w:sz w:val="18"/>
          <w:szCs w:val="18"/>
          <w:color w:val="auto"/>
        </w:rPr>
        <w:t>– A growing number of companies, including non-technology companies, make, use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or services that utilize patented inventions. For example, consumer banks now offer online and mobile banking and bill pay as a standard feature, which rely on numerous complex technologies that may be subject to many patents.</w:t>
      </w:r>
    </w:p>
    <w:p>
      <w:pPr>
        <w:spacing w:after="0" w:line="32" w:lineRule="exact"/>
        <w:rPr>
          <w:rFonts w:ascii="Arial" w:cs="Arial" w:eastAsia="Arial" w:hAnsi="Arial"/>
          <w:sz w:val="18"/>
          <w:szCs w:val="18"/>
          <w:color w:val="auto"/>
        </w:rPr>
      </w:pPr>
    </w:p>
    <w:p>
      <w:pPr>
        <w:ind w:left="820" w:right="60" w:hanging="326"/>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Specialized Appellate Court for Patent Cases </w:t>
      </w:r>
      <w:r>
        <w:rPr>
          <w:rFonts w:ascii="Arial" w:cs="Arial" w:eastAsia="Arial" w:hAnsi="Arial"/>
          <w:sz w:val="18"/>
          <w:szCs w:val="18"/>
          <w:color w:val="auto"/>
        </w:rPr>
        <w:t>– The United States Court of Appeals for the Federal Circuit was created in 1982 to serve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of these developments have caused significant capital to flow to companies specifically formed to acquire and monetize patent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Emergence and Growth of NPEs</w:t>
      </w:r>
    </w:p>
    <w:p>
      <w:pPr>
        <w:spacing w:after="0" w:line="77"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NPEs do not create or sell products or services, but instead monetize patents through licensing and litigation. Some NPEs obtain patents through their own research and development efforts, while others accumulate patents through acquisitions. NPEs have become a major factor in the patent market and an important source of liquidity for patent owners.</w:t>
      </w:r>
    </w:p>
    <w:p>
      <w:pPr>
        <w:spacing w:after="0" w:line="1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Operating companies can incur significant costs to defend themselves against patent assertions by NPEs. At a minimum, companies faced with an assertion letter typically respond to the assertion letter and evaluate the patents being asserted. If the assertion proceeds to trial, costs grow substantially. NPEs generally do not create or sell their own products or services and therefore are not susceptible to counter assertion, a common defensive strategy in patent disputes between operating companies.</w:t>
      </w:r>
    </w:p>
    <w:p>
      <w:pPr>
        <w:spacing w:after="0" w:line="18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believe that the amount of capital raised by NPEs is currently in the billions of dollars. Some of the large awards and settlements received by NPEs have resulted in extensive media coverage, contributing to a significant influx of capital into the patent market. As of December 31, 2013, we have identified in excess of 3,000 unique NPE plaintiffs that have been active since 2005. In addition, many individual inventors and universities are also using litigation or threat of litigation to monetize patents.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Benefits to Our Clients</w:t>
      </w:r>
    </w:p>
    <w:p>
      <w:pPr>
        <w:spacing w:after="0" w:line="8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have pioneered an approach to help operating companies mitigate and manage patent risk and expense by serving as an intermediary through which they can participate more efficiently in the patent market. Operating companies that join our network pay an annual subscription fee and gain access to our patent risk management solutions. The subscription fee is typically based on a fee schedule that is tied to a client’s revenue or operating income and remains in place over the life of a membership, with adjustments limited to Consumer Price Index increases. By offering a fee schedule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Defensive Patent Aggregation</w:t>
      </w:r>
    </w:p>
    <w:p>
      <w:pPr>
        <w:spacing w:after="0" w:line="7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and prospective clients. We then provide our clients with a license to these patent assets to protect them from potential patent infringement assertions. We acquire patent assets from multiple parties, including operating companies, individual inventors, NPEs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18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17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a part of our solution, we provide extensive patent market intelligence and data to our clients. Clients can access this market intelligence and data through our proprietary web portal and through discussions with our client relations team. This market intelligence and data helps our clients better understand past and potential patent acquisition transactions, relevant litigation activity and key participants and trends in the patent market. In a market with limited publicly available data on pricing and terms of licenses and litigation settlement, we believe our data and market intelligence is a valuable resource for our clients and prospects.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Insurance</w:t>
      </w:r>
    </w:p>
    <w:p>
      <w:pPr>
        <w:spacing w:after="0" w:line="7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Since August 2012, we have offered insurance to cover certain costs of NPE patent litigation as a complementary service to our core solution. The service is designed to give small- and medium-sized businesses greater control of the unpredictable financial impact of patent litigation. We believe that our access to historical data on NPE patent transactions, litigations, and settlements uniquely enables us to assess and price the insurance based on a company’s risk.</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to Our Clients</w:t>
      </w:r>
    </w:p>
    <w:p>
      <w:pPr>
        <w:spacing w:after="0" w:line="77"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associated with a single patent assertion, our clients gain access to the following benefits:</w:t>
      </w:r>
    </w:p>
    <w:p>
      <w:pPr>
        <w:spacing w:after="0" w:line="33" w:lineRule="exact"/>
        <w:rPr>
          <w:sz w:val="20"/>
          <w:szCs w:val="20"/>
          <w:color w:val="auto"/>
        </w:rPr>
      </w:pPr>
    </w:p>
    <w:p>
      <w:pPr>
        <w:ind w:left="820" w:right="4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license and acquire many that are being or may be asserted against our clients or potential clients. Our clients have no litigation risk related to the patents that we own.</w:t>
      </w:r>
    </w:p>
    <w:p>
      <w:pPr>
        <w:spacing w:after="0" w:line="32" w:lineRule="exact"/>
        <w:rPr>
          <w:rFonts w:ascii="Arial" w:cs="Arial" w:eastAsia="Arial" w:hAnsi="Arial"/>
          <w:sz w:val="18"/>
          <w:szCs w:val="18"/>
          <w:color w:val="auto"/>
        </w:rPr>
      </w:pPr>
    </w:p>
    <w:p>
      <w:pPr>
        <w:ind w:left="820" w:right="100" w:hanging="326"/>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typically based on a client’s historical financial results, which provides predictability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us and our clients. We believe our approach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9" w:lineRule="exact"/>
        <w:rPr>
          <w:rFonts w:ascii="Arial" w:cs="Arial" w:eastAsia="Arial" w:hAnsi="Arial"/>
          <w:sz w:val="18"/>
          <w:szCs w:val="18"/>
          <w:color w:val="auto"/>
        </w:rPr>
      </w:pPr>
    </w:p>
    <w:p>
      <w:pPr>
        <w:ind w:left="820" w:right="20" w:hanging="326"/>
        <w:spacing w:after="0" w:line="255"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mission is to transform the patent market by establishing RPX as the essential intermediary between patent owners and operating companies. Our strategy includes the following:</w:t>
      </w:r>
    </w:p>
    <w:p>
      <w:pPr>
        <w:spacing w:after="0" w:line="22" w:lineRule="exact"/>
        <w:rPr>
          <w:sz w:val="20"/>
          <w:szCs w:val="20"/>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Growing Our Client Network </w:t>
      </w:r>
      <w:r>
        <w:rPr>
          <w:rFonts w:ascii="Arial" w:cs="Arial" w:eastAsia="Arial" w:hAnsi="Arial"/>
          <w:sz w:val="18"/>
          <w:szCs w:val="18"/>
          <w:color w:val="auto"/>
        </w:rPr>
        <w:t>– We intend to grow our client network by continuing to develop relationships with companies that have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NPE-initiated patent litigation and continuing to demonstrate the value of our patent risk management solution.</w:t>
      </w:r>
    </w:p>
    <w:p>
      <w:pPr>
        <w:spacing w:after="0" w:line="21" w:lineRule="exact"/>
        <w:rPr>
          <w:rFonts w:ascii="Arial" w:cs="Arial" w:eastAsia="Arial" w:hAnsi="Arial"/>
          <w:sz w:val="18"/>
          <w:szCs w:val="18"/>
          <w:color w:val="auto"/>
        </w:rPr>
      </w:pPr>
    </w:p>
    <w:p>
      <w:pPr>
        <w:ind w:left="820" w:right="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Acquiring Additional Patent Assets </w:t>
      </w:r>
      <w:r>
        <w:rPr>
          <w:rFonts w:ascii="Arial" w:cs="Arial" w:eastAsia="Arial" w:hAnsi="Arial"/>
          <w:sz w:val="18"/>
          <w:szCs w:val="18"/>
          <w:color w:val="auto"/>
        </w:rPr>
        <w:t>– We intend to continue to acquire patent assets that are being or may be asserted against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clients and to increase our role and expertise in the patent market. We believe our disciplined approach to valuing and acquiring patent assets will allow us to continue to deploy our capital in an efficient and effective manner to maximize the patent risk management benefits to our clients.</w:t>
      </w:r>
    </w:p>
    <w:p>
      <w:pPr>
        <w:spacing w:after="0" w:line="38"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Focusing on Client Relations </w:t>
      </w:r>
      <w:r>
        <w:rPr>
          <w:rFonts w:ascii="Arial" w:cs="Arial" w:eastAsia="Arial" w:hAnsi="Arial"/>
          <w:sz w:val="18"/>
          <w:szCs w:val="18"/>
          <w:color w:val="auto"/>
        </w:rPr>
        <w:t>– We intend to continue to deliver the highest levels of service and support to our clients, in order to assist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to build and maintain trusting relationships and retain clients.</w:t>
      </w:r>
    </w:p>
    <w:p>
      <w:pPr>
        <w:spacing w:after="0" w:line="21" w:lineRule="exact"/>
        <w:rPr>
          <w:rFonts w:ascii="Arial" w:cs="Arial" w:eastAsia="Arial" w:hAnsi="Arial"/>
          <w:sz w:val="18"/>
          <w:szCs w:val="18"/>
          <w:color w:val="auto"/>
        </w:rPr>
      </w:pPr>
    </w:p>
    <w:p>
      <w:pPr>
        <w:ind w:left="820" w:right="4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Developing Proprietary Technology Solutions for Our Clients </w:t>
      </w:r>
      <w:r>
        <w:rPr>
          <w:rFonts w:ascii="Arial" w:cs="Arial" w:eastAsia="Arial" w:hAnsi="Arial"/>
          <w:sz w:val="18"/>
          <w:szCs w:val="18"/>
          <w:color w:val="auto"/>
        </w:rPr>
        <w:t>– We intend to continue to enhance our proprietary web portal to provide our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current intelligence and data on patent acquisition opportunities, relevant litigation activity and key market participants and trends that affect their patent risk exposure.</w:t>
      </w:r>
    </w:p>
    <w:p>
      <w:pPr>
        <w:spacing w:after="0" w:line="32" w:lineRule="exact"/>
        <w:rPr>
          <w:rFonts w:ascii="Arial" w:cs="Arial" w:eastAsia="Arial" w:hAnsi="Arial"/>
          <w:sz w:val="18"/>
          <w:szCs w:val="18"/>
          <w:color w:val="auto"/>
        </w:rPr>
      </w:pPr>
    </w:p>
    <w:p>
      <w:pPr>
        <w:ind w:left="820" w:right="40" w:hanging="326"/>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Syndicated Acquisitions </w:t>
      </w:r>
      <w:r>
        <w:rPr>
          <w:rFonts w:ascii="Arial" w:cs="Arial" w:eastAsia="Arial" w:hAnsi="Arial"/>
          <w:sz w:val="18"/>
          <w:szCs w:val="18"/>
          <w:color w:val="auto"/>
        </w:rPr>
        <w:t>– On certain occasions, clients ask us to acquire patent assets that we would not otherwise purchase using our capital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size or limited applicability of the portfolio). In these instances, we facilitate syndicated acquisitions that include contributions from participating clients in addition to their annual subscription fees. Similar to other acquisitions, these syndicated deals are designed to efficiently share resources and collectively reduce litigation risk. Transaction participants typically pay a fee to RPX for structuring, negotiating and executing the transactions.</w:t>
      </w:r>
    </w:p>
    <w:p>
      <w:pPr>
        <w:spacing w:after="0" w:line="39" w:lineRule="exact"/>
        <w:rPr>
          <w:rFonts w:ascii="Arial" w:cs="Arial" w:eastAsia="Arial" w:hAnsi="Arial"/>
          <w:sz w:val="18"/>
          <w:szCs w:val="18"/>
          <w:color w:val="auto"/>
        </w:rPr>
      </w:pPr>
    </w:p>
    <w:p>
      <w:pPr>
        <w:jc w:val="both"/>
        <w:ind w:left="820" w:right="6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Offering NPE Insurance </w:t>
      </w:r>
      <w:r>
        <w:rPr>
          <w:rFonts w:ascii="Arial" w:cs="Arial" w:eastAsia="Arial" w:hAnsi="Arial"/>
          <w:sz w:val="18"/>
          <w:szCs w:val="18"/>
          <w:color w:val="auto"/>
        </w:rPr>
        <w:t>– We offer and have written insurance policies for clients interested in additional management of their exposure to patent</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claims brought by NPEs. We have concentrated our sales efforts on small and medium enterprises and we require that policyholders also subscribe to our core defensive patent acquisition service.</w:t>
      </w:r>
    </w:p>
    <w:p>
      <w:pPr>
        <w:spacing w:after="0" w:line="32" w:lineRule="exact"/>
        <w:rPr>
          <w:rFonts w:ascii="Arial" w:cs="Arial" w:eastAsia="Arial" w:hAnsi="Arial"/>
          <w:sz w:val="18"/>
          <w:szCs w:val="18"/>
          <w:color w:val="auto"/>
        </w:rPr>
      </w:pPr>
    </w:p>
    <w:p>
      <w:pPr>
        <w:ind w:left="820" w:right="46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Complementary Solutions </w:t>
      </w:r>
      <w:r>
        <w:rPr>
          <w:rFonts w:ascii="Arial" w:cs="Arial" w:eastAsia="Arial" w:hAnsi="Arial"/>
          <w:sz w:val="18"/>
          <w:szCs w:val="18"/>
          <w:color w:val="auto"/>
        </w:rPr>
        <w:t>– We believe we can offer complementary solutions that further mitigate patent risks and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companies, including the facilitation of challenges to patent validity, coordinating prior art searches, and other services intended to improve patent quality and reduce expenses for our clients.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3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Enhancing Our Capabilities Through Acquisitions </w:t>
      </w:r>
      <w:r>
        <w:rPr>
          <w:rFonts w:ascii="Arial" w:cs="Arial" w:eastAsia="Arial" w:hAnsi="Arial"/>
          <w:sz w:val="18"/>
          <w:szCs w:val="18"/>
          <w:color w:val="auto"/>
        </w:rPr>
        <w:t>– We occasionally evaluate the potential acquisition of businesses and technologies that can</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capabilities and our patent risk management 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Network</w:t>
      </w:r>
    </w:p>
    <w:p>
      <w:pPr>
        <w:spacing w:after="0" w:line="8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have built a network of clients that includes some of the world’s most prominent technology companies, as well as many smaller and emerging companies. As of December 31, 2013, we had 168 clients.</w:t>
      </w:r>
    </w:p>
    <w:p>
      <w:pPr>
        <w:spacing w:after="0" w:line="170"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believe our patent risk management solution is broadly applicable to companies that design, make or sell technology-based products and services as well as to companies that use technology in their businesses. Our clients are active in a broad range of industries including consumer electronics, personal computers, e-commerce, financial services, software, media content and distribution, mobile communications and handsets, networking and semiconductors.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New Client Acquisitions</w:t>
      </w:r>
    </w:p>
    <w:p>
      <w:pPr>
        <w:spacing w:after="0" w:line="7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membership team identifies potential clients by prioritizing operating companies that have been subject to patent infringement claims initiated by NPEs. The membership team is responsible for educating potential clients on the benefits of our solution and explaining how our solution mitigates patent risk and expense. After we have communicated our business model to a prospective client, we invest considerable resources learning about the company’s business, providing information about the patent market and developing a relationship of trust with the executives responsible for patent-related matters. We also proactively monitor litigation activity related to each of our clients and certain prospective clients to help us direct our patent asset acquisition and membership sales efforts. In addition, we conduct a variety of marketing efforts to establish ourselves as a leading source of information in the patent market, including industry conferences and seminars, public relations and industry research.</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Client Retention and Client Relations</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After a company has become a client, the maintenance of the relationship is handled by our client relations team. One of the primary responsibilities of our client relations team is to maintain frequent dialogue with senior executives of our clients so we can better understand their patent risk profiles. Our continued success and our ability to retain clients depend on our ability to demonstrate that our patent risk management solution reduces their costs in patent matters.</w:t>
      </w:r>
    </w:p>
    <w:p>
      <w:pPr>
        <w:spacing w:after="0" w:line="187" w:lineRule="exact"/>
        <w:rPr>
          <w:sz w:val="20"/>
          <w:szCs w:val="20"/>
          <w:color w:val="auto"/>
        </w:rPr>
      </w:pPr>
    </w:p>
    <w:p>
      <w:pPr>
        <w:ind w:right="440" w:firstLine="486"/>
        <w:spacing w:after="0" w:line="312" w:lineRule="auto"/>
        <w:rPr>
          <w:sz w:val="20"/>
          <w:szCs w:val="20"/>
          <w:color w:val="auto"/>
        </w:rPr>
      </w:pPr>
      <w:r>
        <w:rPr>
          <w:rFonts w:ascii="Arial" w:cs="Arial" w:eastAsia="Arial" w:hAnsi="Arial"/>
          <w:sz w:val="16"/>
          <w:szCs w:val="16"/>
          <w:color w:val="auto"/>
        </w:rPr>
        <w:t>Our client relations team also provides clients with patent market intelligence and updates on our patent asset acquisitions over the term of their memberships. We provide this information through direct discussions with our clients and also share information with them through our proprietary web portal. We believe our frequent interactions allow us to optimize our patent asset acquisition decisions, thus supporting our client retention efforts.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Portfolio and Patent Asset Acquisition</w:t>
      </w:r>
    </w:p>
    <w:p>
      <w:pPr>
        <w:spacing w:after="0" w:line="7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acquire patent assets that are being or may be asserted against current or prospective clients. As of December 31, 2013, we had deployed over $750 million of our capital and the capital of our clients to acquire patent assets. Of this amount, deployment of our capital totaled approximately $530 million. Since inception, approximately two-thirds of our acquisition capital has been deployed for the purchase of patent rights and the balance deployed for the purchase of patents. Acquisitions of patent rights generally benefit only those operating companies that are clients at the time of the acquisition, whereas acquisitions of patents benefit both current and future clients. As of December 31, 2013, approximately one-fourth of our patent assets, based upon acquisition price, had been acquired from brokers or other entities seeking to sell patent assets, while the balance was acquired out of litigation. Our patent asset acquisition efforts have been broadly diversified across the following market sectors: consumer electronics, personal computers, e-commerce, financial services, software, media content and distribution, mobile communications and handsets, networking and semiconductors.</w:t>
      </w:r>
    </w:p>
    <w:p>
      <w:pPr>
        <w:spacing w:after="0" w:line="166"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The substantial majority of our 167 acquisitions through December 31, 2013 involved patent assets that we believed were relevant to multiple clients and/or prospective clients and were funded with our own capital resources. 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We refer to such transactions as syndicated acquisitions. These syndicated acquisitions may secure rights just for those clients who elect to participate in the transaction or, if we contribute capital, may secure rights for all of our clients.</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that were being or may be asserted against each of our clients.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Because each acquisition of a patent asset may create value for more than one client, we believe our acquisitions of patent assets create a network effect: expanding our portfolio of patent assets results in greater patent risk mitigation for our clients, which we believe leads to greater opportunities to retain and grow our membership base.</w:t>
      </w:r>
    </w:p>
    <w:p>
      <w:pPr>
        <w:spacing w:after="0" w:line="18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Our patent analysts, members of our acquisitions team, and our acquisitions committee employ a rigorous and disciplined approach to evaluating acquisition opportunities.</w:t>
      </w:r>
    </w:p>
    <w:p>
      <w:pPr>
        <w:spacing w:after="0" w:line="170" w:lineRule="exact"/>
        <w:rPr>
          <w:sz w:val="20"/>
          <w:szCs w:val="20"/>
          <w:color w:val="auto"/>
        </w:rPr>
      </w:pPr>
    </w:p>
    <w:p>
      <w:pPr>
        <w:ind w:right="460" w:firstLine="486"/>
        <w:spacing w:after="0" w:line="312" w:lineRule="auto"/>
        <w:rPr>
          <w:sz w:val="20"/>
          <w:szCs w:val="20"/>
          <w:color w:val="auto"/>
        </w:rPr>
      </w:pPr>
      <w:r>
        <w:rPr>
          <w:rFonts w:ascii="Arial" w:cs="Arial" w:eastAsia="Arial" w:hAnsi="Arial"/>
          <w:sz w:val="16"/>
          <w:szCs w:val="16"/>
          <w:color w:val="auto"/>
        </w:rPr>
        <w:t>In situations where patents are already being asserted or litigated against our current or prospective clients, the evaluation process begins with a detailed review. Depending on the value of the transaction, the complexity of the evaluation process, the number of patent assets in the portfolio and the quality of the information provided by the seller, the patent acquisition process can range from as short as several weeks to more than six months.</w:t>
      </w:r>
    </w:p>
    <w:p>
      <w:pPr>
        <w:spacing w:after="0" w:line="14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believe our position as a leading acquirer of patent assets gives us extensive access and visibility into the patent market. We closely track patent assets that become available on the market and, as of December 31, 2013, we had reviewed more than 5,800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to competing for new clients, we also compete to acquire patent assets. Our primary competitors in the market for patent assets are other entities that seek to accumulate patent assets, including NPEs such as Acacia Research, Intellectual Ventures and IP Navigation. We also face competition for patent assets from operating companies, including current or potential clients of RPX, that seek to acquire patents or license patent assets in connection with new or existing product offerings.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compete favorably based on a number of factors:</w:t>
      </w:r>
    </w:p>
    <w:p>
      <w:pPr>
        <w:spacing w:after="0" w:line="77" w:lineRule="exact"/>
        <w:rPr>
          <w:sz w:val="20"/>
          <w:szCs w:val="20"/>
          <w:color w:val="auto"/>
        </w:rPr>
      </w:pPr>
    </w:p>
    <w:p>
      <w:pPr>
        <w:ind w:left="820" w:right="38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alignment of interest and strong relationships with our clients resulting from our pricing structure and guarantee never to assert our patent assets against our clients;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reduce the costs associated with patent market transactions by engaging in more transparent discussions based on the economic value of patent assets rather than discussions involving litigation or the threat of litigation;</w:t>
      </w:r>
    </w:p>
    <w:p>
      <w:pPr>
        <w:spacing w:after="0" w:line="2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efficiency and expand our role in the patent market as our client network and capital available for patent asset acquisitions grows;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access to data regarding our analysis of the patent market and patent litigation;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extensive patent market expertise, relationships and transaction experience.</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have pioneered a patent risk management solution focused on reducing patent-related risk and expense for operating companies. We believe we are the only for-profit company approaching patent risk management from this perspective.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model incorporates attributes that we believe provide us with key competitive strengths:</w:t>
      </w:r>
    </w:p>
    <w:p>
      <w:pPr>
        <w:spacing w:after="0" w:line="77" w:lineRule="exact"/>
        <w:rPr>
          <w:sz w:val="20"/>
          <w:szCs w:val="20"/>
          <w:color w:val="auto"/>
        </w:rPr>
      </w:pPr>
    </w:p>
    <w:p>
      <w:pPr>
        <w:ind w:left="820" w:right="100" w:hanging="326"/>
        <w:spacing w:after="0" w:line="25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Alignment of Interests With Our Clients </w:t>
      </w:r>
      <w:r>
        <w:rPr>
          <w:rFonts w:ascii="Arial" w:cs="Arial" w:eastAsia="Arial" w:hAnsi="Arial"/>
          <w:sz w:val="18"/>
          <w:szCs w:val="18"/>
          <w:color w:val="auto"/>
        </w:rPr>
        <w:t>– Our business model aligns our interests with those of our clients. We have not asserted and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assert our patents. We generate revenue from subscription fees that are based on our published fee schedule rather than the value of the patent assets we acquire or the potential costs associated with defending against assertions related to our patent assets. As a result, we have relationships with our clients that are based on trust, enabling them to communicate with us without concern that the information shared will be used against them.</w:t>
      </w:r>
    </w:p>
    <w:p>
      <w:pPr>
        <w:spacing w:after="0" w:line="39"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Network Effect </w:t>
      </w:r>
      <w:r>
        <w:rPr>
          <w:rFonts w:ascii="Arial" w:cs="Arial" w:eastAsia="Arial" w:hAnsi="Arial"/>
          <w:sz w:val="18"/>
          <w:szCs w:val="18"/>
          <w:color w:val="auto"/>
        </w:rPr>
        <w:t>– As we add new clients, we generate new subscription fees that can be used to fund additional acquisitions of patent assets.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enable us to further add new clients and to deliver greater value to our existing clients.</w:t>
      </w:r>
    </w:p>
    <w:p>
      <w:pPr>
        <w:spacing w:after="0" w:line="21" w:lineRule="exact"/>
        <w:rPr>
          <w:rFonts w:ascii="Arial" w:cs="Arial" w:eastAsia="Arial" w:hAnsi="Arial"/>
          <w:sz w:val="18"/>
          <w:szCs w:val="18"/>
          <w:color w:val="auto"/>
        </w:rPr>
      </w:pPr>
    </w:p>
    <w:p>
      <w:pPr>
        <w:ind w:left="820" w:right="40" w:hanging="326"/>
        <w:spacing w:after="0" w:line="28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More Transparent Valuation Discussions </w:t>
      </w:r>
      <w:r>
        <w:rPr>
          <w:rFonts w:ascii="Arial" w:cs="Arial" w:eastAsia="Arial" w:hAnsi="Arial"/>
          <w:sz w:val="17"/>
          <w:szCs w:val="17"/>
          <w:color w:val="auto"/>
        </w:rPr>
        <w:t>– Most participants in the patent market either assert patents or face patent assertions. Because we do not</w:t>
      </w:r>
      <w:r>
        <w:rPr>
          <w:rFonts w:ascii="Arial" w:cs="Arial" w:eastAsia="Arial" w:hAnsi="Arial"/>
          <w:sz w:val="17"/>
          <w:szCs w:val="17"/>
          <w:i w:val="1"/>
          <w:iCs w:val="1"/>
          <w:color w:val="auto"/>
        </w:rPr>
        <w:t xml:space="preserve"> </w:t>
      </w:r>
      <w:r>
        <w:rPr>
          <w:rFonts w:ascii="Arial" w:cs="Arial" w:eastAsia="Arial" w:hAnsi="Arial"/>
          <w:sz w:val="17"/>
          <w:szCs w:val="17"/>
          <w:color w:val="auto"/>
        </w:rPr>
        <w:t>assert patents and are not likely to have patents asserted against us, we are able to have more open and transparent discussions about the value of patent assets than other market participants whose discussions are directly affected by litigation or the threat of litigation.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Patent Market Expertise </w:t>
      </w:r>
      <w:r>
        <w:rPr>
          <w:rFonts w:ascii="Arial" w:cs="Arial" w:eastAsia="Arial" w:hAnsi="Arial"/>
          <w:sz w:val="18"/>
          <w:szCs w:val="18"/>
          <w:color w:val="auto"/>
        </w:rPr>
        <w:t>– Since our inception, we have been refining our processes for identifying potentially valuable patent assets, analyzing</w:t>
      </w:r>
      <w:r>
        <w:rPr>
          <w:rFonts w:ascii="Arial" w:cs="Arial" w:eastAsia="Arial" w:hAnsi="Arial"/>
          <w:sz w:val="18"/>
          <w:szCs w:val="18"/>
          <w:i w:val="1"/>
          <w:iCs w:val="1"/>
          <w:color w:val="auto"/>
        </w:rPr>
        <w:t xml:space="preserve"> </w:t>
      </w:r>
      <w:r>
        <w:rPr>
          <w:rFonts w:ascii="Arial" w:cs="Arial" w:eastAsia="Arial" w:hAnsi="Arial"/>
          <w:sz w:val="18"/>
          <w:szCs w:val="18"/>
          <w:color w:val="auto"/>
        </w:rPr>
        <w:t>and evaluating those assets and executing transactions to acquire rights to those assets. We have developed an extensive set of skills, relationships, historical transaction data and methodologies for valuing patent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 dedicated internal team as well as third-party vendors and advisors to assist with the maintenance and prosecution of the patent assets and applications that we acquire.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As of December 31, 2013, we had 137 employees. Of the total employees, 51 are engaged in sales, marketing and corporate development, 31 in patent acquisition and research, 19 in system development and 36 in legal, finance, administration and operations. None of our employees is represented by a labor union, and we consider current employee relations to be good.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were incorporated in Delaware in July 2008. Our principal executive offices are located at One Market Plaza, Suite 800, San Francisco, California 94105. Our telephone number is (866) 779-7641. Our website address is www.rpxcorp.com. The information on, or that can be accessed through, our website is not part of this Annual Report on Form 10-K.</w:t>
      </w:r>
    </w:p>
    <w:p>
      <w:pPr>
        <w:spacing w:after="0" w:line="181" w:lineRule="exact"/>
        <w:rPr>
          <w:sz w:val="20"/>
          <w:szCs w:val="20"/>
          <w:color w:val="auto"/>
        </w:rPr>
      </w:pPr>
    </w:p>
    <w:p>
      <w:pPr>
        <w:ind w:right="60" w:firstLine="486"/>
        <w:spacing w:after="0" w:line="216" w:lineRule="auto"/>
        <w:rPr>
          <w:sz w:val="20"/>
          <w:szCs w:val="20"/>
          <w:color w:val="auto"/>
        </w:rPr>
      </w:pPr>
      <w:r>
        <w:rPr>
          <w:rFonts w:ascii="Arial" w:cs="Arial" w:eastAsia="Arial" w:hAnsi="Arial"/>
          <w:sz w:val="18"/>
          <w:szCs w:val="18"/>
          <w:color w:val="auto"/>
        </w:rPr>
        <w:t xml:space="preserve">RPX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Rational Patent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RPX Corporation. Any other trademarks appearing in this Annual Report on Form 10-K are the property of their respective holders.</w:t>
      </w:r>
    </w:p>
    <w:p>
      <w:pPr>
        <w:spacing w:after="0" w:line="2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have a single operating segment. A summary of our financial information by geographic location is found in Note 16, “Segment Reporting,”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Securities and Exchange Commission (“SEC”). The other information posted on our website is not incorporated into this Annual Report on Form 10-K.</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lower subscription fees from clients whose annual subscription fees decrease due to declining operating income or revenue of such clients;</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right="14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21" w:lineRule="exact"/>
        <w:rPr>
          <w:rFonts w:ascii="Arial" w:cs="Arial" w:eastAsia="Arial" w:hAnsi="Arial"/>
          <w:sz w:val="18"/>
          <w:szCs w:val="18"/>
          <w:color w:val="auto"/>
        </w:rPr>
      </w:pPr>
    </w:p>
    <w:p>
      <w:pPr>
        <w:ind w:left="820" w:right="80" w:hanging="326"/>
        <w:spacing w:after="0" w:line="34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16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7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were incorporated in July 2008. 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solutions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67"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could harm our operating results. If we introduce a higher fee schedule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December 31, 2013 was 2.6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a published fee schedule applicable to all of our clients that commence their membership while that fee schedule is in effect. Clients under such agreements are able to renew their memberships perpetually under the fee schedule in effect at the time that they became members with periodic adjustments by us only based on changes in the Consumer Price Index. This means that any increases to our fee schedule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312" w:lineRule="auto"/>
        <w:rPr>
          <w:sz w:val="20"/>
          <w:szCs w:val="20"/>
          <w:color w:val="auto"/>
        </w:rPr>
      </w:pPr>
      <w:r>
        <w:rPr>
          <w:rFonts w:ascii="Arial" w:cs="Arial" w:eastAsia="Arial" w:hAnsi="Arial"/>
          <w:sz w:val="16"/>
          <w:szCs w:val="16"/>
          <w:color w:val="auto"/>
        </w:rPr>
        <w:t>Subscription fees are typically reset annually based on a client’s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may be affected by conditions outside of our control that impact the operating results of our clients.</w:t>
      </w:r>
    </w:p>
    <w:p>
      <w:pPr>
        <w:spacing w:after="0" w:line="147"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fee schedules generally provide that our subscription fee as a percentage of the client’s operating income decreases as their operating income goes up. In addition, many of our clients’ fee schedules are subject to an annual cap. As a result, if one of our clients acquires another client, our future revenue could be reduced as a result of the application of our fee schedule to the combined entity rather than to each entity separately. Any reduction in subscription fees could harm our business and operating results.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7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We have invested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40" w:firstLine="446"/>
        <w:spacing w:after="0" w:line="293" w:lineRule="auto"/>
        <w:rPr>
          <w:sz w:val="20"/>
          <w:szCs w:val="20"/>
          <w:color w:val="auto"/>
        </w:rPr>
      </w:pPr>
      <w:r>
        <w:rPr>
          <w:rFonts w:ascii="Arial" w:cs="Arial" w:eastAsia="Arial" w:hAnsi="Arial"/>
          <w:sz w:val="16"/>
          <w:szCs w:val="16"/>
          <w:color w:val="auto"/>
        </w:rPr>
        <w:t>We have invested management time and financial resources in the development of products designed to provide insurance against some of the costs resulting from NPE patent claims. We have also provided capital to develop and operate this business. We have limited prior experience in designing insurance products, operating an insurance business, attracting policyholders or establishing the pricing or terms of insurance policies.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6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22"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We expect to increase future expenditures to develop and expand our business, including making substantial expenditures to develop new solutions. To further one of those new solutions, we formed a risk retention group which issues insurance policies to cover the costs of NPE patent claims and are working on additional methods to enable us to issue insurance policies.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73"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and which could cause our expenses and earnings to vary significantly from quarter to quarter. If we do not estimate our underwriting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For example, we recently started to offer insurance products for NPE patent litigation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expense. We have in the past, and may in the future, seek to acquire or invest in businesses, products or technologies that we believe could complement or expand our service offerings, enhance our technical capabilities or otherwise offer growth opportunities.</w:t>
      </w:r>
    </w:p>
    <w:p>
      <w:pPr>
        <w:spacing w:after="0" w:line="170"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22"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6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year ended December 31, 2013, our 10 highest revenue-generating clients accounted for approximately 28%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effectively adapt to changes in the company’s management team, our ability to execute our business plan may suffer, which could have an adverse effect on our future growth, operating results and stock price.</w:t>
      </w:r>
    </w:p>
    <w:p>
      <w:pPr>
        <w:spacing w:after="0" w:line="22"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In April 2013, Ned Segal assumed the position of Chief Financial Officer. As a result of this and other periodic changes in personnel and positions, the members of our management team must assume new responsibilities. Our ability to execute our business plan will depend in part on the ability of our management team to develop new working relationships and adapt to changing responsibilities. Our stock price will also depend in part on our investors’ confidence in our management team. Any actual or perceived inability of our management team to execute our business plan could have an adverse effect on our future growth, operating results and stock price.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incur significant increased costs that may adversely affect our operating results and financial condition.</w:t>
      </w:r>
    </w:p>
    <w:p>
      <w:pPr>
        <w:spacing w:after="0" w:line="77"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or as executive officers.</w:t>
      </w:r>
    </w:p>
    <w:p>
      <w:pPr>
        <w:spacing w:after="0" w:line="167"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As of December 31, 2013, we had secured quota share reinsurance for 50% of the risk underwritten through our NPE insurance product offering. 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0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As of December 31, 2013, some of our existing stockholders have demand and piggyback rights to require us to register with the SEC approximately 5,000,000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currently lease approximately 67,000 square feet of office space in one location in San Francisco, California pursuant to a lease agreement that expires in October 2019. We also maintain a sales office in Japan. We believe that our current facilities are suitable and adequate to meet our current needs and we intend to add new facilities or expand existing facilities as we add employees. We believe that suitable additional or substitute space will be available as needed to accommodate expansion of our operations.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From time to time, we may be a party to various litigation claims in the normal course of business. Legal fees and other costs associated with such actions are expensed as incurred. We assess, in conjunction with our legal counsel, the need to record a liability for litigation or legal contingencies. A liability is recorded when and if it is determined that such a liability for litigation or contingencies is both probable and reasonably estimable. No liability for litigation or legal contingencies was recorded as of December 31, 2013.</w:t>
      </w:r>
    </w:p>
    <w:p>
      <w:pPr>
        <w:spacing w:after="0" w:line="18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In June 2013, Kevin O’Halloran, as Trustee of the Liquidating Trust of Teltronics, Inc. (the “Debtor”), filed a complaint in the U.S. Bankruptcy Court for the Middle District of Florida against us and Harris Corporation (the “Defendants”). The complaint alleges that the Defendants are liable under federal and state bankruptcy law regarding fraudulent transfers for the value of a patent portfolio that we purchased from Harris Corporation pursuant to an agreement entered into in January 2009, and within four years of the date the Debtor filed its petition in bankruptcy. We are not currently able to determine whether there is a reasonable possibility that a loss has been incurred, nor can we estimate the potential loss or range of the potential loss that may result from this litigation.</w:t>
      </w:r>
    </w:p>
    <w:p>
      <w:pPr>
        <w:spacing w:after="0" w:line="158"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In February 2013, Volkswagen Group of America, Inc. (“Volkswagen”) filed a third-party complaint against us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we entered into with Norman and Saxon Innovations, LLC (“Saxon”) in January 2010. The claims allege that we, together with Norman and Saxon, violated federal antitrust law and Texas antitrust law. Volkswagen seeks declaratory relief, unspecified monetary damages, and injunctive relief. We are not currently able to determine whether there is a reasonable possibility that a loss has been incurred, nor can we estimate the range of the potential loss that may result from this litigation.</w:t>
      </w:r>
    </w:p>
    <w:p>
      <w:pPr>
        <w:spacing w:after="0" w:line="16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March 2012, Cascades Computer Innovations LLC filed a complaint in U.S. District Court for the Northern District of California (the “Court”) against us and five of our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We are not currently able to determine whether there is a reasonable possibility that a loss has been incurred, nor can we estimate the potential loss or range of the potential loss that may result from this litigation.</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6"/>
                <w:szCs w:val="16"/>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2012:</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13.50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9.67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 the year ended December 31, 2013:</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12.95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15.95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At February 28, 2014, there were 37 stockholders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1"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81"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Exchange Act.</w:t>
      </w:r>
    </w:p>
    <w:p>
      <w:pPr>
        <w:spacing w:after="0" w:line="147"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The following graph shows the value of an investment of $100 on May 4, 2011 (the date our common stock commenced trading on the NASDAQ Global Select Market) in our common stock, the NASDAQ Composite Index and the NASDAQ-100 Technology Sector Index. Data for the NASDAQ Composite Index and the NASDAQ-100 Technology Sector Index assume reinvestment of dividends. The comparisons shown in the graph are based upon historical data and we caution that the stock price performance shown in the graph is not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128905</wp:posOffset>
            </wp:positionV>
            <wp:extent cx="5291455" cy="3704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145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provides information with respect to repurchases of unvested shares of our common stock for the year ended December 31, 2013.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Price Paid per</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2013</w:t>
            </w:r>
          </w:p>
        </w:tc>
        <w:tc>
          <w:tcPr>
            <w:tcW w:w="16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9,917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180" w:firstLine="8"/>
        <w:spacing w:after="0" w:line="294" w:lineRule="auto"/>
        <w:tabs>
          <w:tab w:leader="none" w:pos="178"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Stock options issued under the 2008 Stock Option Plan allowed the Board of Directors to grant awards that provided employee option holders the right to elect to exercise unvested options in exchange for restricted common stock. Unvested shares are subject to a right of repurchase by us in the event the recipient of such unvested shares is no longer employed by us prior to a vesting date. All shares in the above table were shares repurchased as a result of us exercising this right and not pursuant to a publicly announced plan or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81"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 xml:space="preserve">The selected consolidated financial data for the years ended December 31, 2013, 2012 and 2011, as well as the consolidated balance sheet data as of December 31, 2013 and 2012, are derived from our audited consolidated financial statements that are included elsewhere in this Annual Report on Form 10-K. The selected consolidated financial data for year ended December 31, 2010 and 2009 as well as the consolidated balance sheet data as of December 31, 2011, 2010 and 2009 are derived from audited consolidated financial statements not included in this Annual Report on Form 10-K. The historical results presented below are not necessarily indicative of results of future operations, and should be read in conjunction with Item 7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and the consolidated financial statements and related notes thereto included in Part II, Item 8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Form 10-K to fully understand factors that may affect the comparability of the information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7"/>
          </w:tcPr>
          <w:p>
            <w:pPr>
              <w:jc w:val="center"/>
              <w:ind w:left="4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197,688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154,044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110,771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67,371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17,710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53,590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38,957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40,763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38,455</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38,474</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Net income available to common stockholders per common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3" w:lineRule="exact"/>
        <w:rPr>
          <w:sz w:val="20"/>
          <w:szCs w:val="20"/>
          <w:color w:val="auto"/>
        </w:rPr>
      </w:pPr>
    </w:p>
    <w:p>
      <w:pPr>
        <w:jc w:val="right"/>
        <w:ind w:left="40"/>
        <w:spacing w:after="0" w:line="317" w:lineRule="auto"/>
        <w:rPr>
          <w:sz w:val="20"/>
          <w:szCs w:val="20"/>
          <w:color w:val="auto"/>
        </w:rPr>
      </w:pPr>
      <w:r>
        <w:rPr>
          <w:rFonts w:ascii="Arial" w:cs="Arial" w:eastAsia="Arial" w:hAnsi="Arial"/>
          <w:sz w:val="16"/>
          <w:szCs w:val="16"/>
          <w:color w:val="auto"/>
        </w:rPr>
        <w:t>Weighted-average shares used in computing net income available to common stockholders per common share:</w:t>
      </w:r>
    </w:p>
    <w:p>
      <w:pPr>
        <w:ind w:left="3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51,956</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49,766</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32,032</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53,652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51,802</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35,920</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2,169</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-213995</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6"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62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080" w:space="620"/>
            <w:col w:w="67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290,722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199,730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233,725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46,656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Patent assets, net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219,954</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199,314</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163,352</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126,508</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82,759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588,801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493,967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437,994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137,743</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104,371</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108,275</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82,440</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24,691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payable and other deferred payment obligations,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including current portion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5,056</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23,583</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163,878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133,708</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138,910</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123,522</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66,161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62,793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424,923</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360,259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299,084</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10,707</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4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For the year ended December 31, 2013, revenue grew to $237.5 million from $197.7 million for the year ended December 31, 2012. During 2013, 2012 and 2011, our client count increased by 28, 28 and 40 clients, respectively, bringing our total client network to 168 as of December 31, 2013. At December 31, 2013, we had deferred revenue of $137.7 million.</w:t>
      </w:r>
    </w:p>
    <w:p>
      <w:pPr>
        <w:spacing w:after="0" w:line="181" w:lineRule="exact"/>
        <w:rPr>
          <w:sz w:val="20"/>
          <w:szCs w:val="20"/>
          <w:color w:val="auto"/>
        </w:rPr>
      </w:pPr>
    </w:p>
    <w:p>
      <w:pPr>
        <w:ind w:right="20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For the year ended December 31, 2013, our gross and net acquisition spend totaled $132.3 million and $126.5 million, respectively, for which we completed 47 acquisitions of patent assets. From our inception through December 31, 2013, we have completed 167 acquisitions of patent assets with gross and net acquisition spend of $755.7 million and $532.8 million, respectively.</w:t>
      </w:r>
    </w:p>
    <w:p>
      <w:pPr>
        <w:spacing w:after="0" w:line="178"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During the year ended December 31, 2013, we completed two divestitures of patent assets in the open market. These divestitures had an immaterial impact to our results of operations and financial condition. We expect to divest patent portfolios as a normal part of our business, and these divestitures will result in a gain or loss in the period in which the transaction occurs. The amount of consideration received is compared to the patent asset’s carrying value to determine and recognize a gain or loss.</w:t>
      </w:r>
    </w:p>
    <w:p>
      <w:pPr>
        <w:spacing w:after="0" w:line="187"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 must be members of our client network, to better manage and mitigate the risk of NPE patent litigation. As of December 31, 2013, we had a total of 25 active insurance policies. The effect of the insurance policies that have been issued was not material to our results of operations or financial condition.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Subscription revenue includes membership subscription services and premiums earned from insurance policies.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started to recognize revenue from insurance premiums. Although we expect this revenue to increase as we sell more policies in the future, for the years ended December 31, 2013 and 2012, revenue from insurance premiums was not material to our results of operations. We also recognize revenue from the sale of licenses and advisory fee income in connection with syndicated acquisitions, which we collectively refer to as fee-related revenue.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Cost of revenue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are expenses incurred to maintain our patents and prosecute our patent applications and amortization expense for acquired intangible assets and internally developed software. With the launch of our insurance offering in August 2012, cost of revenue also includes premiums ceded to reinsurers and loss reserves.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the remaining statutory life of the underlying patents, which could result in shorter amortization periods.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Other income (expense), net primarily consists of interest income earned on our cash, cash equivalents and short-term investments and interest expense incurred on our debt obligations.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2 of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and related authoritative guidance. The primary source of our revenue is fees paid by our clients under subscription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our patent risk management solution comprises a single deliverable and thus we recognize each subscription fee ratably over the period for which the fee applies. Revenue is recognized net of any discounts or other contractual incentives. We start recognizing revenue when all of the following criteria have been met:</w:t>
      </w:r>
    </w:p>
    <w:p>
      <w:pPr>
        <w:spacing w:after="0" w:line="4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an executed subscription agreement.</w:t>
      </w:r>
    </w:p>
    <w:p>
      <w:pPr>
        <w:spacing w:after="0" w:line="76" w:lineRule="exact"/>
        <w:rPr>
          <w:rFonts w:ascii="Arial" w:cs="Arial" w:eastAsia="Arial" w:hAnsi="Arial"/>
          <w:sz w:val="18"/>
          <w:szCs w:val="18"/>
          <w:color w:val="auto"/>
        </w:rPr>
      </w:pPr>
    </w:p>
    <w:p>
      <w:pPr>
        <w:ind w:left="820" w:right="160" w:hanging="326"/>
        <w:spacing w:after="0" w:line="259"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or services have been rendered. </w:t>
      </w:r>
      <w:r>
        <w:rPr>
          <w:rFonts w:ascii="Arial" w:cs="Arial" w:eastAsia="Arial" w:hAnsi="Arial"/>
          <w:sz w:val="18"/>
          <w:szCs w:val="18"/>
          <w:color w:val="auto"/>
        </w:rPr>
        <w:t>The subscription agreement calls for us to provide our patent risk management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over a specific term commencing on the agreement effective date. Because services are not on an individualized basis (i.e., we generally perform our services on behalf of all of our clients as opposed to each client individually), delivery occurs automatically with the passage of time. Consequently, we recognize subscription revenue ratably.</w:t>
      </w:r>
    </w:p>
    <w:p>
      <w:pPr>
        <w:spacing w:after="0" w:line="38" w:lineRule="exact"/>
        <w:rPr>
          <w:rFonts w:ascii="Arial" w:cs="Arial" w:eastAsia="Arial" w:hAnsi="Arial"/>
          <w:sz w:val="18"/>
          <w:szCs w:val="18"/>
          <w:color w:val="auto"/>
        </w:rPr>
      </w:pPr>
    </w:p>
    <w:p>
      <w:pPr>
        <w:jc w:val="both"/>
        <w:ind w:left="820" w:right="20" w:hanging="326"/>
        <w:spacing w:after="0" w:line="297"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Seller’s price to the buyer is fixed or determinable. </w:t>
      </w:r>
      <w:r>
        <w:rPr>
          <w:rFonts w:ascii="Arial" w:cs="Arial" w:eastAsia="Arial" w:hAnsi="Arial"/>
          <w:sz w:val="16"/>
          <w:szCs w:val="16"/>
          <w:color w:val="auto"/>
        </w:rPr>
        <w:t>Each client’s annual subscription fee is typically based on a fee schedule in effect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client’s initial agreement. A client’s subscription fee is generally determined using its fee schedule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9" w:lineRule="exact"/>
        <w:rPr>
          <w:rFonts w:ascii="Arial" w:cs="Arial" w:eastAsia="Arial" w:hAnsi="Arial"/>
          <w:sz w:val="16"/>
          <w:szCs w:val="16"/>
          <w:color w:val="auto"/>
        </w:rPr>
      </w:pPr>
    </w:p>
    <w:p>
      <w:pPr>
        <w:ind w:left="820" w:right="60" w:hanging="326"/>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 again at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each anniversary date thereof. We do not recognize revenue in instances where collectability is not reasonably assured. Generally, our subscription agreements state that all fees paid are non-refundable.</w:t>
      </w:r>
    </w:p>
    <w:p>
      <w:pPr>
        <w:spacing w:after="0" w:line="18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7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Our clients generally receive a term license to, and a release from all prior damages associated with, patent assets in our portfolio. The term license to each patent asset typically converts to a perpetual license at the end of a contractually specified vesting period, provided that the client is a member at such time. We do not view the conversion from term license to perpetual license to be a separate deliverable in our arrangements with our clients because the utility of, access to and freedom to practice the inventions covered by the patent asset is no different between a term and perpetual license.</w:t>
      </w:r>
    </w:p>
    <w:p>
      <w:pPr>
        <w:spacing w:after="0" w:line="154"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 xml:space="preserve">In some instances, we accept a payment from a client to finance part or all of an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Arial" w:cs="Arial" w:eastAsia="Arial" w:hAnsi="Arial"/>
          <w:sz w:val="16"/>
          <w:szCs w:val="16"/>
          <w:i w:val="1"/>
          <w:iCs w:val="1"/>
          <w:color w:val="auto"/>
        </w:rPr>
        <w:t>Revenue Recognition: Principal Agent Considerations</w:t>
      </w:r>
      <w:r>
        <w:rPr>
          <w:rFonts w:ascii="Arial" w:cs="Arial" w:eastAsia="Arial" w:hAnsi="Arial"/>
          <w:sz w:val="16"/>
          <w:szCs w:val="16"/>
          <w:color w:val="auto"/>
        </w:rPr>
        <w:t>, in instances where we substantively act as an agent to acquire patent rights from a seller on behalf of clients who are paying for such rights separately from their subscription agreements, we may treat the client payments on a net basis. When treated on a net basis, there may be little or no revenue recognized for such contributions, and the basis of the acquired patent rights may exclude the amounts paid by the contributing client based on our determination that we are not the principal in these transactions. In these situations, where we substantively act as an agent, the contributing clients are typically defendants in an active or threatened patent infringement litigation filed by the owner of a patent. Our involvement is to assist our clients to secure a dismissal from litigation and a license to the underlying patents.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reach the determination that we are not the principal in the transaction include, among others:</w:t>
      </w:r>
    </w:p>
    <w:p>
      <w:pPr>
        <w:spacing w:after="0" w:line="77" w:lineRule="exact"/>
        <w:rPr>
          <w:sz w:val="20"/>
          <w:szCs w:val="20"/>
          <w:color w:val="auto"/>
        </w:rPr>
      </w:pPr>
    </w:p>
    <w:p>
      <w:pPr>
        <w:ind w:left="820" w:right="18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32"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no inventory risk, as the clients generally enter into their contractual obligations with us prior to or contemporaneous to us entering into a contractual obligation with the seller;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generally have limited pricing latitude as client contributions are based on the sales price set by the seller;</w:t>
      </w:r>
    </w:p>
    <w:p>
      <w:pPr>
        <w:spacing w:after="0" w:line="76"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involved in the determination of the product or service specification and have no ability to change the product or perform any part of the service in connection with these transactions, as the seller owns the underlying patent(s);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20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limited or no credit risk, as each respective client has a contractually binding obligation, such clients are generally of high credit quality and in many instances, we collect the client contribution prior to making a payment to the seller.</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certain syndicated transactions, we may recognize revenue upon the sale of licenses to specific patent assets and/or upon completion of the rendering of advisory services.</w:t>
      </w:r>
    </w:p>
    <w:p>
      <w:pPr>
        <w:spacing w:after="0" w:line="17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i w:val="1"/>
          <w:iCs w:val="1"/>
          <w:color w:val="auto"/>
        </w:rPr>
        <w:t xml:space="preserve">Revenue recognition for arrangements with multiple deliverables. </w:t>
      </w:r>
      <w:r>
        <w:rPr>
          <w:rFonts w:ascii="Arial" w:cs="Arial" w:eastAsia="Arial" w:hAnsi="Arial"/>
          <w:sz w:val="18"/>
          <w:szCs w:val="18"/>
          <w:color w:val="auto"/>
        </w:rPr>
        <w:t>A multiple-element arrangement includes the sale of a subscription to our patent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solution and an insurance policy to cover certain costs associated with patent infringement lawsuits by NPEs, each of which are individually considered separate units of accounting. Each element within a multiple-element arrangement is accounted for as a separate unit of accounting given that the delivered products have value to the customer on a standalone basis. We consider a deliverable to have standalone value if the product or service is sold separately by us or another vendor. Although there’s a requirement to purchase both products concurrently, the delivery of insurance coverage is not dependent on a client’s subscription to our patent risk management solution. Our insurance product offering is unique, however a company would be able to purchase insurance coverage as a standalone product from other providers. We sell our patent risk management solution on a standalone basis as our core business product.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have determined our best estimate of selling price (“BESP”) for a subscription to our patent risk management solution based on the following:</w:t>
      </w:r>
    </w:p>
    <w:p>
      <w:pPr>
        <w:spacing w:after="0" w:line="88" w:lineRule="exact"/>
        <w:rPr>
          <w:sz w:val="20"/>
          <w:szCs w:val="20"/>
          <w:color w:val="auto"/>
        </w:rPr>
      </w:pPr>
    </w:p>
    <w:p>
      <w:pPr>
        <w:ind w:left="1080" w:right="120" w:hanging="316"/>
        <w:spacing w:after="0" w:line="25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List price, which represents the rates listed on our annual rate card. We publish a standard rate card on an annual basis. Each client’s subscription fee is typically calculated using its fee schedule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revenue and operating income for its most recently completed fiscal years.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determined our BESP for our insurance product based on the following:</w:t>
      </w:r>
    </w:p>
    <w:p>
      <w:pPr>
        <w:spacing w:after="0" w:line="77" w:lineRule="exact"/>
        <w:rPr>
          <w:sz w:val="20"/>
          <w:szCs w:val="20"/>
          <w:color w:val="auto"/>
        </w:rPr>
      </w:pPr>
    </w:p>
    <w:p>
      <w:pPr>
        <w:ind w:left="1080" w:right="40" w:hanging="316"/>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Actuarially determined factors. Although we do not sell our insurance product on a standalone basis, the pricing is not affected by the subscription to our patent risk management solution. We have created an actuarial model that calculates an individual client’s insurance premium based on its projected annual frequency (i.e., number of claims during the policy term) and severity (i.e., the amount which it expects to settle a claim).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 Net</w:t>
      </w:r>
    </w:p>
    <w:p>
      <w:pPr>
        <w:spacing w:after="0" w:line="77" w:lineRule="exact"/>
        <w:rPr>
          <w:sz w:val="20"/>
          <w:szCs w:val="20"/>
          <w:color w:val="auto"/>
        </w:rPr>
      </w:pPr>
    </w:p>
    <w:p>
      <w:pPr>
        <w:jc w:val="both"/>
        <w:ind w:right="440" w:firstLine="486"/>
        <w:spacing w:after="0" w:line="286" w:lineRule="auto"/>
        <w:rPr>
          <w:sz w:val="20"/>
          <w:szCs w:val="20"/>
          <w:color w:val="auto"/>
        </w:rPr>
      </w:pPr>
      <w:r>
        <w:rPr>
          <w:rFonts w:ascii="Arial" w:cs="Arial" w:eastAsia="Arial" w:hAnsi="Arial"/>
          <w:sz w:val="17"/>
          <w:szCs w:val="17"/>
          <w:color w:val="auto"/>
        </w:rPr>
        <w:t>We generally acquire patent assets from third parties using cash. Patent assets are recorded at fair value at acquisition.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66"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Because each client generally receives a license to the majority of our patent assets, we are unable to reliably determine the pattern over which our patent assets are consumed. As a result, we amortize each patent asset on a straight-line basis. The amortization period is equal to the asset’s estimated economic useful life. Estimating the economic useful life of patent assets requires significant management judgment. We consider various factors in estimating the economic useful lives of our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the vesting period for which such clients earn the right to a perpetual license in the asset and the remaining contractual term of our existing clients at the time of acquisition. In certain instances, where we acquire patent assets and secure related client committed cash flows that extend beyond the statutory life of the underlying patents, the useful life may extend beyond the statutory life of the patents. As of December 31, 2013, the estimated economic useful life of our patent assets generally ranged from 24 to 60 months. The weighted-average estimated economic useful life of patent assets acquired since inception was 47 months. The weighted-average estimated economic useful life of patent assets acquired during the year ended December 31, 2013 was 39 months. We periodically evaluate whether events and circumstances have occurred that may warrant a revision to the remaining estimated useful life of our patent assets.</w:t>
      </w:r>
    </w:p>
    <w:p>
      <w:pPr>
        <w:spacing w:after="0" w:line="18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 instances where we sell patent assets, the amount of consideration received is compared to the asset’s carrying value to determine and recognize a gain or loss.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840" w:firstLine="486"/>
        <w:spacing w:after="0" w:line="308" w:lineRule="auto"/>
        <w:rPr>
          <w:sz w:val="20"/>
          <w:szCs w:val="20"/>
          <w:color w:val="auto"/>
        </w:rPr>
      </w:pPr>
      <w:r>
        <w:rPr>
          <w:rFonts w:ascii="Arial" w:cs="Arial" w:eastAsia="Arial" w:hAnsi="Arial"/>
          <w:sz w:val="17"/>
          <w:szCs w:val="17"/>
          <w:color w:val="auto"/>
        </w:rPr>
        <w:t xml:space="preserve">We account for stock-based compensation for equity-settled awards issued to employees and directors under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ASC 718 requires that stock-based compensation expense for equity-settled awards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made to employees and directors be measured based on the estimated grant date fair value and recognized over the requisite service period. These equity-settled awards include stock options, restricted stock units (“RSUs”) and performance-based RSUs with a market condition (“PBRSUs”).</w:t>
      </w:r>
    </w:p>
    <w:p>
      <w:pPr>
        <w:spacing w:after="0" w:line="124"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fair value of stock options is estimated as of the date of grant using the Black-Scholes option-pricing model. The fair value of RSUs is estimated based on the fair market value of our common stock on the date of grant. For stock options and RSUs, the fair value of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5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fair value of PBRSUs is estimated as of the date of grant using the Monte-Carlo simulation model. For PBRSUs, stock-based compensation expense is recognized over the derived service period for each tranche (or market condition). Because our PBRSUs have multiple derived service periods, we use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these awards will only be reversible if the employee terminates prior to completing the requisite service periods for these award (i.e., compensation expense will not be reversed if the market condition is not met).</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Estimating the fair value of equity-settled awards as of the grant date using valuation models, such as the Black-Scholes option-pricing model and Monte-Carlo simulation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we calculated the expected term using the SEC simplified method. We have limited information on our past volatility and a limited operating history. Therefore, we have estimated the volatility data based on a study of publicly traded industry peer companies. For purposes of identifying these peer companies, we considered the industry, stage of development, size and financial leverage of potential comparable companies. The risk-free interest rate is based on the yield available on U.S. Treasury zero-coupon issues similar in duration to the expected term of the equity-settled award.</w:t>
      </w:r>
    </w:p>
    <w:p>
      <w:pPr>
        <w:spacing w:after="0" w:line="192"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 xml:space="preserve">We account for stock-based compensation for equity-settled awards issued to non-employees in exchange for goods and services under ASC 505-50, </w:t>
      </w:r>
      <w:r>
        <w:rPr>
          <w:rFonts w:ascii="Arial" w:cs="Arial" w:eastAsia="Arial" w:hAnsi="Arial"/>
          <w:sz w:val="17"/>
          <w:szCs w:val="17"/>
          <w:i w:val="1"/>
          <w:iCs w:val="1"/>
          <w:color w:val="auto"/>
        </w:rPr>
        <w:t xml:space="preserve">Equity-Based Payments to Non-Employees </w:t>
      </w:r>
      <w:r>
        <w:rPr>
          <w:rFonts w:ascii="Arial" w:cs="Arial" w:eastAsia="Arial" w:hAnsi="Arial"/>
          <w:sz w:val="17"/>
          <w:szCs w:val="17"/>
          <w:color w:val="auto"/>
        </w:rPr>
        <w:t>(“ASC 505-50”). ASC 505-50 requires that equity-settled awards issued to non-employees be measured at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73"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As of December 31, 2013, there was $10.5 million and $22.8 million of unrecognized compensation cost related to stock options and RSUs, including PBRSUs, respectively, which is expected to be recognized over a weighted-average period of 2.1 years and 3.0 years,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480" w:firstLine="486"/>
        <w:spacing w:after="0" w:line="257" w:lineRule="auto"/>
        <w:rPr>
          <w:sz w:val="20"/>
          <w:szCs w:val="20"/>
          <w:color w:val="auto"/>
        </w:rPr>
      </w:pPr>
      <w:r>
        <w:rPr>
          <w:rFonts w:ascii="Arial" w:cs="Arial" w:eastAsia="Arial" w:hAnsi="Arial"/>
          <w:sz w:val="18"/>
          <w:szCs w:val="18"/>
          <w:color w:val="auto"/>
        </w:rPr>
        <w:t>We account for income taxes using an asset and liability approach, which requires the recognition of deferred tax assets or 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8"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assess the likelihood that our deferred tax assets will be recovered from future taxable income, and to the extent we believe that recovery is not likely, we establish a valuation allowance. Judgment is required in determining our provision for income taxes, deferred tax assets and liabilities, and any valuation allowance recorded against the net deferred tax assets. We did not apply a valuation allowance against our deferred tax balances at December 31, 2013 or 2012.</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 xml:space="preserve">The calculation of our tax liabilities involves dealing with uncertainties in the application of complex tax laws and regulations in a multitude of jurisdictions across our global operations.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recognize tax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18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70"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Our effective tax rate could be adversely affected by changes in federal, state or foreign tax laws, certain non-deductible expenses arising from stock-based awards and changes in accounting principles. Our 2010 tax year is currently under examination by the State of California Franchise Tax Board. We do not expect a material impact on our consolidated financial statements as a result of this examination. The 2010 through 2012 tax periods remain open to examination by the Internal Revenue Service and the 2009 through 2012 tax periods remain open to examination by most state tax authorities. For our foreign jurisdictions, the 2009 through 2012 tax years remain open to examination by their respective tax authorities.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 xml:space="preserve">We apply the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166"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We use significant estimates and assumptions, including fair value estimates, to determine fair value of assets acquired,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We use actuarial models and techniques to estimate the reserve for incurred but not reported claims.</w:t>
      </w:r>
    </w:p>
    <w:p>
      <w:pPr>
        <w:spacing w:after="0" w:line="18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Loss expense for known and incurred but not reported claims are charged to earnings after deducting recoverable amounts under our reinsurance contract.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154,044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67,371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40,593</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Pr>
          <w:p>
            <w:pPr>
              <w:spacing w:after="0"/>
              <w:rPr>
                <w:sz w:val="18"/>
                <w:szCs w:val="18"/>
                <w:color w:val="auto"/>
              </w:rPr>
            </w:pPr>
          </w:p>
        </w:tc>
      </w:tr>
      <w:tr>
        <w:trPr>
          <w:trHeight w:val="33"/>
        </w:trPr>
        <w:tc>
          <w:tcPr>
            <w:tcW w:w="6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540" w:type="dxa"/>
            <w:vAlign w:val="bottom"/>
            <w:gridSpan w:val="2"/>
          </w:tcPr>
          <w:p>
            <w:pPr>
              <w:ind w:left="7140"/>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0"/>
                <w:szCs w:val="20"/>
                <w:color w:val="auto"/>
              </w:rPr>
            </w:pPr>
          </w:p>
        </w:tc>
        <w:tc>
          <w:tcPr>
            <w:tcW w:w="166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2011</w:t>
            </w:r>
          </w:p>
        </w:tc>
      </w:tr>
      <w:tr>
        <w:trPr>
          <w:trHeight w:val="33"/>
        </w:trPr>
        <w:tc>
          <w:tcPr>
            <w:tcW w:w="6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44</w:t>
            </w:r>
          </w:p>
        </w:tc>
      </w:tr>
      <w:tr>
        <w:trPr>
          <w:trHeight w:val="27"/>
        </w:trPr>
        <w:tc>
          <w:tcPr>
            <w:tcW w:w="6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(Gain) loss on sale of patent assets, net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6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2013 and 2012</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Our revenue for the year ended December 31, 2013 was $237.5 million compared to $197.7 million during the same period a year ago, an increase of $39.8 million, or 20%. Subscription revenue, which includes membership subscription services and premiums earned from insurance policies, for the year ended December 31, 2013 was $224.7 million compared to $185.6 million for the year ended December 31, 2012. The increase in subscription revenue was attributable to an increase in membership fees and insurance premiums, which was comprised of $19.0 million from new clients who joined our network subsequent to December 31, 2012 and $20.1 million from clients who joined our network prior to December 31, 2012. As of December 31, 2013 we had a total client network of 168 companies as compared to 140 as of December 31, 2012. Revenue for the year ended December 31, 2013 also included $12.8 million of fee-related revenue compared to $12.1 million in the same period a year ago.</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cost of revenue for the year ended December 31, 2013 was $110.8 million compared to $82.3 million during the same period a year ago, an increase of $28.4 million, or 35%. The increase was primarily attributable to a $25.1 million increase in patent amortization expense as a result of an increase in our patent assets and shorter than historical amortization periods for certain patent assets acquired during the year ended December 31, 2013, a $1.1 million increase to expenses incurred to maintain and prosecute patents and patent applications included in our portfolio, a $0.6 million increase in premiums ceded to reinsurers, and a $0.7 million increase in loss expense for known and incurred but not reported claims for policies issued by our insurance business as a result of an increase in the number of active insurance policies from six at December 31, 2012 to 25 at December 31, 2013. Cost of revenue for the year ended December 31, 2013 also included $0.5 million of fees incurred in connection with our performance of advisory services.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Our selling, general and administrative expenses for the year ended December 31, 2013 were $62.5 million compared to $53.6 million during the same period a year ago, an increase of $8.9 million or 17%. The increase was primarily due to a $7.8 million increase in personnel-related costs, including a $5.8 million increase in stock-based compensation expense, attributable to increasing our headcount to 137 employees as of December 31, 2013, and a $1.1 million increase in rent expense for leasing additional office space at our San Francisco headquarters. This increase was partially offset by a $0.6 million decrease in legal expenses. We expect that in the foreseeable future, selling, general and administrative expenses will increase as we seek to serve more clients, develop new products and services, and support our operations and compliance requirements as a public company.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provision for income taxes was $23.5 million and $23.1 million for the years ended December 31, 2013 and 2012, respectively. Our effective tax rate, including the impact of discrete benefit items, was 37% for both the years ended December 31, 2013 and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2012 and 2011</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revenue for the year ended December 31, 2012 was $197.7 million compared to $154.0 million for the year ended December 31, 2011, an increase of $43.6 million, or 28%. Subscription revenue for the year ended December 31, 2012 was $185.6 million compared to $150.7 million for the year ended December 31, 2011. The increase in subscription revenue was attributable to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increase in membership fees, which was comprised of $9.6 million from new clients who joined our network subsequent to December 31, 2011 and $25.3 million from clients who joined our network prior to December 31, 2011. As of December 31, 2012 we had a total client network of 140 companies as compared to 112 as of December 31, 2011. Revenue for the year ended December 31, 2012 also included $12.1 million of fee-related revenue, as compared to $3.3 million in the same period in 2011.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Our cost of revenue for the year ended December 31, 2012 was $82.3 million compared to $67.4 million during the year ended December 31, 2011, an increase of $15.0 million, or 22%. The year ended December 31, 2011 included a $4.0 million charge related to a payment made in lieu of a contingent obligation. Excluding this amount, cost of revenue for the year ended December 31, 2012 increased by $19.0 million, or 30%. The increase was primarily attributable to an $18.1 million increase in patent amortization expense as a result of an increase in our patent assets.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Our selling, general and administrative expenses for the year ended December 31, 2012 were $53.6 million compared to $40.6 million for the year ended December 31, 2011, an increase of $13.0 million, or 32%. The increase was primarily due to a $7.0 million increase in personnel-related costs, including stock-based compensation, attributable to increasing our headcount to 125 employees as of December 31, 2012, compared to 110 employees at December 31, 2011, a $2.3 million increase in our facility-related costs and depreciation due to leasing of additional office space and increased infrastructure costs associated with the growth of our business, a $1.2 million increase in our professional fees due to the growth of our business and incremental costs associated with being a public company, and a $1.8 million increase in legal expenses primarily due to the $2.1 million cost recovery that was recognized for the year ended December 31, 2011 as a result of an incomplete syndicated acquisition that had been expensed in 2010.</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Our tax provision at December 31, 2012 was $23.1 million compared to $16.2 million for the year ended December 31, 2011. Our effective tax rate for the year ended December 31, 2012 was 37% compared to 36% for the year ended December 31, 2011. The increase in our effective tax rate was primarily attributable to a shift in earnings in state jurisdictions, which resulted in an increase in our state 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We have financed substantially all of our operations and patent asset acquisitions through the sale of equity securities, subscription fees collected from our clients and patent-seller financing. As of December 31, 2013, we had $100.2 million of cash and cash equivalents and $190.6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212,473</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(194,208)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(230,629)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170,374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60,093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year ended December 31, 2013 was $212.5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$123.8 million, changes in working capital and non-current assets and liabilities of $47.9 million, and net income of $40.8 million. Non-cash adjustments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primarily consisted of $108.6 million of depreciation and amortization, $16.1 million of stock-based compensation, $6.0 million of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premium on investments, a reduction of $3.9 million due to excess tax benefit from stock-based compensation and a $3.3 million net decrease in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tax liabilities. The change in working capital and non-current assets and liabilities resulted primarily from a $33.8 million decrease in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receivables representing the collection of client contributions outstanding as a result of the completion of a syndicated patent acquisition and licensing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transaction, a $33.4 million increase in deferred revenue and a $3.6 million increase in our accrued and other liabilities which are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partially offset by a $13.3 million increase in accounts receivable and a $9.4 million increase in prepaid expenses and other assets. The increase in deferred revenue was due to $258.7 million in billings to new and existing clients and was partially offset by revenue and other adjustments recognized during the period of $225.3 million. The amount of deferred revenue in any given period varies with the addition of new clients, the mix of payment terms that we offer and the timing of invoicing existing clients.</w:t>
      </w:r>
    </w:p>
    <w:p>
      <w:pPr>
        <w:spacing w:after="0" w:line="18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Cash provided by operating activities for the year ended December 31, 2012 was $91.4 million, consisting of adjustments for non-cash items of $91.4 million, net income of $39.0 million, and changes in working capital and non-current assets and liabilities of $39.0 million. Non-cash adjustments to net income primarily consisted of $83.1 million of depreciation and amortization, $10.3 million of stock-based compensation, a reduction of $8.6 million due to excess tax benefit from stock-based compensation, $5.1 million of amortization of premium on investments and a $1.5 million net increase in our deferred tax assets. The change in working capital and non-current assets and liabilities resulted primarily from a $33.8 million increase in other receivables representing client contributions outstanding as a result of the completion of a syndicated patent acquisition and licensing transaction, a $9.0 million increase in accounts receivable and a $4.0 million decrease in deferred revenue which are partially offset by a $8.7 million decrease in prepaid expenses and other assets. The decrease in deferred revenue was due to $185.9 million of revenue and other adjustments recognized during the period and was partially offset by revenue billings to new and existing clients of $182.0 million.</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Cash used in investing activities for the year ended December 31, 2013 was $194.2 million, of which $127.1 million was used to acquire patent assets, $62.5 million was used for the net purchases of short-term marketable securities, $2.9 million was used to acquire property and equipment and $1.8 million represented an increase to our restricted cash. We expect our cash used in investing activities to increase in the future as we acquire additional patent assets.</w:t>
      </w:r>
    </w:p>
    <w:p>
      <w:pPr>
        <w:spacing w:after="0" w:line="147"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Cash used in investing activities for the year ended December 31, 2012 was $131.6 million, of which $87.4 million was used to acquire patent assets, $45.8 million was used to acquire the business of Altitude Capital and $1.7 million was used to acquire property and equipment. This increase was partially offset by $2.4 million in proceeds from net maturities of short-term marketable securities.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480" w:firstLine="486"/>
        <w:spacing w:after="0" w:line="264" w:lineRule="auto"/>
        <w:rPr>
          <w:sz w:val="20"/>
          <w:szCs w:val="20"/>
          <w:color w:val="auto"/>
        </w:rPr>
      </w:pPr>
      <w:r>
        <w:rPr>
          <w:rFonts w:ascii="Arial" w:cs="Arial" w:eastAsia="Arial" w:hAnsi="Arial"/>
          <w:sz w:val="18"/>
          <w:szCs w:val="18"/>
          <w:color w:val="auto"/>
        </w:rPr>
        <w:t>Cash provided by financing activities for the year ended December 31, 2013 was $8.3 million, resulting from $5.2 million in proceeds from the exercise of stock options and $3.9 million in excess tax benefit from stock-based compensation. This increase was partially offset by $0.8 million in tax withholdings related to net share settlements of restricted stock units.</w:t>
      </w:r>
    </w:p>
    <w:p>
      <w:pPr>
        <w:spacing w:after="0" w:line="18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Cash provided by financing activities for the year ended December 31, 2012 was $7.1 million, the result of $8.6 million in excess tax benefit from stock-based compensation, $3.2 million in proceeds from the exercise of stock options and $0.5 million in proceeds from other obligations. This increase was partially offset by $5.2 million of principal payments on our deferred payment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The following summarizes our non-cancelable minimum payments under contractual obligations and commitments as of December 31, 2013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More Than</w:t>
            </w: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4,154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8,210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8,478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3,613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24,455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2019. Our facility leases generally require us to pay operating costs, including property taxes, insurance and maintenance.</w:t>
      </w:r>
    </w:p>
    <w:p>
      <w:pPr>
        <w:spacing w:after="0" w:line="170"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In March 2012, we entered into an amended lease agreement related to our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As of December 31, 2013, the total future minimum payments required under this non-cancelable operating lease is $24.3 million, which is included in the table above.</w:t>
      </w:r>
    </w:p>
    <w:p>
      <w:pPr>
        <w:spacing w:after="0" w:line="15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Other noncurrent liabilities in our consolidated balance sheets consist primarily of deferred tax liabilities. As of December 31, 2013, we had net noncurrent deferred tax liabilities of $11.7 million primarily arising from amortization and depreciation expense. At this time, we are unable to make a reasonably reliable estimate of the timing of payments in individual years in connection with these tax liabilities; therefore, such amounts are not included in the above contractual obligations table.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18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7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In November 2013, we entered into an agreement to acquire patent assets for an aggregate purchase price of $3.0 million. Pursuant to this agreement, we paid the purchase price and acquired the patent assets in January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At December 31, 2013,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 full description of recent accounting pronouncements, including the expected dates of adoption and estimated effects on results of operations and financial condition can be found under the heading “Significant Accounting Policies” in Note 2 of the Notes to Consolidated Financial Statements in Part II, Item 8 of this Annual Report on Form 10-K. Such information is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 is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had cash, cash equivalents and short-term investments of $290.7 million as of December 31, 2013. Our cash balances deposited in U.S. banks are non-interest bearing and insured up to the Federal Deposit Insurance Corporation (“FDIC”) limits. Cash equivalents consist of commercial paper, institutional money market funds, U.S. government and agency securities and municipal bonds denominated primarily in U.S. Dollars. Interest rate fluctuations affect the returns on our invested funds.</w:t>
      </w:r>
    </w:p>
    <w:p>
      <w:pPr>
        <w:spacing w:after="0" w:line="18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As of December 31, 2013, our short-term investments of $190.6 million were primarily invested in municipal and corporate bonds maturing between 90 days and 12 months, commercial paper and U.S. government and agency securities. As of December 31, 2013,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December 31, 2013, we had not recorded an impairment related to our investments in the consolidated statement of operations.</w:t>
      </w:r>
    </w:p>
    <w:p>
      <w:pPr>
        <w:spacing w:after="0" w:line="19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If overall interest rates had changed by 10% during the year ended December 31, 2013,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year ended December 31, 2013. There can be no assurance that future inflation will not have an adverse impact on our consolidated results of operations or financial condition.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Index to Consolidated Financial Statements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r>
      <w:tr>
        <w:trPr>
          <w:trHeight w:val="526"/>
        </w:trPr>
        <w:tc>
          <w:tcPr>
            <w:tcW w:w="4220" w:type="dxa"/>
            <w:vAlign w:val="bottom"/>
            <w:gridSpan w:val="3"/>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Report of Independent Registered Public Accounting Firm</w:t>
              </w:r>
            </w:hyperlink>
          </w:p>
        </w:tc>
        <w:tc>
          <w:tcPr>
            <w:tcW w:w="6360" w:type="dxa"/>
            <w:vAlign w:val="bottom"/>
            <w:gridSpan w:val="6"/>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Balance Sheets as of December 31, 2013 and 2012</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900" w:type="dxa"/>
            <w:vAlign w:val="bottom"/>
            <w:gridSpan w:val="5"/>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Operations for the Years Ended December 31, 2013, 2012 and 2011</w:t>
              </w:r>
            </w:hyperlink>
          </w:p>
        </w:tc>
        <w:tc>
          <w:tcPr>
            <w:tcW w:w="3680" w:type="dxa"/>
            <w:vAlign w:val="bottom"/>
            <w:gridSpan w:val="4"/>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820" w:type="dxa"/>
            <w:vAlign w:val="bottom"/>
            <w:gridSpan w:val="7"/>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Consolidated Statements of Comprehensive Income for the Years Ended December 31, 2013, 2012 and 2011</w:t>
              </w:r>
            </w:hyperlink>
          </w:p>
        </w:tc>
        <w:tc>
          <w:tcPr>
            <w:tcW w:w="2760" w:type="dxa"/>
            <w:vAlign w:val="bottom"/>
            <w:gridSpan w:val="2"/>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9"/>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Consolidated Statements of Redeemable Convertible Preferred Stock and Stockholders’ Equity for the Years Ended December 31, 2013, 2012 and</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196"/>
        </w:trPr>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2011</w:t>
              </w:r>
            </w:hyperlink>
          </w:p>
        </w:tc>
        <w:tc>
          <w:tcPr>
            <w:tcW w:w="28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058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 for the Years Ended December 31, 2013, 2012 and 2011</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94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3640" w:type="dxa"/>
            <w:vAlign w:val="bottom"/>
            <w:gridSpan w:val="3"/>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507"/>
        </w:trPr>
        <w:tc>
          <w:tcPr>
            <w:tcW w:w="3140" w:type="dxa"/>
            <w:vAlign w:val="bottom"/>
            <w:tcBorders>
              <w:top w:val="single" w:sz="8" w:color="0000EE"/>
            </w:tcBorders>
            <w:gridSpan w:val="2"/>
          </w:tcPr>
          <w:p>
            <w:pPr>
              <w:spacing w:after="0"/>
              <w:rPr>
                <w:sz w:val="24"/>
                <w:szCs w:val="24"/>
                <w:color w:val="auto"/>
              </w:rPr>
            </w:pPr>
          </w:p>
        </w:tc>
        <w:tc>
          <w:tcPr>
            <w:tcW w:w="3760" w:type="dxa"/>
            <w:vAlign w:val="bottom"/>
            <w:gridSpan w:val="3"/>
          </w:tcPr>
          <w:p>
            <w:pPr>
              <w:jc w:val="right"/>
              <w:ind w:right="11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redeemable convertible preferred stock and stockholders’ equity and cash flows present fairly, in all material respects, the financial position of RPX Corporation and its subsidiaries at December 31, 2013 and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(1992) 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audits (which were integrated audits in 2013 and 2012).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2014</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3"/>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100,155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73,638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126,092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25,144</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33,775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5,237</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7,658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271,544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Patent assets,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219,954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199,314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3,226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cash, less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r>
      <w:tr>
        <w:trPr>
          <w:trHeight w:val="297"/>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588,801</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493,967</w:t>
            </w:r>
          </w:p>
        </w:tc>
      </w:tr>
      <w:tr>
        <w:trPr>
          <w:trHeight w:val="217"/>
        </w:trPr>
        <w:tc>
          <w:tcPr>
            <w:tcW w:w="8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131,808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101,249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111,336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revenue, less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3,122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133,708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1"/>
              </w:rPr>
              <w:t>Common stock, $0.0001 par value — 200,000 shares authorized; 52,692 and 51,084 issued and outstanding as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December 31, 2013 and 2012, respectively</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281,530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119,527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78,744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424,923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360,259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588,801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493,967</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237,504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154,044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67,371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40,593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45,357</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40,783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38,455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51"/>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40,763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available to common stockholders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189"/>
        </w:trPr>
        <w:tc>
          <w:tcPr>
            <w:tcW w:w="67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Weighted-average shares used in computing net income available to common stockholders</w:t>
            </w: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51,956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49,766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40,783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29,132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Unrealized holding gains (losses) arising during the period</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unrealized gains (losses) on available-for-sale securities,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40,851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38,960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29,109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5000" w:type="dxa"/>
            <w:vAlign w:val="bottom"/>
          </w:tcPr>
          <w:p>
            <w:pPr>
              <w:spacing w:after="0"/>
              <w:rPr>
                <w:sz w:val="14"/>
                <w:szCs w:val="14"/>
                <w:color w:val="auto"/>
              </w:rPr>
            </w:pPr>
          </w:p>
        </w:tc>
        <w:tc>
          <w:tcPr>
            <w:tcW w:w="13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Redeemable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80" w:type="dxa"/>
            <w:vAlign w:val="bottom"/>
            <w:tcBorders>
              <w:right w:val="single" w:sz="8" w:color="auto"/>
            </w:tcBorders>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80" w:type="dxa"/>
            <w:vAlign w:val="bottom"/>
            <w:tcBorders>
              <w:right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12"/>
                <w:szCs w:val="12"/>
                <w:color w:val="auto"/>
              </w:rPr>
            </w:pPr>
          </w:p>
        </w:tc>
        <w:tc>
          <w:tcPr>
            <w:tcW w:w="132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Common Stock</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50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8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10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75"/>
        </w:trPr>
        <w:tc>
          <w:tcPr>
            <w:tcW w:w="5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50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2010</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26,230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4"/>
              </w:rPr>
              <w:t>$ 62,793</w:t>
            </w:r>
          </w:p>
        </w:tc>
        <w:tc>
          <w:tcPr>
            <w:tcW w:w="12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7"/>
              </w:rPr>
              <w:t>10,944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10,655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10,707</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Components of comprehensive income, net of tax:</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29,132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29,132</w:t>
            </w:r>
          </w:p>
        </w:tc>
        <w:tc>
          <w:tcPr>
            <w:tcW w:w="0" w:type="dxa"/>
            <w:vAlign w:val="bottom"/>
          </w:tcPr>
          <w:p>
            <w:pPr>
              <w:spacing w:after="0"/>
              <w:rPr>
                <w:sz w:val="1"/>
                <w:szCs w:val="1"/>
                <w:color w:val="auto"/>
              </w:rPr>
            </w:pPr>
          </w:p>
        </w:tc>
      </w:tr>
      <w:tr>
        <w:trPr>
          <w:trHeight w:val="263"/>
        </w:trPr>
        <w:tc>
          <w:tcPr>
            <w:tcW w:w="5000" w:type="dxa"/>
            <w:vAlign w:val="bottom"/>
          </w:tcPr>
          <w:p>
            <w:pPr>
              <w:ind w:left="260"/>
              <w:spacing w:after="0"/>
              <w:rPr>
                <w:sz w:val="20"/>
                <w:szCs w:val="20"/>
                <w:color w:val="auto"/>
              </w:rPr>
            </w:pPr>
            <w:r>
              <w:rPr>
                <w:rFonts w:ascii="Arial" w:cs="Arial" w:eastAsia="Arial" w:hAnsi="Arial"/>
                <w:sz w:val="14"/>
                <w:szCs w:val="14"/>
                <w:color w:val="auto"/>
              </w:rPr>
              <w:t>Unrealized loss on available-for-sale securities, net of tax</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Issuance of common stock in May 2011 initial public offering at $19.00 per share, net of</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of $2,915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2"/>
              </w:rPr>
              <w:t>157,256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157,257</w:t>
            </w:r>
          </w:p>
        </w:tc>
        <w:tc>
          <w:tcPr>
            <w:tcW w:w="0" w:type="dxa"/>
            <w:vAlign w:val="bottom"/>
          </w:tcPr>
          <w:p>
            <w:pPr>
              <w:spacing w:after="0"/>
              <w:rPr>
                <w:sz w:val="1"/>
                <w:szCs w:val="1"/>
                <w:color w:val="auto"/>
              </w:rPr>
            </w:pPr>
          </w:p>
        </w:tc>
      </w:tr>
      <w:tr>
        <w:trPr>
          <w:trHeight w:val="165"/>
        </w:trPr>
        <w:tc>
          <w:tcPr>
            <w:tcW w:w="5000" w:type="dxa"/>
            <w:vAlign w:val="bottom"/>
          </w:tcPr>
          <w:p>
            <w:pPr>
              <w:ind w:left="20"/>
              <w:spacing w:after="0"/>
              <w:rPr>
                <w:sz w:val="20"/>
                <w:szCs w:val="20"/>
                <w:color w:val="auto"/>
              </w:rPr>
            </w:pPr>
            <w:r>
              <w:rPr>
                <w:rFonts w:ascii="Arial" w:cs="Arial" w:eastAsia="Arial" w:hAnsi="Arial"/>
                <w:sz w:val="14"/>
                <w:szCs w:val="14"/>
                <w:color w:val="auto"/>
                <w:w w:val="90"/>
              </w:rPr>
              <w:t>Issuance of common stock in September 2011 follow-on offering at $20.49 per share, net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000" w:type="dxa"/>
            <w:vAlign w:val="bottom"/>
          </w:tcPr>
          <w:p>
            <w:pPr>
              <w:ind w:left="20"/>
              <w:spacing w:after="0"/>
              <w:rPr>
                <w:sz w:val="20"/>
                <w:szCs w:val="20"/>
                <w:color w:val="auto"/>
              </w:rPr>
            </w:pPr>
            <w:r>
              <w:rPr>
                <w:rFonts w:ascii="Arial" w:cs="Arial" w:eastAsia="Arial" w:hAnsi="Arial"/>
                <w:sz w:val="14"/>
                <w:szCs w:val="14"/>
                <w:color w:val="auto"/>
              </w:rPr>
              <w:t>of issuance costs of $540</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26,855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26,855</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Issuance of common stock upon exercise of stock options, vesting of restricted stock</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 and other common stock issuances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Issuance of restricted stock upon early exercise of options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preferred stock into shares of common stock</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88"/>
              </w:rPr>
              <w:t>(26,230)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(62,793)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7"/>
              </w:rPr>
              <w:t>26,230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62,790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62,793</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Vesting of stock options early exercised</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7,106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7,106</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Tax benefit of equity award deductions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2011</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w w:val="97"/>
              </w:rPr>
              <w:t>49,145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82"/>
              </w:rPr>
              <w:t>259,315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39,787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299,084</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 net of tax:</w:t>
            </w: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38,957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38,957</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gain on available-for-sale securities, net of tax</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5"/>
        </w:trPr>
        <w:tc>
          <w:tcPr>
            <w:tcW w:w="5000" w:type="dxa"/>
            <w:vAlign w:val="bottom"/>
          </w:tcPr>
          <w:p>
            <w:pPr>
              <w:ind w:left="20"/>
              <w:spacing w:after="0"/>
              <w:rPr>
                <w:sz w:val="20"/>
                <w:szCs w:val="20"/>
                <w:color w:val="auto"/>
              </w:rPr>
            </w:pPr>
            <w:r>
              <w:rPr>
                <w:rFonts w:ascii="Arial" w:cs="Arial" w:eastAsia="Arial" w:hAnsi="Arial"/>
                <w:sz w:val="14"/>
                <w:szCs w:val="14"/>
                <w:color w:val="auto"/>
                <w:w w:val="94"/>
              </w:rPr>
              <w:t>Issuance of common stock upon exercise of stock options, vesting of restricted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000" w:type="dxa"/>
            <w:vAlign w:val="bottom"/>
          </w:tcPr>
          <w:p>
            <w:pPr>
              <w:ind w:left="20"/>
              <w:spacing w:after="0"/>
              <w:rPr>
                <w:sz w:val="20"/>
                <w:szCs w:val="20"/>
                <w:color w:val="auto"/>
              </w:rPr>
            </w:pPr>
            <w:r>
              <w:rPr>
                <w:rFonts w:ascii="Arial" w:cs="Arial" w:eastAsia="Arial" w:hAnsi="Arial"/>
                <w:sz w:val="14"/>
                <w:szCs w:val="14"/>
                <w:color w:val="auto"/>
              </w:rPr>
              <w:t>units and other common stock issuances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3,154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upon early exercise of options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Vesting of options early exercised</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10,644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10,644</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Tax benefit of equity award deductions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8,317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8,317</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2012</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w w:val="97"/>
              </w:rPr>
              <w:t>51,084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82"/>
              </w:rPr>
              <w:t>281,530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78,744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360,259</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 net of tax:</w:t>
            </w: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40,783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40,783</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gain on available-for-sale securities, net of tax</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5"/>
        </w:trPr>
        <w:tc>
          <w:tcPr>
            <w:tcW w:w="5000" w:type="dxa"/>
            <w:vAlign w:val="bottom"/>
          </w:tcPr>
          <w:p>
            <w:pPr>
              <w:ind w:left="20"/>
              <w:spacing w:after="0"/>
              <w:rPr>
                <w:sz w:val="20"/>
                <w:szCs w:val="20"/>
                <w:color w:val="auto"/>
              </w:rPr>
            </w:pPr>
            <w:r>
              <w:rPr>
                <w:rFonts w:ascii="Arial" w:cs="Arial" w:eastAsia="Arial" w:hAnsi="Arial"/>
                <w:sz w:val="14"/>
                <w:szCs w:val="14"/>
                <w:color w:val="auto"/>
                <w:w w:val="94"/>
              </w:rPr>
              <w:t>Issuance of common stock upon exercise of stock options, vesting of restricted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000" w:type="dxa"/>
            <w:vAlign w:val="bottom"/>
          </w:tcPr>
          <w:p>
            <w:pPr>
              <w:ind w:left="20"/>
              <w:spacing w:after="0"/>
              <w:rPr>
                <w:sz w:val="20"/>
                <w:szCs w:val="20"/>
                <w:color w:val="auto"/>
              </w:rPr>
            </w:pPr>
            <w:r>
              <w:rPr>
                <w:rFonts w:ascii="Arial" w:cs="Arial" w:eastAsia="Arial" w:hAnsi="Arial"/>
                <w:sz w:val="14"/>
                <w:szCs w:val="14"/>
                <w:color w:val="auto"/>
              </w:rPr>
              <w:t>units and other common stock issuances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5,223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5,223</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Vesting of options early exercised</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16,192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16,192</w:t>
            </w:r>
          </w:p>
        </w:tc>
        <w:tc>
          <w:tcPr>
            <w:tcW w:w="0" w:type="dxa"/>
            <w:vAlign w:val="bottom"/>
          </w:tcPr>
          <w:p>
            <w:pPr>
              <w:spacing w:after="0"/>
              <w:rPr>
                <w:sz w:val="1"/>
                <w:szCs w:val="1"/>
                <w:color w:val="auto"/>
              </w:rPr>
            </w:pPr>
          </w:p>
        </w:tc>
      </w:tr>
      <w:tr>
        <w:trPr>
          <w:trHeight w:val="263"/>
        </w:trPr>
        <w:tc>
          <w:tcPr>
            <w:tcW w:w="5000" w:type="dxa"/>
            <w:vAlign w:val="bottom"/>
          </w:tcPr>
          <w:p>
            <w:pPr>
              <w:ind w:left="20"/>
              <w:spacing w:after="0"/>
              <w:rPr>
                <w:sz w:val="20"/>
                <w:szCs w:val="20"/>
                <w:color w:val="auto"/>
              </w:rPr>
            </w:pPr>
            <w:r>
              <w:rPr>
                <w:rFonts w:ascii="Arial" w:cs="Arial" w:eastAsia="Arial" w:hAnsi="Arial"/>
                <w:sz w:val="14"/>
                <w:szCs w:val="14"/>
                <w:color w:val="auto"/>
              </w:rPr>
              <w:t>Tax benefit of equity award deductions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27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withholdings related to net share settlements of restricted stock units</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2013</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w w:val="97"/>
              </w:rPr>
              <w:t>52,692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82"/>
              </w:rPr>
              <w:t>305,343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119,527</w:t>
            </w:r>
          </w:p>
        </w:tc>
        <w:tc>
          <w:tcPr>
            <w:tcW w:w="120" w:type="dxa"/>
            <w:vAlign w:val="bottom"/>
          </w:tcPr>
          <w:p>
            <w:pPr>
              <w:spacing w:after="0"/>
              <w:rPr>
                <w:sz w:val="21"/>
                <w:szCs w:val="21"/>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424,923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40,783</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38,957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29,132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108,629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63,446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Imputed interest on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(Gain) loss on sale of patent assets, net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premium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5,624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receivables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(12,085)</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25,714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120,348</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(202,430)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Maturities of investments classified as available-for-sale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147,052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188,026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78,246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Business acquisitions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decrease in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Purchases of intangible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Acquisitions of patent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(127,101)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(87,366)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(101,170)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patent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(194,208)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(131,630)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(230,629)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Repayments of principal on deferred payment obligations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other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Proceeds from issuance of common stock in initial public offering, net of issuance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157,478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common stock in follow-on offering,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26,855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 and other common stock issuances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2,993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paid related to net-share settlements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2,302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170,374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26,517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(33,111)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60,093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73,638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46,656</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100,155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73,638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12700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-130175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1,216</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17,849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9,000</w:t>
            </w:r>
          </w:p>
        </w:tc>
      </w:tr>
      <w:tr>
        <w:trPr>
          <w:trHeight w:val="284"/>
        </w:trPr>
        <w:tc>
          <w:tcPr>
            <w:tcW w:w="6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62,793</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patent assets purchased and accrued but not paid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fixed assets purchased and accrued but not paid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purchased and accrued but not paid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Patent assets and intangible assets received in barter transactions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Costs related to public offerings accrued but not paid</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33"/>
        </w:trPr>
        <w:tc>
          <w:tcPr>
            <w:tcW w:w="6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As of and for the year ended December 31, 2013, the effect of the insurance policies that have been issued was not material to the Company’s results of operations or financial condition.</w:t>
      </w:r>
    </w:p>
    <w:p>
      <w:pPr>
        <w:spacing w:after="0" w:line="160" w:lineRule="exact"/>
        <w:rPr>
          <w:sz w:val="20"/>
          <w:szCs w:val="20"/>
          <w:color w:val="auto"/>
        </w:rPr>
      </w:pPr>
    </w:p>
    <w:p>
      <w:pPr>
        <w:ind w:left="620" w:hanging="612"/>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consolidated financial statements have been prepared in accordance with accounting principles generally accepted in the United States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and include the accounts of RPX and its wholly owned subsidiaries. All intercompany transactions have been eliminated.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estimates and assumptions made by management include the determination of:</w:t>
      </w:r>
    </w:p>
    <w:p>
      <w:pPr>
        <w:spacing w:after="0" w:line="77"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estimated economic useful lives of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determination of an estimated selling price of a subscription to the Company’s patent risk management solution and its insurance offering;</w:t>
      </w:r>
    </w:p>
    <w:p>
      <w:pPr>
        <w:spacing w:after="0" w:line="99" w:lineRule="exact"/>
        <w:rPr>
          <w:rFonts w:ascii="Arial" w:cs="Arial" w:eastAsia="Arial" w:hAnsi="Arial"/>
          <w:sz w:val="16"/>
          <w:szCs w:val="16"/>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value of assets acquired and liabilities assumed for business combinations;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recognition and measurement of current and deferred income taxes;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value of stock awards issued;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estimated reserves for known and incurred but not reported claims.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 xml:space="preserve">The Company recognizes revenue in accordance with Financial Accounting Standards Board (“FASB”)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and related authoritative guidance. The primary source of the Company’s revenue is fees paid by its clients under subscription agreements. The Company believes that its patent risk management solution comprises a single deliverable and thus the Company recognizes each subscription fee ratably over the period for which the fee applies. Revenue is recognized net of any discounts or other contractual incentives. The Company starts recognizing revenue when all of the following criteria have been met:</w:t>
      </w:r>
    </w:p>
    <w:p>
      <w:pPr>
        <w:spacing w:after="0" w:line="24"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an executed subscription agreement.</w:t>
      </w:r>
    </w:p>
    <w:p>
      <w:pPr>
        <w:spacing w:after="0" w:line="76" w:lineRule="exact"/>
        <w:rPr>
          <w:rFonts w:ascii="Arial" w:cs="Arial" w:eastAsia="Arial" w:hAnsi="Arial"/>
          <w:sz w:val="18"/>
          <w:szCs w:val="18"/>
          <w:color w:val="auto"/>
        </w:rPr>
      </w:pPr>
    </w:p>
    <w:p>
      <w:pPr>
        <w:ind w:left="820" w:right="40" w:hanging="326"/>
        <w:spacing w:after="0" w:line="279"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The subscription agreement calls for the Company to provide its patent risk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 over a specific term commencing on the agreement effective date. Because services are not on an individualized basis (</w:t>
      </w:r>
      <w:r>
        <w:rPr>
          <w:rFonts w:ascii="Arial" w:cs="Arial" w:eastAsia="Arial" w:hAnsi="Arial"/>
          <w:sz w:val="17"/>
          <w:szCs w:val="17"/>
          <w:i w:val="1"/>
          <w:iCs w:val="1"/>
          <w:color w:val="auto"/>
        </w:rPr>
        <w:t>i.e.</w:t>
      </w:r>
      <w:r>
        <w:rPr>
          <w:rFonts w:ascii="Arial" w:cs="Arial" w:eastAsia="Arial" w:hAnsi="Arial"/>
          <w:sz w:val="17"/>
          <w:szCs w:val="17"/>
          <w:color w:val="auto"/>
        </w:rPr>
        <w:t>, the Company generally performs its services on behalf of all of its clients as opposed to each client individually), delivery occurs automatically with the passage of time. Consequently, the Company recognizes subscription revenue ratably.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hanging="326"/>
        <w:spacing w:after="0" w:line="255"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Seller’s price to the buyer is fixed or determinable. </w:t>
      </w:r>
      <w:r>
        <w:rPr>
          <w:rFonts w:ascii="Arial" w:cs="Arial" w:eastAsia="Arial" w:hAnsi="Arial"/>
          <w:sz w:val="18"/>
          <w:szCs w:val="18"/>
          <w:color w:val="auto"/>
        </w:rPr>
        <w:t>Each client’s annual subscription fee is typically based on the Company’s fee schedule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client’s initial agreement. A client’s subscription fee is generally determined using its fee schedule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44"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 again at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each anniversary date thereof. The Company does not recognize revenue in instances where collectability is not reasonably assured. Generally, the Company’s subscription agreements state that all fees paid are non-refundable.</w:t>
      </w:r>
    </w:p>
    <w:p>
      <w:pPr>
        <w:spacing w:after="0" w:line="18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Company’s clients generally receive a term license to, and a release from all prior damages associated with, patent assets in the Company’s portfolio. The term license to each patent asset typically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w:t>
      </w:r>
    </w:p>
    <w:p>
      <w:pPr>
        <w:spacing w:after="0" w:line="18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In some instances, the Company accepts a payment from a client to finance part or all of an acquisition. The Company refers to such transactions as syndicated acquisitions. The accounting for syndicated acquisitions can be complex and often requires judgments on the part of management as to the appropriate accounting treatment. In accordance with ASC 605-45, </w:t>
      </w:r>
      <w:r>
        <w:rPr>
          <w:rFonts w:ascii="Arial" w:cs="Arial" w:eastAsia="Arial" w:hAnsi="Arial"/>
          <w:sz w:val="17"/>
          <w:szCs w:val="17"/>
          <w:i w:val="1"/>
          <w:iCs w:val="1"/>
          <w:color w:val="auto"/>
        </w:rPr>
        <w:t>Revenue Recognition: Principal Agent Considerations</w:t>
      </w:r>
      <w:r>
        <w:rPr>
          <w:rFonts w:ascii="Arial" w:cs="Arial" w:eastAsia="Arial" w:hAnsi="Arial"/>
          <w:sz w:val="17"/>
          <w:szCs w:val="17"/>
          <w:color w:val="auto"/>
        </w:rPr>
        <w:t>, in 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the Company’s determination that it is not the principal in these transactions. In these situations, where the Company substantively acts as an agent, the contributing clients are typically defendants in an active or threatened patent infringement litigation filed by the owner of a patent. The Company’s involvement is to assist its clients to secure a dismissal from litigation and a license to the underlying patents.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reach the determination that the Company is not the principal in the transaction include, among others:</w:t>
      </w:r>
    </w:p>
    <w:p>
      <w:pPr>
        <w:spacing w:after="0" w:line="77" w:lineRule="exact"/>
        <w:rPr>
          <w:sz w:val="20"/>
          <w:szCs w:val="20"/>
          <w:color w:val="auto"/>
        </w:rPr>
      </w:pPr>
    </w:p>
    <w:p>
      <w:pPr>
        <w:ind w:left="820" w:right="140" w:hanging="326"/>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32"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no inventory risk, as the clients generally enter into their contractual obligations with the Company prior to or contemporaneous to the Company entering into a contractual obligation with the seller;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generally has limited pricing latitude as client contributions are based on the sales price set by the seller;</w:t>
      </w:r>
    </w:p>
    <w:p>
      <w:pPr>
        <w:spacing w:after="0" w:line="76"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21"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limited or no credit risk, as each respective client has a contractually binding obligation, such clients are generally of high credit quality and in many instances, the Company collects the client contribution prior to making a payment to the seller.</w:t>
      </w:r>
    </w:p>
    <w:p>
      <w:pPr>
        <w:spacing w:after="0" w:line="17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 certain syndicated transactions, the Company may recognize revenue upon the sale of licenses to specific patent assets and/or upon completion of the rendering of advisory services.</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Revenue recognition for arrangements with multiple deliverables. </w:t>
      </w:r>
      <w:r>
        <w:rPr>
          <w:rFonts w:ascii="Arial" w:cs="Arial" w:eastAsia="Arial" w:hAnsi="Arial"/>
          <w:sz w:val="18"/>
          <w:szCs w:val="18"/>
          <w:color w:val="auto"/>
        </w:rPr>
        <w:t>A multiple-element arrangement includes the sale of a subscription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risk management solution and an insurance policy to cover certain costs associated with patent infringement lawsuits by NPEs, each of which are individually considered separate units of accounting. Each element within a multiple-element arrangement is accounted for as a separate unit of accounting given that the delivered products have value to the customer on a standalone basis. The Company considers a deliverable to have standalone value if the product or service is sold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separately by itself or another vendor. Although there’s a requirement to purchase both products concurrently, the delivery of insurance coverage is not dependent on a client’s subscription to the Company’s patent risk management solution. The Company’s insurance product offering is unique, however a company would be able to purchase insurance coverage as a standalone product from other providers. The Company sells its patent risk management solution on a standalone basis as its core business product.</w:t>
      </w:r>
    </w:p>
    <w:p>
      <w:pPr>
        <w:spacing w:after="0" w:line="13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Company has determined its best estimate of selling price (“BESP”) for a subscription to our patent risk management solution based on the following:</w:t>
      </w:r>
    </w:p>
    <w:p>
      <w:pPr>
        <w:spacing w:after="0" w:line="22" w:lineRule="exact"/>
        <w:rPr>
          <w:sz w:val="20"/>
          <w:szCs w:val="20"/>
          <w:color w:val="auto"/>
        </w:rPr>
      </w:pPr>
    </w:p>
    <w:p>
      <w:pPr>
        <w:ind w:left="1080" w:right="20" w:hanging="316"/>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List price, which represents the rates listed on its annual rate card. The Company publishes a standard fee schedule on an annual basis. Each client’s subscription fee is typically calculated using its fee schedule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revenue and operating income for its most recently completed fiscal years.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determined its BESP for its insurance product based on the following:</w:t>
      </w:r>
    </w:p>
    <w:p>
      <w:pPr>
        <w:spacing w:after="0" w:line="77" w:lineRule="exact"/>
        <w:rPr>
          <w:sz w:val="20"/>
          <w:szCs w:val="20"/>
          <w:color w:val="auto"/>
        </w:rPr>
      </w:pPr>
    </w:p>
    <w:p>
      <w:pPr>
        <w:ind w:left="1080" w:right="20" w:hanging="316"/>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Actuarially determined factors. Although the Company does not sell its insurance product on a standalone basis, the pricing is not affected by the subscription to its patent risk management solution. The Company has created an actuarial model that calculates an individual client’s insurance premium based on its projected annual frequency (i.e., number of claims during the policy term) and severity (i.e., the amount which it expects to settle a claim).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Payments to Clients</w:t>
      </w:r>
    </w:p>
    <w:p>
      <w:pPr>
        <w:spacing w:after="0" w:line="7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Arial" w:cs="Arial" w:eastAsia="Arial" w:hAnsi="Arial"/>
          <w:sz w:val="18"/>
          <w:szCs w:val="18"/>
          <w:i w:val="1"/>
          <w:iCs w:val="1"/>
          <w:color w:val="auto"/>
        </w:rPr>
        <w:t>Revenue Recognition: Customer Payments and Incentives</w:t>
      </w:r>
      <w:r>
        <w:rPr>
          <w:rFonts w:ascii="Arial" w:cs="Arial" w:eastAsia="Arial" w:hAnsi="Arial"/>
          <w:sz w:val="18"/>
          <w:szCs w:val="18"/>
          <w:color w:val="auto"/>
        </w:rPr>
        <w:t>, which requires the Company to offset the amount of the payment, discount or other contractual incentive against revenue if the Company is unable to demonstrate both receipt of an identifiable benefit and determine the fair value of the benefit received.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7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generally invoices its clients upon execution of a new agreement and prior to any anniversary date for existing agreements. The Company records the amount of fees billed as deferred revenue and recognizes such amounts as revenue ratably over the period for which they apply. The Company generally records deferred revenue when it has the legal right to bill amounts owed and the applicable service period has commenced. In the rare instance where a term has commenced but 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Accounts receivable primarily includes amounts billed to clients under their subscription agreements. The majority of the Company’s clients are well-established operating companies with investment-grade credit. For the years ended December 31, 2013 and 2012, the Company has not incurred any losses on its accounts receivable. Based upon its historical collections experience and specific client information, the Company has determined that no allowance for doubtful accounts was required at either December 31, 2013 or 2012.</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7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 is subject to concentrations of credit risk principally attributable to cash, cash equivalents, investments, accounts receivable and other receivables. The Company’s non-restricted cash balances deposited in U.S. banks are non-interest bearing and are insured up to the Federal Deposit Insurance Corporation (“FDIC”) limits. Cash equivalents primarily consist of institutional money market funds, U.S. government and agency securities, municipal bonds and commercial paper denominated primarily in U.S. dollars. Investment policies have been implemented that limit purchases of debt securities to investment-grade securities.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Credit risk with respect to accounts and other receivables is generally mitigated by short collection periods and/or subscription agreements that provide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payments in advance of the rendering of services. Four clients individually accounted for 18%, 16%, 13% and 11% of accounts receivable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Three clients individually accounted for 22%, 18% and 13% of accounts receivable at December 31, 2012. Two clients, neither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represented in the accounts receivable balance at December 31, 2012, individually accounted for 62% and 38% of other receivables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No client accounted for more than 10% of subscription fee revenue in any of the years ended December 31, 2013, 2012 or 2011.</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7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that would be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9" w:lineRule="exact"/>
        <w:rPr>
          <w:sz w:val="20"/>
          <w:szCs w:val="20"/>
          <w:color w:val="auto"/>
        </w:rPr>
      </w:pPr>
    </w:p>
    <w:p>
      <w:pPr>
        <w:ind w:left="1220" w:right="200" w:hanging="72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based on quoted prices in active markets for identical assets or liabilities and readily accessible by the Company at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22" w:lineRule="exact"/>
        <w:rPr>
          <w:sz w:val="20"/>
          <w:szCs w:val="20"/>
          <w:color w:val="auto"/>
        </w:rPr>
      </w:pPr>
    </w:p>
    <w:p>
      <w:pPr>
        <w:ind w:left="1220" w:right="440" w:hanging="72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through market corroboration, for substantially the full term of the financial instrument.</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carrying amounts of the Company’s financial instruments, which include cash equivalents, investments, accounts receivable, other receivables and accounts payable, approximate their fair values due to their short maturities. Based on borrowing rates currently available to the Company for notes payable and other deferred payment obligations with similar terms, and considering the Company’s credit risk, the carrying value of deferred payment obligations approximates fair value.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Company’s cash and cash equivalents principally consist of commercial paper, institutional money market funds, U.S. government and agency securities and municipal bonds denominated primarily in U.S. dollars. Cash equivalents are highly liquid, short-term investments having an original maturity of 90 days or less that are readily convertible to known amounts of cash.</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7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Restricted cash consists of a certificate of deposit established as collateral for the Company’s office lease agreement. At December 31, 2013 and 2012, the Company had restricted cash (current and non-current) of $1.8 million and nil,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7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Company holds short-term investments in municipal and corporate bonds maturing between 90 days and 12 months, commercial paper and U.S. government and agency securities. The Company considers its investments as available to support current operations. As a result, the Company classifies its investments, including those with stated maturities beyond twelve months, as current assets in the accompanying consolidated balance sheets. The Company classifies these securities as “available-for-sale” and carries them at fair value on the consolidated balance sheets. Unrealized gains or losses are recorded, net of estimated taxes, in accumulated other comprehensive income (loss), a component of stockholders’ equity. Realized gains and losses are recognized upon sale. The specific identification method is used to determine the cost basis of fixed income securities sold.</w:t>
      </w:r>
    </w:p>
    <w:p>
      <w:pPr>
        <w:spacing w:after="0" w:line="16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To date, the Company has not recorded any impairment related to its investments in its consolidated statements of operations.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77" w:lineRule="exact"/>
        <w:rPr>
          <w:sz w:val="20"/>
          <w:szCs w:val="20"/>
          <w:color w:val="auto"/>
        </w:rPr>
      </w:pPr>
    </w:p>
    <w:p>
      <w:pPr>
        <w:ind w:right="260" w:firstLine="486"/>
        <w:spacing w:after="0" w:line="297"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a straight-line method over the estimated useful lives of the related assets, which is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 of the lease, or the useful life of the assets, whichever is shorter.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7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Company capitalizes development costs related to internal-use software and its website and records such amounts as property and equipment, net, on its consolidated balance sheets. These costs include personnel and personnel-related expenses and consultant fees incurred during the application development stages of the project. Costs related to preliminary project activities, minor enhancement and maintenance, and post 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78" w:lineRule="exact"/>
        <w:rPr>
          <w:sz w:val="20"/>
          <w:szCs w:val="20"/>
          <w:color w:val="auto"/>
        </w:rPr>
      </w:pPr>
    </w:p>
    <w:p>
      <w:pPr>
        <w:jc w:val="both"/>
        <w:ind w:right="420" w:firstLine="486"/>
        <w:spacing w:after="0" w:line="264" w:lineRule="auto"/>
        <w:rPr>
          <w:sz w:val="20"/>
          <w:szCs w:val="20"/>
          <w:color w:val="auto"/>
        </w:rPr>
      </w:pPr>
      <w:r>
        <w:rPr>
          <w:rFonts w:ascii="Arial" w:cs="Arial" w:eastAsia="Arial" w:hAnsi="Arial"/>
          <w:sz w:val="18"/>
          <w:szCs w:val="18"/>
          <w:color w:val="auto"/>
        </w:rPr>
        <w:t>During the years ended December 31, 2013, 2012 and 2011, the Company capitalized $1.2 million, $1.9 million and $1.2 million, respectively, of internal-use software and website development costs. Amortization of internal-use software was $1.1 million, $0.8 million and $0.1 million for the years ended December 31, 2013, 2012 and 2011,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 Net</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generally acquires patent assets from third parties using cash and contractually deferred payments. Patent assets are recorded at fair value at acquisition.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8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Because each client generally receives a license to the majority of the Company’s patent assets, the Company is unable to reliably determine the pattern over which its patent assets are consumed. As a result, the Company amortizes each patent asset on a straight-line basis. The amortization period is equal to the asset’s estimated economic useful life. Estimating the economic useful life of patent assets requires significant management judgment. The Company considers various factors in estimating the economic useful lives of its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the vesting period for which such clients earn the right to a perpetual license in the asset and the remaining contractual term of the Company’s existing clients at the time of acquisition. In certain instances, where the Company acquires patent assets and secures related client committed cash flows that extend beyond the statutory life of the underlying patents, the useful life may extend beyond the statutory life of the patents. As of December 31, 2013, the estimated economic useful life of the Company’s patent assets generally ranged from 24 to 60 months. The weighted-average estimated economic useful life of patent assets acquired since inception was 47 months. The weighted-average estimated economic useful life of patent assets acquired during the year ended December 31, 2013 was 39 months. The Company periodically evaluates whether events and circumstances have occurred that may warrant a revision to the remaining estimated useful life of its patent assets.</w:t>
      </w:r>
    </w:p>
    <w:p>
      <w:pPr>
        <w:spacing w:after="0" w:line="17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 instances where the Company sells patent assets, the amount of consideration received is compared to the asset’s carrying value to determine and recognize a gain or loss.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7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Company assesses the recoverability of its long-lived assets, which includes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the portfolio of patent assets to all of its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management determines such impairment. To date, there have been no impairments of long-lived assets identified.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Company reviews goodwill for impairment at least annually on September 30 or more frequently if events or changes in circumstances indicate that the carrying value of goodwill may not be recoverable. For fiscal year 2013, the Company elected to first assess the qualitative factors to determine whether it is more likely than not that the fair value of its single reporting unit is less than its carrying amount as a basis for determining whether it is necessary to perform the two-step goodwill impairment under ASC Topic 350,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Intangibles - Goodwill &amp; Other </w:t>
      </w:r>
      <w:r>
        <w:rPr>
          <w:rFonts w:ascii="Arial" w:cs="Arial" w:eastAsia="Arial" w:hAnsi="Arial"/>
          <w:sz w:val="18"/>
          <w:szCs w:val="18"/>
          <w:color w:val="auto"/>
        </w:rPr>
        <w:t>(“ASC Topic 350”). This qualitative assessment evaluated factors including, but not limited to, economic market and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cost factors and the overall financial performance of the Company. No impairment charges were recorded as a result of the Company’s 2013 annual impairment analysis.</w:t>
      </w:r>
    </w:p>
    <w:p>
      <w:pPr>
        <w:spacing w:after="0" w:line="18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the Company were to determine that it is more likely than not that the fair value of its single reporting unit is less than its carrying amount, then the two-step goodwill impairment test is performed. The first step in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reporting unit’s goodwill with the carrying amount of that goodwill. Any excess of the goodwill carrying amount over the implied fair value is recognized as an impairment charge, and the carrying value of goodwill is written down to fair value.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77"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Intangible assets, net primarily consists of intangible assets acquired from other companies as a result of acquisitions. Such assets are capitalized and amortized on a straight-line basis over their estimated useful lives. Intangible assets, net excludes patent related intangible assets, which are recorded within patent assets, net in the accompanying consolidated balance sheets.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expenses advertising costs as they are incurred. Advertising expenses were not material for any of the periods presented.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Accounting</w:t>
      </w:r>
    </w:p>
    <w:p>
      <w:pPr>
        <w:spacing w:after="0" w:line="7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functional currency of the Company’s international subsidiaries is the U.S. dollar. Monetary assets and liabilities are remeasured using the current exchange rate at the balance sheet date. Non-monetary assets and liabilities and capital accounts are reflected using historical exchange rates. Expenses are remeasured using the average exchange rates in effect during the period. Foreign currency exchange gains and losses, which have not been material for any periods presented, are included in the consolidated statements of operations within 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assesses the likelihood that its deferred tax assets will be recovered from future taxable income, and to the extent the Company believes that recovery is not likely, the Company establishes a valuation allowance. Judgment is required in determining the Company’s provision for income taxes, deferred tax assets and liabilities, and any valuation allowance recorded against the net deferred tax assets. The Company did not apply a valuation allowance against its deferred tax balances at December 31, 2013 or 2012.</w:t>
      </w:r>
    </w:p>
    <w:p>
      <w:pPr>
        <w:spacing w:after="0" w:line="18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 xml:space="preserve">The calculation of the Company’s tax liabilities involves dealing with uncertainties in the application of complex tax laws and regulations in a multitude of jurisdictions across its global operations.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Company recognizes tax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18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 xml:space="preserve">The Company accounts for stock-based compensation for equity-settled awards issued to employees and directors under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that stock-based compensation expense for equity-settled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awards made to employees and directors be measured based on the estimated grant date fair value and recognized over the requisite service period. These equity-settled awards include stock options, restricted stock units (“RSUs”) and performance-based RSUs with a market condition (“PBRSUs”).</w:t>
      </w:r>
    </w:p>
    <w:p>
      <w:pPr>
        <w:spacing w:after="0" w:line="124"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The fair value of stock options is estimated as of the date of grant using the Black-Scholes option-pricing model. The fair value of RSUs is estimated based on the fair market value of the Company’s common stock on the date of grant. For stock options and RSUs, the fair value of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5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fair value of PBRSUs is estimated as of the date of grant using the Monte-Carlo simulation model. For PBRSUs, stock-based compensation expense is recognized over the derived service period for each tranche (or market condition). Because the Company’s PBRSUs have multiple derived service periods, it uses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these awards will only be reversible if the employee terminates prior to completing the requisite service periods for these award (i.e., compensation expense will not be reversed if the market condition is not met).</w:t>
      </w:r>
    </w:p>
    <w:p>
      <w:pPr>
        <w:spacing w:after="0" w:line="19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option-pricing model and Monte-Carlo simulation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has limited information on its past volatility and has a limited operating history. Therefore, it has estimated the volatility data based on a study of publicly traded industry peer companies. For purposes of identifying these peer companies, the Company considered the industry, stage of development, size and financial leverage of potential comparable companies. The risk-free interest rate is based on the yield available on U.S. Treasury zero-coupon issues similar in duration to the expected term of the equity-settled award.</w:t>
      </w:r>
    </w:p>
    <w:p>
      <w:pPr>
        <w:spacing w:after="0" w:line="179" w:lineRule="exact"/>
        <w:rPr>
          <w:sz w:val="20"/>
          <w:szCs w:val="20"/>
          <w:color w:val="auto"/>
        </w:rPr>
      </w:pPr>
    </w:p>
    <w:p>
      <w:pPr>
        <w:ind w:right="320" w:firstLine="486"/>
        <w:spacing w:after="0" w:line="297" w:lineRule="auto"/>
        <w:rPr>
          <w:sz w:val="20"/>
          <w:szCs w:val="20"/>
          <w:color w:val="auto"/>
        </w:rPr>
      </w:pPr>
      <w:r>
        <w:rPr>
          <w:rFonts w:ascii="Arial" w:cs="Arial" w:eastAsia="Arial" w:hAnsi="Arial"/>
          <w:sz w:val="16"/>
          <w:szCs w:val="16"/>
          <w:color w:val="auto"/>
        </w:rPr>
        <w:t xml:space="preserve">The Company accounts for stock-based compensation for equity-settled awards issued to non-employees in exchange for goods and services under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(“ASC 505-50”). ASC 505-50 requires that equity-settled awards issued to non-employees be measured at the fair 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 xml:space="preserve">The Company applies the provisions of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in the accounting for its business acquisitions. ASC 805 requires companies to recognize goodwill separately from the assets acquired and liabilities assumed, which are valued at their acquisition date fair values. Goodwill as of the acquisition date represents the excess of the purchase price over the fair values of the assets acquired and the liabilities assumed.</w:t>
      </w:r>
    </w:p>
    <w:p>
      <w:pPr>
        <w:spacing w:after="0" w:line="147"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The Company uses significant estimates and assumptions, including fair value estimates, to determine fair value of assets acquired,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77" w:lineRule="exact"/>
        <w:rPr>
          <w:sz w:val="20"/>
          <w:szCs w:val="20"/>
          <w:color w:val="auto"/>
        </w:rPr>
      </w:pPr>
    </w:p>
    <w:p>
      <w:pPr>
        <w:ind w:right="620" w:firstLine="486"/>
        <w:spacing w:after="0" w:line="264" w:lineRule="auto"/>
        <w:rPr>
          <w:sz w:val="20"/>
          <w:szCs w:val="20"/>
          <w:color w:val="auto"/>
        </w:rPr>
      </w:pPr>
      <w:r>
        <w:rPr>
          <w:rFonts w:ascii="Arial" w:cs="Arial" w:eastAsia="Arial" w:hAnsi="Arial"/>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The Company uses actuarial models and techniques to estimate the reserve for incurred but not reported claims.</w:t>
      </w:r>
    </w:p>
    <w:p>
      <w:pPr>
        <w:spacing w:after="0" w:line="18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Loss expense for known and incurred but not reported claims are charged to earnings after deducting recoverable amounts under the Company’s reinsurance contract.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February 2013, the FASB issued ASU 2013-02, </w:t>
      </w:r>
      <w:r>
        <w:rPr>
          <w:rFonts w:ascii="Arial" w:cs="Arial" w:eastAsia="Arial" w:hAnsi="Arial"/>
          <w:sz w:val="18"/>
          <w:szCs w:val="18"/>
          <w:i w:val="1"/>
          <w:iCs w:val="1"/>
          <w:color w:val="auto"/>
        </w:rPr>
        <w:t>Reporting of Amounts of Reclassified Out of Accumulated Other Comprehensive Income</w:t>
      </w:r>
      <w:r>
        <w:rPr>
          <w:rFonts w:ascii="Arial" w:cs="Arial" w:eastAsia="Arial" w:hAnsi="Arial"/>
          <w:sz w:val="18"/>
          <w:szCs w:val="18"/>
          <w:color w:val="auto"/>
        </w:rPr>
        <w:t xml:space="preserve"> (“ASU 2013-02”), which amends </w:t>
      </w:r>
      <w:r>
        <w:rPr>
          <w:rFonts w:ascii="Arial" w:cs="Arial" w:eastAsia="Arial" w:hAnsi="Arial"/>
          <w:sz w:val="18"/>
          <w:szCs w:val="18"/>
          <w:i w:val="1"/>
          <w:iCs w:val="1"/>
          <w:color w:val="auto"/>
        </w:rPr>
        <w:t>Comprehensive Income (Topic 220)</w:t>
      </w:r>
      <w:r>
        <w:rPr>
          <w:rFonts w:ascii="Arial" w:cs="Arial" w:eastAsia="Arial" w:hAnsi="Arial"/>
          <w:sz w:val="18"/>
          <w:szCs w:val="18"/>
          <w:color w:val="auto"/>
        </w:rPr>
        <w:t xml:space="preserve"> in the ASC. These 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the Company’s interim and annual fiscal periods which began January 1, 2013. The adoption of ASU 2013-02 did not have a material impact on the Company’s consolidated financial statements.</w:t>
      </w:r>
    </w:p>
    <w:p>
      <w:pPr>
        <w:spacing w:after="0" w:line="19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the Company’s interim and annual fiscal periods which began January 1, 2013. The adoption of ASU 2012-04 did not have a material impact on the Company’s consolidated financial statements.</w:t>
      </w:r>
    </w:p>
    <w:p>
      <w:pPr>
        <w:spacing w:after="0" w:line="18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In July 2012, the FASB issued ASU 2012-02,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(“ASU 2012-02”), which amends ASU 2011-08,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6"/>
          <w:szCs w:val="16"/>
          <w:i w:val="1"/>
          <w:iCs w:val="1"/>
          <w:color w:val="auto"/>
        </w:rPr>
        <w:t>Intangibles - Goodwill and Other -</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Intangibles Other than Goodwill</w:t>
      </w:r>
      <w:r>
        <w:rPr>
          <w:rFonts w:ascii="Arial" w:cs="Arial" w:eastAsia="Arial" w:hAnsi="Arial"/>
          <w:sz w:val="16"/>
          <w:szCs w:val="16"/>
          <w:color w:val="auto"/>
        </w:rPr>
        <w:t>. The amendments in ASU 2012-02 are effective for the Company’s interim and annual fiscal periods which began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2013. The adoption of ASU 2012-02 did not have a material impact on the Company’s consolidated financial statements.</w:t>
      </w:r>
    </w:p>
    <w:p>
      <w:pPr>
        <w:spacing w:after="0" w:line="120"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81"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Basic and diluted net income per share available to common stockholders are presented in conformity with the two-class method required for participating securities. Upon the Company’s initial public offering in May 2011, all shares of the Company’s redeemable convertible preferred stock were converted to common stock. Prior to the initial public offering, holders of shares of Series A, Series A-1, Series B and Series C redeemable convertible preferred stock were each entitled to receive 8% per annum non-cumulative dividends, payable prior and in preference to any dividends on common stock. In addition, the holders of restricted common stock are entitled to receive non-forfeitable dividends if declared.</w:t>
      </w:r>
    </w:p>
    <w:p>
      <w:pPr>
        <w:spacing w:after="0" w:line="173"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calculated as net income less current period shares of redeemable convertible preferred stock non-cumulative dividends, among common stockholders, restricted stockholders and redeemable convertible preferred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 (in thousands, except for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40,783</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40,763</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40,763</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Undistributed earnings re-allocated to common stockholders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to common stockholders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40,763</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5"/>
              </w:rPr>
              <w:t>Weighted-average shares used in computing basic net income available to common</w:t>
            </w:r>
          </w:p>
        </w:tc>
        <w:tc>
          <w:tcPr>
            <w:tcW w:w="36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51,956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5"/>
              </w:rPr>
              <w:t>Weighted-average shares used in computing basic net income available to common</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Dilutive effect of stock options and restricted stock units using treasury-stock method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09"/>
        </w:trPr>
        <w:tc>
          <w:tcPr>
            <w:tcW w:w="6740" w:type="dxa"/>
            <w:vAlign w:val="bottom"/>
          </w:tcPr>
          <w:p>
            <w:pPr>
              <w:ind w:left="380"/>
              <w:spacing w:after="0"/>
              <w:rPr>
                <w:sz w:val="20"/>
                <w:szCs w:val="20"/>
                <w:color w:val="auto"/>
              </w:rPr>
            </w:pPr>
            <w:r>
              <w:rPr>
                <w:rFonts w:ascii="Arial" w:cs="Arial" w:eastAsia="Arial" w:hAnsi="Arial"/>
                <w:sz w:val="18"/>
                <w:szCs w:val="18"/>
                <w:color w:val="auto"/>
                <w:w w:val="93"/>
              </w:rPr>
              <w:t>Weighted-average shares used in computing diluted net income available to common</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53,652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51,802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share available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For the years ended December 31, 2013, 2012 and 2011 the following securities were not included in the calculation of diluted shares outstanding, as the effect would have been anti-dilutive (in thousands):</w:t>
      </w:r>
    </w:p>
    <w:p>
      <w:pPr>
        <w:spacing w:after="0" w:line="130"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gridSpan w:val="2"/>
          </w:tcPr>
          <w:p>
            <w:pPr>
              <w:ind w:left="7340"/>
              <w:spacing w:after="0"/>
              <w:rPr>
                <w:sz w:val="20"/>
                <w:szCs w:val="20"/>
                <w:color w:val="auto"/>
              </w:rPr>
            </w:pPr>
            <w:r>
              <w:rPr>
                <w:rFonts w:ascii="Arial" w:cs="Arial" w:eastAsia="Arial" w:hAnsi="Arial"/>
                <w:sz w:val="16"/>
                <w:szCs w:val="16"/>
                <w:b w:val="1"/>
                <w:bCs w:val="1"/>
                <w:color w:val="auto"/>
                <w:w w:val="89"/>
              </w:rPr>
              <w:t>2013</w:t>
            </w:r>
          </w:p>
        </w:tc>
        <w:tc>
          <w:tcPr>
            <w:tcW w:w="16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r>
      <w:tr>
        <w:trPr>
          <w:trHeight w:val="33"/>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Shares of redeemable convertible preferred stock</w:t>
            </w:r>
          </w:p>
        </w:tc>
        <w:tc>
          <w:tcPr>
            <w:tcW w:w="162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9,270</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options outstanding</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Restricted stock units outstanding</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3,114</w:t>
            </w:r>
          </w:p>
        </w:tc>
      </w:tr>
      <w:tr>
        <w:trPr>
          <w:trHeight w:val="459"/>
        </w:trPr>
        <w:tc>
          <w:tcPr>
            <w:tcW w:w="6740" w:type="dxa"/>
            <w:vAlign w:val="bottom"/>
          </w:tcPr>
          <w:p>
            <w:pPr>
              <w:ind w:left="562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financial assets measured at fair value on a recurring basis as of December 31, 2013 and 2012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2013</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34,498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34,498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146,100</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146,100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7,875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4,995</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190,567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190,567</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69"/>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19,800</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3,992</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32,792</w:t>
            </w:r>
          </w:p>
        </w:tc>
      </w:tr>
      <w:tr>
        <w:trPr>
          <w:trHeight w:val="67"/>
        </w:trPr>
        <w:tc>
          <w:tcPr>
            <w:tcW w:w="6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13,697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6,880</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126,092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126,092</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1660" w:hanging="5169"/>
        <w:spacing w:after="0" w:line="559" w:lineRule="auto"/>
        <w:rPr>
          <w:sz w:val="20"/>
          <w:szCs w:val="20"/>
          <w:color w:val="auto"/>
        </w:rPr>
      </w:pPr>
      <w:r>
        <w:rPr>
          <w:rFonts w:ascii="Arial" w:cs="Arial" w:eastAsia="Arial" w:hAnsi="Arial"/>
          <w:sz w:val="18"/>
          <w:szCs w:val="18"/>
          <w:color w:val="auto"/>
        </w:rPr>
        <w:t>As of December 31, 2013 and 2012, the Company did not use level 3 inputs to measure financial assets or liabilities at fair value. 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investments in available-for-sale securities as of December 31, 2013 and 2012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rPr>
              <w:t>December 31, 2013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31,597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31,597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190,567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13,697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126,113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126,092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(expense), net in the Company’s consolidated statements of operations.</w:t>
      </w:r>
    </w:p>
    <w:p>
      <w:pPr>
        <w:spacing w:after="0" w:line="181"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weighted-average remaining maturity of the Company’s investment portfolio was less than one year as of December 31, 2013 and 2012. As of December 31, 2013, no individual securities incurred continuous unrealized losses for greater than 12 months.</w:t>
      </w:r>
    </w:p>
    <w:p>
      <w:pPr>
        <w:spacing w:after="0" w:line="126"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Other Receivables</w:t>
      </w:r>
    </w:p>
    <w:p>
      <w:pPr>
        <w:spacing w:after="0" w:line="94"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In December 2012, the Company completed a syndicated patent acquisition and licensing transaction. The Company secured licenses under the patent portfolio, as well as dismissals from pending patent litigation for nine of the Company’s clients that participated in the transaction. As of December 31, 2012 there were $33.8 million of contributions outstanding and recorded as other receivables. The contributions were collected in full in January 2013.</w:t>
      </w:r>
    </w:p>
    <w:p>
      <w:pPr>
        <w:spacing w:after="0" w:line="18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12"/>
              <w:spacing w:after="0"/>
              <w:rPr>
                <w:sz w:val="20"/>
                <w:szCs w:val="20"/>
                <w:color w:val="auto"/>
              </w:rPr>
            </w:pPr>
            <w:r>
              <w:rPr>
                <w:rFonts w:ascii="Arial" w:cs="Arial" w:eastAsia="Arial" w:hAnsi="Arial"/>
                <w:sz w:val="16"/>
                <w:szCs w:val="16"/>
                <w:b w:val="1"/>
                <w:bCs w:val="1"/>
                <w:color w:val="auto"/>
                <w:w w:val="94"/>
              </w:rPr>
              <w:t>Balance as of</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Balance as of</w:t>
            </w:r>
          </w:p>
        </w:tc>
      </w:tr>
      <w:tr>
        <w:trPr>
          <w:trHeight w:val="210"/>
        </w:trPr>
        <w:tc>
          <w:tcPr>
            <w:tcW w:w="5160" w:type="dxa"/>
            <w:vAlign w:val="bottom"/>
          </w:tcPr>
          <w:p>
            <w:pPr>
              <w:spacing w:after="0"/>
              <w:rPr>
                <w:sz w:val="18"/>
                <w:szCs w:val="18"/>
                <w:color w:val="auto"/>
              </w:rPr>
            </w:pPr>
          </w:p>
        </w:tc>
        <w:tc>
          <w:tcPr>
            <w:tcW w:w="150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5"/>
              </w:rPr>
              <w:t>December 31, 2012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8"/>
                <w:szCs w:val="18"/>
                <w:color w:val="auto"/>
              </w:rPr>
            </w:pPr>
          </w:p>
        </w:tc>
        <w:tc>
          <w:tcPr>
            <w:tcW w:w="1360" w:type="dxa"/>
            <w:vAlign w:val="bottom"/>
          </w:tcPr>
          <w:p>
            <w:pPr>
              <w:jc w:val="right"/>
              <w:ind w:right="333"/>
              <w:spacing w:after="0"/>
              <w:rPr>
                <w:sz w:val="20"/>
                <w:szCs w:val="20"/>
                <w:color w:val="auto"/>
              </w:rPr>
            </w:pPr>
            <w:r>
              <w:rPr>
                <w:rFonts w:ascii="Arial" w:cs="Arial" w:eastAsia="Arial" w:hAnsi="Arial"/>
                <w:sz w:val="16"/>
                <w:szCs w:val="16"/>
                <w:b w:val="1"/>
                <w:bCs w:val="1"/>
                <w:color w:val="auto"/>
                <w:w w:val="95"/>
              </w:rPr>
              <w:t>Dispositions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2013</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403,875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529,526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(309,572)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199,314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219,954</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174"/>
              <w:spacing w:after="0"/>
              <w:rPr>
                <w:sz w:val="20"/>
                <w:szCs w:val="20"/>
                <w:color w:val="auto"/>
              </w:rPr>
            </w:pPr>
            <w:r>
              <w:rPr>
                <w:rFonts w:ascii="Arial" w:cs="Arial" w:eastAsia="Arial" w:hAnsi="Arial"/>
                <w:sz w:val="16"/>
                <w:szCs w:val="16"/>
                <w:b w:val="1"/>
                <w:bCs w:val="1"/>
                <w:color w:val="auto"/>
                <w:w w:val="85"/>
              </w:rPr>
              <w:t>Patent assets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12"/>
              <w:spacing w:after="0"/>
              <w:rPr>
                <w:sz w:val="20"/>
                <w:szCs w:val="20"/>
                <w:color w:val="auto"/>
              </w:rPr>
            </w:pPr>
            <w:r>
              <w:rPr>
                <w:rFonts w:ascii="Arial" w:cs="Arial" w:eastAsia="Arial" w:hAnsi="Arial"/>
                <w:sz w:val="16"/>
                <w:szCs w:val="16"/>
                <w:b w:val="1"/>
                <w:bCs w:val="1"/>
                <w:color w:val="auto"/>
                <w:w w:val="94"/>
              </w:rPr>
              <w:t>Balance as of</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acquired in business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Balance as of</w:t>
            </w:r>
          </w:p>
        </w:tc>
      </w:tr>
      <w:tr>
        <w:trPr>
          <w:trHeight w:val="210"/>
        </w:trPr>
        <w:tc>
          <w:tcPr>
            <w:tcW w:w="3540" w:type="dxa"/>
            <w:vAlign w:val="bottom"/>
          </w:tcPr>
          <w:p>
            <w:pPr>
              <w:spacing w:after="0"/>
              <w:rPr>
                <w:sz w:val="18"/>
                <w:szCs w:val="18"/>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7"/>
              </w:rPr>
              <w:t>December 31, 2011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3"/>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tcPr>
          <w:p>
            <w:pPr>
              <w:jc w:val="center"/>
              <w:ind w:right="154"/>
              <w:spacing w:after="0"/>
              <w:rPr>
                <w:sz w:val="20"/>
                <w:szCs w:val="20"/>
                <w:color w:val="auto"/>
              </w:rPr>
            </w:pPr>
            <w:r>
              <w:rPr>
                <w:rFonts w:ascii="Arial" w:cs="Arial" w:eastAsia="Arial" w:hAnsi="Arial"/>
                <w:sz w:val="16"/>
                <w:szCs w:val="16"/>
                <w:b w:val="1"/>
                <w:bCs w:val="1"/>
                <w:color w:val="auto"/>
                <w:w w:val="90"/>
              </w:rPr>
              <w:t>combination</w:t>
            </w:r>
          </w:p>
        </w:tc>
        <w:tc>
          <w:tcPr>
            <w:tcW w:w="2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Dispositions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2012</w:t>
            </w: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287,555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88,520</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27,850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403,875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(80,385)</w:t>
            </w:r>
          </w:p>
        </w:tc>
        <w:tc>
          <w:tcPr>
            <w:tcW w:w="28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(204,561)</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163,352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199,314</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December 31, 2013, the estimated economic useful lives of the Company’s patent assets generally ranged from 24 to 60 months. As of December 31, 2013, the weighted-average estimated economic useful life at the time of acquisition was 47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expected future annual amortization expense of patent assets as of December 31, 2013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jc w:val="right"/>
              <w:ind w:right="9450"/>
              <w:spacing w:after="0"/>
              <w:rPr>
                <w:sz w:val="20"/>
                <w:szCs w:val="20"/>
                <w:color w:val="auto"/>
              </w:rPr>
            </w:pPr>
            <w:r>
              <w:rPr>
                <w:rFonts w:ascii="Arial" w:cs="Arial" w:eastAsia="Arial" w:hAnsi="Arial"/>
                <w:sz w:val="18"/>
                <w:szCs w:val="18"/>
                <w:color w:val="auto"/>
                <w:w w:val="94"/>
              </w:rPr>
              <w:t>2014</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95,540</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2015</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67,340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2016</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40,357</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12,971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2018</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w:t>
            </w:r>
          </w:p>
        </w:tc>
      </w:tr>
      <w:tr>
        <w:trPr>
          <w:trHeight w:val="257"/>
        </w:trPr>
        <w:tc>
          <w:tcPr>
            <w:tcW w:w="9940" w:type="dxa"/>
            <w:vAlign w:val="bottom"/>
          </w:tcPr>
          <w:p>
            <w:pPr>
              <w:jc w:val="right"/>
              <w:ind w:right="6530"/>
              <w:spacing w:after="0"/>
              <w:rPr>
                <w:sz w:val="20"/>
                <w:szCs w:val="20"/>
                <w:color w:val="auto"/>
              </w:rPr>
            </w:pPr>
            <w:r>
              <w:rPr>
                <w:rFonts w:ascii="Arial" w:cs="Arial" w:eastAsia="Arial" w:hAnsi="Arial"/>
                <w:sz w:val="18"/>
                <w:szCs w:val="18"/>
                <w:color w:val="auto"/>
                <w:w w:val="94"/>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219,954</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was $105.5 million, $80.4 million and $62.3 million for the years ended December 31, 2013, 2012 and 2011, respectively.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Syndicated Acquisitions</w:t>
      </w:r>
    </w:p>
    <w:p>
      <w:pPr>
        <w:spacing w:after="0" w:line="7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Syndicated acquisitions are transactions involving patent assets that may cost more than the Company is prepared to spend with its own capital resources or that are relevant only to a very small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the Company may treat the contributions from such clients as revenue on a gross or net basis depending on the specific facts and circumstances of the transaction. In the event that such contributions are recognized on a net basis, the Company will only capitalize the acquired asset that relates to its non-contributing clients. As a result, in such situations the cost basis of the acquired patent rights excludes the amounts paid by the contributing clients.</w:t>
      </w:r>
    </w:p>
    <w:p>
      <w:pPr>
        <w:spacing w:after="0" w:line="123"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46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46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37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(3,259)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57"/>
        </w:trPr>
        <w:tc>
          <w:tcPr>
            <w:tcW w:w="462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37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720" w:type="dxa"/>
            <w:vAlign w:val="bottom"/>
            <w:vMerge w:val="restart"/>
          </w:tcPr>
          <w:p>
            <w:pPr>
              <w:jc w:val="right"/>
              <w:ind w:right="2453"/>
              <w:spacing w:after="0"/>
              <w:rPr>
                <w:sz w:val="20"/>
                <w:szCs w:val="20"/>
                <w:color w:val="auto"/>
              </w:rPr>
            </w:pPr>
            <w:r>
              <w:rPr>
                <w:rFonts w:ascii="Arial" w:cs="Arial" w:eastAsia="Arial" w:hAnsi="Arial"/>
                <w:sz w:val="18"/>
                <w:szCs w:val="18"/>
                <w:color w:val="auto"/>
              </w:rPr>
              <w:t>53</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Depreciation and amortization expense was $1.6 million, $1.3 million and $0.4 million for the years ended December 31, 2013, 2012 and 2011, respectively. Stock-based compensation capitalized as part of the cost of internal-use software was $0.1 million, $0.3 million, and $0.1 million for the years ended December 31, 2013, 2012 and 2011, respectively.</w:t>
      </w:r>
    </w:p>
    <w:p>
      <w:pPr>
        <w:spacing w:after="0" w:line="137"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from 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10.   Intangible Assets, Net</w:t>
            </w: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80" w:type="dxa"/>
            <w:vAlign w:val="bottom"/>
            <w:gridSpan w:val="11"/>
          </w:tcPr>
          <w:p>
            <w:pPr>
              <w:ind w:left="460"/>
              <w:spacing w:after="0"/>
              <w:rPr>
                <w:sz w:val="20"/>
                <w:szCs w:val="20"/>
                <w:color w:val="auto"/>
              </w:rPr>
            </w:pPr>
            <w:r>
              <w:rPr>
                <w:rFonts w:ascii="Arial" w:cs="Arial" w:eastAsia="Arial" w:hAnsi="Arial"/>
                <w:sz w:val="18"/>
                <w:szCs w:val="18"/>
                <w:color w:val="auto"/>
                <w:w w:val="90"/>
              </w:rPr>
              <w:t>Intangible assets, net, as of December 31, 2013 and 2012 consisted of the following (in thousands):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2013</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w w:val="95"/>
              </w:rPr>
              <w:t>December 31, 2012</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24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w w:val="97"/>
              </w:rPr>
              <w:t>Net Carrying</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02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Proprietary data and models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future amortization expense for intangible assets (excluding intangible assets in-progress) are summarized below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jc w:val="right"/>
              <w:ind w:right="9450"/>
              <w:spacing w:after="0"/>
              <w:rPr>
                <w:sz w:val="20"/>
                <w:szCs w:val="20"/>
                <w:color w:val="auto"/>
              </w:rPr>
            </w:pPr>
            <w:r>
              <w:rPr>
                <w:rFonts w:ascii="Arial" w:cs="Arial" w:eastAsia="Arial" w:hAnsi="Arial"/>
                <w:sz w:val="18"/>
                <w:szCs w:val="18"/>
                <w:color w:val="auto"/>
                <w:w w:val="94"/>
              </w:rPr>
              <w:t>2014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2015</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2016</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57"/>
        </w:trPr>
        <w:tc>
          <w:tcPr>
            <w:tcW w:w="9940" w:type="dxa"/>
            <w:vAlign w:val="bottom"/>
          </w:tcPr>
          <w:p>
            <w:pPr>
              <w:jc w:val="right"/>
              <w:ind w:right="6530"/>
              <w:spacing w:after="0"/>
              <w:rPr>
                <w:sz w:val="20"/>
                <w:szCs w:val="20"/>
                <w:color w:val="auto"/>
              </w:rPr>
            </w:pPr>
            <w:r>
              <w:rPr>
                <w:rFonts w:ascii="Arial" w:cs="Arial" w:eastAsia="Arial" w:hAnsi="Arial"/>
                <w:sz w:val="18"/>
                <w:szCs w:val="18"/>
                <w:color w:val="auto"/>
                <w:w w:val="94"/>
              </w:rPr>
              <w:t>Total estimated future amortization expense</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was $1.5 million, $1.5 million and $0.7 million for the years ended December 31, 2013, 2012 and 2011, respectively.</w:t>
      </w:r>
    </w:p>
    <w:p>
      <w:pPr>
        <w:spacing w:after="0" w:line="19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Accrued payroll-related expenses</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6,791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6,567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1,993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accrued liabilities</w:t>
            </w: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8,784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7,206</w:t>
            </w:r>
          </w:p>
        </w:tc>
      </w:tr>
      <w:tr>
        <w:trPr>
          <w:trHeight w:val="311"/>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Patent and other assets purchased but not paid</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other current liabilities</w:t>
            </w: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1,638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1,813</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97" w:lineRule="auto"/>
        <w:tabs>
          <w:tab w:leader="none" w:pos="50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The Company leases its facilities under non-cancelable lease agreements.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In March 2012, the Company entered into an amended lease agreement related to its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over the life of the lease.</w:t>
      </w:r>
    </w:p>
    <w:p>
      <w:pPr>
        <w:spacing w:after="0" w:line="187"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In October 2013, the Company entered into an agreement to sublease a portion of its San Francisco, California office space. This sublease will take effect on February 1, 2014 and will continue for a 36-month term through January 2017.</w:t>
      </w:r>
    </w:p>
    <w:p>
      <w:pPr>
        <w:spacing w:after="0" w:line="170"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Rent expense related to non-cancelable operating leases was $3.5 million, $2.4 million and $1.7 million for the years ended December 31, 2013, 2012 and 2011, respectively.</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of December 31, 2013, the future minimum lease payments required under non-cancelable operating leases and the future minimum payments to be received from non-cancelable subleases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4,071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3,613</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Future non-cancelable minimum operating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24,455</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non-cancelable minimum operating lease payments,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22,432</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December 31, 2013 or 2012.</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February 2013, Volkswagen Group of America, Inc. (“Volkswagen”) filed a third-party complaint against the Company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the Company entered into with Norman and Saxon Innovations, LLC (“Saxon”) in January 2010. The claims allege that the Company, together with Norman and Saxon, violated federal antitrust law and Texas antitrust law. Volkswagen seeks declaratory relief, unspecified monetary damages, and injunctive relief. The Company is not currently able to determine whether there is a reasonable possibility that a loss has been incurred, nor can it estimate the range of the potential loss that may result from this litigation.</w:t>
      </w:r>
    </w:p>
    <w:p>
      <w:pPr>
        <w:spacing w:after="0" w:line="16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The Company is not currently able to determine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whether there is a reasonable possibility that a loss has been incurred, nor can it estimate the potential loss or range of the potential loss that may result from this litigation.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2013 or 2012.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by NPEs. As of December 31, 2013, the Company had a total of 25 active policies and has recorded a reserve of $0.6 million, net of amounts recoverable from reinsurers, for known and incurred but not reported claims that represent estimated claim costs and related expenses.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regularly reviews loss reserves using a variety of actuarial techniques and updates them as its loss experience develops.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Purchase Commitments</w:t>
      </w:r>
    </w:p>
    <w:p>
      <w:pPr>
        <w:spacing w:after="0" w:line="90"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November 2013, the Company entered into an agreement to acquire patent assets for an aggregate purchase price of $3.0 million. Pursuant to this agreement, the Company paid the purchase price and acquired the patent assets in January 2014.</w:t>
      </w:r>
    </w:p>
    <w:p>
      <w:pPr>
        <w:spacing w:after="0" w:line="126" w:lineRule="exact"/>
        <w:rPr>
          <w:sz w:val="20"/>
          <w:szCs w:val="20"/>
          <w:color w:val="auto"/>
        </w:rPr>
      </w:pPr>
    </w:p>
    <w:p>
      <w:pPr>
        <w:ind w:left="500" w:right="9360" w:hanging="492"/>
        <w:spacing w:after="0" w:line="372" w:lineRule="auto"/>
        <w:tabs>
          <w:tab w:leader="none" w:pos="50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Equity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of December 31, 2013, under the Company’s amended and restated certificate of incorporation, the Company is authorized to issue 200 million shares of common stock with a par value of $0.0001 per share.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December 31, 2013,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Plans</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non-employees. The Board of Directors initially reserved 1,500,000 shares of common stock for future issuance under the 2011 Plan. In March 2013 and 2012, the Company reserved an additional 1,000,000 and 2,457,269 shares of common stock, respectfully, for future issuance under the 2011 Plan. As of December 31, 2013, there were 2,450,958 shares available for grant under the 2011 Plan.</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August 2008, the Company’s Board of Directors adopted the 2008 Plan (the “2008 Plan”) which provides for the issuance of incentive stock options, non-qualified stock options, as well as the direct award or sale of shares of common stock to employees, directors and non-employees for up to 9,019,474 shares of common stock, as amended. No further awards have been made under the 2008 Plan; however, all awards outstanding under the 2008 Plan will continue to be governed by the existing terms.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 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 RSUs granted to newly hired employees vest 25% on the first Company-established vest date after the first anniversary of the employee’s date of hire and ratably each quarter over the ensuing 12-quarter period. RSUs granted to existing employees generally vest ratably each quarter over the 16 quarters following the date of grant. PBRSUs granted to employees may vest 25% on each anniversary of the grant date, provided that the average closing price per share of the Company’s common stock for any 90-calendar day period during the year preceding such anniversary date is equal to or greater than 1.25 times the Company’s stock price on the grant date or on the anniversary of the grant date. To the extent that a portion of the award does not vest on a specific anniversary date, it will remain eligible to vest in any of following three successive anniversaries of the grant date, provided that the market conditions have been satisfied at that time.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Shares Available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Weighted-Average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40" w:type="dxa"/>
            <w:vAlign w:val="bottom"/>
          </w:tcPr>
          <w:p>
            <w:pPr>
              <w:spacing w:after="0"/>
              <w:rPr>
                <w:sz w:val="17"/>
                <w:szCs w:val="17"/>
                <w:color w:val="auto"/>
              </w:rPr>
            </w:pPr>
          </w:p>
        </w:tc>
        <w:tc>
          <w:tcPr>
            <w:tcW w:w="1220" w:type="dxa"/>
            <w:vAlign w:val="bottom"/>
          </w:tcPr>
          <w:p>
            <w:pPr>
              <w:jc w:val="right"/>
              <w:ind w:right="23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 Grant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4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95"/>
              </w:rPr>
              <w:t>Intrinsic Value</w:t>
            </w: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2012</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Shares authorized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Repurchases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Restricted stock units withheld related to net share</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restricted stock units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December 31, 2013</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30,943</w:t>
            </w: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December 31, 2013</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16,704</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Vested and expected to vest - December 31, 2013</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29,520</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aggregate intrinsic value of stock options exercised during the years ended December 31, 2013, 2012 and 2011 was $13.5 million, $23.8 million and $19.0 million, respectively. The total fair value of stock options vested during the years ended December 31, 2013, 2012 and 2011 was $9.1 million, $8.5 million and $4.8 million,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restricted stock unit activity, which includes PBRSUs, is as follows (in thousands, except for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2012</w:t>
            </w:r>
          </w:p>
        </w:tc>
        <w:tc>
          <w:tcPr>
            <w:tcW w:w="38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ind w:right="39"/>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2013</w:t>
            </w:r>
          </w:p>
        </w:tc>
        <w:tc>
          <w:tcPr>
            <w:tcW w:w="38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34,770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57</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total fair value of RSUs vested during the years ended December 31, 2013, 2012 and 2011 was $6.6 million, $1.6 million and $0.2 million, respectively.</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October 2013, the Board of Directors approved net-share settlement for tax withholdings on RSU vesting. In 2013, the Company withheld issuing 45,338 shares of its common stock based on the value of the RSUs on their vesting dates as determined by the Company’s closing common stock price. Total payments for the employees’ minimum tax obligations to taxing authorities were $0.8 million for the year ended December 31, 2013, and were recorded as a reduction to additional paid-in capital and reflected as a financing activity within the consolidated statements of cash flows. The net-share settlements reduced the number of shares that would have otherwise been issued on the vesting date and increased the number of shares reserved for future issuance under the 2011 Plan.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 pricing model. The weighted-average assumptions used to estimate the fair value of stock options granted and the resulting fair values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Year Ended December 31,</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9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31"/>
              <w:spacing w:after="0"/>
              <w:rPr>
                <w:sz w:val="20"/>
                <w:szCs w:val="20"/>
                <w:color w:val="auto"/>
              </w:rPr>
            </w:pPr>
            <w:r>
              <w:rPr>
                <w:rFonts w:ascii="Arial" w:cs="Arial" w:eastAsia="Arial" w:hAnsi="Arial"/>
                <w:sz w:val="16"/>
                <w:szCs w:val="16"/>
                <w:b w:val="1"/>
                <w:bCs w:val="1"/>
                <w:color w:val="auto"/>
              </w:rPr>
              <w:t>2011</w:t>
            </w:r>
          </w:p>
        </w:tc>
      </w:tr>
      <w:tr>
        <w:trPr>
          <w:trHeight w:val="33"/>
        </w:trPr>
        <w:tc>
          <w:tcPr>
            <w:tcW w:w="5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0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93"/>
              </w:rPr>
              <w:t>0.93%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1.44%</w:t>
            </w:r>
          </w:p>
        </w:tc>
      </w:tr>
      <w:tr>
        <w:trPr>
          <w:trHeight w:val="27"/>
        </w:trPr>
        <w:tc>
          <w:tcPr>
            <w:tcW w:w="5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60" w:type="dxa"/>
            <w:vAlign w:val="bottom"/>
          </w:tcPr>
          <w:p>
            <w:pPr>
              <w:spacing w:after="0"/>
              <w:rPr>
                <w:sz w:val="21"/>
                <w:szCs w:val="21"/>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6.4</w:t>
            </w:r>
          </w:p>
        </w:tc>
      </w:tr>
      <w:tr>
        <w:trPr>
          <w:trHeight w:val="27"/>
        </w:trPr>
        <w:tc>
          <w:tcPr>
            <w:tcW w:w="5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7.39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7.81</w:t>
            </w:r>
          </w:p>
        </w:tc>
      </w:tr>
      <w:tr>
        <w:trPr>
          <w:trHeight w:val="27"/>
        </w:trPr>
        <w:tc>
          <w:tcPr>
            <w:tcW w:w="5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fair value of RSUs granted to employees and non-employee directors is measured by reference to the fair value of the underlying shares on the date of grant.</w:t>
      </w:r>
    </w:p>
    <w:p>
      <w:pPr>
        <w:spacing w:after="0" w:line="170"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PBRSUs contain both service and market conditions that affect the quantity of awards that will vest. During the year ended December 31, 2013, the Company granted 175,000 PBRSUs. The Company estimates the grant date fair value of the PBRSUs using the Monte Carlo simulation model. The weighted-average assumptions used to estimate the fair value of PBRSUs and the resulting fair values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34"/>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9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714"/>
              <w:spacing w:after="0"/>
              <w:rPr>
                <w:sz w:val="20"/>
                <w:szCs w:val="20"/>
                <w:color w:val="auto"/>
              </w:rPr>
            </w:pPr>
            <w:r>
              <w:rPr>
                <w:rFonts w:ascii="Arial" w:cs="Arial" w:eastAsia="Arial" w:hAnsi="Arial"/>
                <w:sz w:val="16"/>
                <w:szCs w:val="16"/>
                <w:b w:val="1"/>
                <w:bCs w:val="1"/>
                <w:color w:val="auto"/>
              </w:rPr>
              <w:t>31,</w:t>
            </w:r>
          </w:p>
        </w:tc>
      </w:tr>
      <w:tr>
        <w:trPr>
          <w:trHeight w:val="270"/>
        </w:trPr>
        <w:tc>
          <w:tcPr>
            <w:tcW w:w="9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2013</w:t>
            </w:r>
          </w:p>
        </w:tc>
      </w:tr>
      <w:tr>
        <w:trPr>
          <w:trHeight w:val="33"/>
        </w:trPr>
        <w:tc>
          <w:tcPr>
            <w:tcW w:w="9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Risk free rate</w:t>
            </w:r>
          </w:p>
        </w:tc>
        <w:tc>
          <w:tcPr>
            <w:tcW w:w="120" w:type="dxa"/>
            <w:vAlign w:val="bottom"/>
          </w:tcPr>
          <w:p>
            <w:pPr>
              <w:spacing w:after="0"/>
              <w:rPr>
                <w:sz w:val="21"/>
                <w:szCs w:val="21"/>
                <w:color w:val="auto"/>
              </w:rPr>
            </w:pPr>
          </w:p>
        </w:tc>
        <w:tc>
          <w:tcPr>
            <w:tcW w:w="1680" w:type="dxa"/>
            <w:vAlign w:val="bottom"/>
          </w:tcPr>
          <w:p>
            <w:pPr>
              <w:jc w:val="right"/>
              <w:ind w:right="94"/>
              <w:spacing w:after="0"/>
              <w:rPr>
                <w:sz w:val="20"/>
                <w:szCs w:val="20"/>
                <w:color w:val="auto"/>
              </w:rPr>
            </w:pPr>
            <w:r>
              <w:rPr>
                <w:rFonts w:ascii="Arial" w:cs="Arial" w:eastAsia="Arial" w:hAnsi="Arial"/>
                <w:sz w:val="18"/>
                <w:szCs w:val="18"/>
                <w:color w:val="auto"/>
              </w:rPr>
              <w:t>0.59%</w:t>
            </w:r>
          </w:p>
        </w:tc>
      </w:tr>
      <w:tr>
        <w:trPr>
          <w:trHeight w:val="27"/>
        </w:trPr>
        <w:tc>
          <w:tcPr>
            <w:tcW w:w="9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53%</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234"/>
              <w:spacing w:after="0"/>
              <w:rPr>
                <w:sz w:val="20"/>
                <w:szCs w:val="20"/>
                <w:color w:val="auto"/>
              </w:rPr>
            </w:pPr>
            <w:r>
              <w:rPr>
                <w:rFonts w:ascii="Arial" w:cs="Arial" w:eastAsia="Arial" w:hAnsi="Arial"/>
                <w:sz w:val="18"/>
                <w:szCs w:val="18"/>
                <w:color w:val="auto"/>
              </w:rPr>
              <w:t>6.39</w:t>
            </w:r>
          </w:p>
        </w:tc>
      </w:tr>
    </w:tbl>
    <w:p>
      <w:pPr>
        <w:spacing w:after="0" w:line="22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$8.5 million, $7.9 million and $5.5 million for the years ended December 31, 2013, 2012 and 2011, respectively. Stock-based compensation expense related to RSUs granted to employees and non-employee directors was $6.9 million, $2.0 million and $0.4 million for the years ended December 31, 2013, 2012 and 2011, respectively. Stock-based compensation expense related to PBRSUs granted to employees was $0.4 million for the year ended December 31, 2013 and nil for both the years ended December 31, 2012 and 2011.</w:t>
      </w:r>
    </w:p>
    <w:p>
      <w:pPr>
        <w:spacing w:after="0" w:line="18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 of December 31, 2013, there was $10.5 million and $22.8 million of unrecognized compensation cost related to stock options and RSUs, including PBRSUs, respectively, which is expected to be recognized over a weighted-average period of 2.1 years and 3.0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77"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The Company periodically grants equity awards to non-employees in exchange for goods and services. No awards were granted to non-employees in exchange for goods and services during the years ended December 31, 2013 and 2012. During the year ended December 31, 2011, the Company issued 10,000 shares of common stock, 62,632 RSUs, and 75,000 stock options to non-employees in exchange for services.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Non-employee stock-based compensation expense related to stock options was $0.2 million, $0.3 million and $0.9 million for the years ended December 31, 2013, 2012 and 2011, respectively. Non-employee stock-based compensation expense related to RSUs was $0.2 million, $0.3 million and $0.2 million for the years ended December 31, 2013, 2012 and 2011,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460" w:type="dxa"/>
            <w:vAlign w:val="bottom"/>
          </w:tcPr>
          <w:p>
            <w:pPr>
              <w:ind w:left="200"/>
              <w:spacing w:after="0"/>
              <w:rPr>
                <w:sz w:val="20"/>
                <w:szCs w:val="20"/>
                <w:color w:val="auto"/>
              </w:rPr>
            </w:pPr>
            <w:r>
              <w:rPr>
                <w:rFonts w:ascii="Arial" w:cs="Arial" w:eastAsia="Arial" w:hAnsi="Arial"/>
                <w:sz w:val="18"/>
                <w:szCs w:val="18"/>
                <w:b w:val="1"/>
                <w:bCs w:val="1"/>
                <w:color w:val="auto"/>
              </w:rPr>
              <w:t>Income Taxes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0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Income before income tax provision consists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64,281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45,256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income before income 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64,295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45,357</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w w:val="97"/>
              </w:rPr>
              <w:t>The components of the provision for income taxes are as follows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(17,145)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(17,525)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2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deferred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vMerge w:val="restart"/>
          </w:tcPr>
          <w:p>
            <w:pPr>
              <w:ind w:left="280"/>
              <w:spacing w:after="0"/>
              <w:rPr>
                <w:sz w:val="20"/>
                <w:szCs w:val="20"/>
                <w:color w:val="auto"/>
              </w:rPr>
            </w:pPr>
            <w:r>
              <w:rPr>
                <w:rFonts w:ascii="Arial" w:cs="Arial" w:eastAsia="Arial" w:hAnsi="Arial"/>
                <w:sz w:val="18"/>
                <w:szCs w:val="18"/>
                <w:color w:val="auto"/>
              </w:rPr>
              <w:t>Net deferred tax liabilities consist of the following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vMerge w:val="restart"/>
          </w:tcPr>
          <w:p>
            <w:pPr>
              <w:ind w:left="532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the statutory federal income tax to the Company’s effective tax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statutory federal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State tax – net of federal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Foreign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Foreign income not taxed at federal rate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(16,225)</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86"/>
        <w:spacing w:after="0" w:line="257" w:lineRule="auto"/>
        <w:rPr>
          <w:sz w:val="20"/>
          <w:szCs w:val="20"/>
          <w:color w:val="auto"/>
        </w:rPr>
      </w:pPr>
      <w:r>
        <w:rPr>
          <w:rFonts w:ascii="Arial" w:cs="Arial" w:eastAsia="Arial" w:hAnsi="Arial"/>
          <w:sz w:val="18"/>
          <w:szCs w:val="18"/>
          <w:color w:val="auto"/>
        </w:rPr>
        <w:t>In assessing the realization of deferred tax assets, management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2013, management believes it is more-likely-than-not that the U.S. net deferred tax asset will be fully realized. Accordingly, management has not applied a valuation allowance against its net deferred tax assets.</w:t>
      </w:r>
    </w:p>
    <w:p>
      <w:pPr>
        <w:spacing w:after="0" w:line="13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of December 31, 2013, the Company had state net operating loss carryforwards of $2.0 million available to reduce future taxable income, which will begin to expire in 2031.</w:t>
      </w:r>
    </w:p>
    <w:p>
      <w:pPr>
        <w:spacing w:after="0" w:line="116"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Internal Revenue Code Section 382 places a limitation (the Section 382 Limitation) on the amount of taxable income that can be offset by net operating loss carryforwards after a change in control (generally greater than 50% change in ownership) of a loss corporation. California has similar rules. Generally, after a change in control, a loss corporation cannot deduct operating loss carryforwards in excess of the Section 382 Limitation. Management has considered the impact of such limitation in determining the utilization of its operating loss carryforwards against taxable income in future periods.</w:t>
      </w:r>
    </w:p>
    <w:p>
      <w:pPr>
        <w:spacing w:after="0" w:line="10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Deferred tax liabilities have not been recognized for undistributed earnings for foreign subsidiaries because it is management’s intention to indefinitely reinvest such undistributed earnings outside the U.S. Generally, such earnings are subject to potential foreign withholding tax and the U.S. tax upon remittance of dividends and under certain other circumstances. The Company believes that the the potential liability would be immaterial.</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7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of December 31, 2013, the Company’s total amount of unrecognized tax benefits was $2.0 million, all of which would impact the Company’s effective tax rate, if recognized.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 related to current period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Gross decrease related to prior period tax positions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believe it is reasonably possible that its unrecognized tax benefits will significantly change within the next twelve months.</w:t>
      </w:r>
    </w:p>
    <w:p>
      <w:pPr>
        <w:spacing w:after="0" w:line="18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Company’s policy is to recognize interest and penalties accrued on any unrecognized tax benefits as a component of income tax expense. During the years ended December 31, 2013 and 2012, the Company recognized $17,000 and $0.1 million respectively, of interest and penalties associated with unrecognized tax benefits.</w:t>
      </w:r>
    </w:p>
    <w:p>
      <w:pPr>
        <w:spacing w:after="0" w:line="12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Company’s 2010 tax year is currently under examination by the State of California Franchise Tax Board. The Company does not expect a material impact on its consolidated financial statements as a result of this examination. The 2010 through 2012 tax periods remain open to examination by the Internal Revenue Service and the 2009 through 2012 tax periods remain open to examination by most state tax authorities. For the Company’s foreign jurisdictions, the 2009 through 2012 tax years remain open to examination by their respective tax authorities.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During the year ended December 31, 2013, four members of the Company’s Board of Directors also served on the boards of directors of RPX clients. During the year ended December 31, 2012, two members of the Company’s Board of Directors also served on the boards of directors of RPX clients. During the year ended December 31, 2011, one member of the Company’s Board of Directors also served on the board of directors of an RPX client. The Company recognized subscription revenue from these clients in the amount of $5.1 million, $3.6 million and $2.6 million during the years ended December 31, 2013, 2012 and 2011, respectively. As of December 31, 2013 there were $4.4 million of receivables due from these clients. There were no receivables due from these clients on December 31, 2012.</w:t>
      </w:r>
    </w:p>
    <w:p>
      <w:pPr>
        <w:spacing w:after="0" w:line="14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81" w:lineRule="exact"/>
        <w:rPr>
          <w:sz w:val="20"/>
          <w:szCs w:val="20"/>
          <w:color w:val="auto"/>
        </w:rPr>
      </w:pPr>
    </w:p>
    <w:p>
      <w:pPr>
        <w:ind w:right="280" w:firstLine="446"/>
        <w:spacing w:after="0" w:line="297" w:lineRule="auto"/>
        <w:rPr>
          <w:sz w:val="20"/>
          <w:szCs w:val="20"/>
          <w:color w:val="auto"/>
        </w:rPr>
      </w:pPr>
      <w:r>
        <w:rPr>
          <w:rFonts w:ascii="Arial" w:cs="Arial" w:eastAsia="Arial" w:hAnsi="Arial"/>
          <w:sz w:val="16"/>
          <w:szCs w:val="16"/>
          <w:color w:val="auto"/>
        </w:rPr>
        <w:t>The Company has a savings plan, which qualifies under Section 401(k) of the Internal Revenue Code (the “Plan”), available for its employees in the United States who meet the Plan’s age and service requirements. Employees are eligible to participate in the Plan in the month following their 3-month anniversary with the Company. Under the terms of the Plan, employees may make voluntary contributions up to maximum statutory limits. In 2013, the Company elected to contribute a discretionary match of one dollar for each dollar contributed, with a maximum employer contribution of $2,500 for each United States based employee. The Company recorded contribution expense of $0.2 million during the year ended December 31, 2013.</w:t>
      </w:r>
    </w:p>
    <w:p>
      <w:pPr>
        <w:spacing w:after="0" w:line="114"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91,593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Japan</w:t>
            </w: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39,465</w:t>
            </w:r>
          </w:p>
        </w:tc>
        <w:tc>
          <w:tcPr>
            <w:tcW w:w="1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40,484</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27,595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52,729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45,785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35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237,504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197,688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154,044</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tcPr>
          <w:p>
            <w:pPr>
              <w:spacing w:after="0"/>
              <w:rPr>
                <w:sz w:val="20"/>
                <w:szCs w:val="20"/>
                <w:color w:val="auto"/>
              </w:rPr>
            </w:pPr>
          </w:p>
        </w:tc>
        <w:tc>
          <w:tcPr>
            <w:tcW w:w="5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58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3,116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Japan</w:t>
            </w:r>
          </w:p>
        </w:tc>
        <w:tc>
          <w:tcPr>
            <w:tcW w:w="4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558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4,667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3,144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452"/>
              <w:spacing w:after="0"/>
              <w:rPr>
                <w:sz w:val="20"/>
                <w:szCs w:val="20"/>
                <w:color w:val="auto"/>
              </w:rPr>
            </w:pPr>
            <w:r>
              <w:rPr>
                <w:rFonts w:ascii="Arial" w:cs="Arial" w:eastAsia="Arial" w:hAnsi="Arial"/>
                <w:sz w:val="18"/>
                <w:szCs w:val="18"/>
                <w:color w:val="auto"/>
              </w:rPr>
              <w:t>61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Summarized quarterly financial information for the years ended December 31, 2013 and 2012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23,670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32,641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on sale of patent assets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14,678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w w:val="93"/>
              </w:rPr>
              <w:t>Net income available to common stockholders per common share</w:t>
            </w:r>
            <w:r>
              <w:rPr>
                <w:rFonts w:ascii="Arial" w:cs="Arial" w:eastAsia="Arial" w:hAnsi="Arial"/>
                <w:sz w:val="25"/>
                <w:szCs w:val="25"/>
                <w:color w:val="auto"/>
                <w:w w:val="93"/>
                <w:vertAlign w:val="superscript"/>
              </w:rPr>
              <w:t>(1)</w:t>
            </w:r>
            <w:r>
              <w:rPr>
                <w:rFonts w:ascii="Arial" w:cs="Arial" w:eastAsia="Arial" w:hAnsi="Arial"/>
                <w:sz w:val="18"/>
                <w:szCs w:val="18"/>
                <w:color w:val="auto"/>
                <w:w w:val="93"/>
              </w:rPr>
              <w: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588"/>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21,815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7,853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w w:val="93"/>
              </w:rPr>
              <w:t>Net income available to common stockholders per common share</w:t>
            </w:r>
            <w:r>
              <w:rPr>
                <w:rFonts w:ascii="Arial" w:cs="Arial" w:eastAsia="Arial" w:hAnsi="Arial"/>
                <w:sz w:val="25"/>
                <w:szCs w:val="25"/>
                <w:color w:val="auto"/>
                <w:w w:val="93"/>
                <w:vertAlign w:val="superscript"/>
              </w:rPr>
              <w:t>(1)</w:t>
            </w:r>
            <w:r>
              <w:rPr>
                <w:rFonts w:ascii="Arial" w:cs="Arial" w:eastAsia="Arial" w:hAnsi="Arial"/>
                <w:sz w:val="18"/>
                <w:szCs w:val="18"/>
                <w:color w:val="auto"/>
                <w:w w:val="93"/>
              </w:rPr>
              <w: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220" w:firstLine="8"/>
        <w:spacing w:after="0" w:line="301" w:lineRule="auto"/>
        <w:tabs>
          <w:tab w:leader="none" w:pos="178"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Basic and diluted earnings per share are computed independently for each of the quarters presented. Therefore, the sum of quarterly basic and diluted per share information may not equal annual basic and diluted earnings per share.</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Company maintains a set of disclosure controls and procedures designed to ensure that information required to be disclosed by the Company in reports that it files or submits under the Exchange Act, is recorded, processed, summarized and reported within the time periods specified in the SEC’s rules and forms and is accumulated and communicated to the Company’s management including the Chief Executive Officer and Chief Financial Officer, as appropriate to allow timely decisions regarding required disclosure. In accordance with Rule 13a-15(b) of the Exchange Act, as of the end of the period covered by this Annual Report on Form 10-K, an evaluation was carried out under the supervision and with the participation of the Company’s management, including its Chief Executive Officer and Chief Financial Officer, of the effectiveness of its disclosure controls and procedures. Based on that evaluation, the Company’s Chief Executive Officer and Chief Financial Officer concluded that the Company’s disclosure controls and procedures, as of the end of the period covered by this Annual Report on Form 10-K, were effective to provide reasonable assurance.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2013 based on the guidelines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(1992) issued by the Committee of Sponsoring Organizations of the Treadway Commission. Our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on the results of our evaluation, our management concluded that our internal control over financial reporting was effective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2013 has been audited by PricewaterhouseCoopers LLP, an independent registered public accounting firm, as stated in its report which is included in Item 8 of this Annual Report on Form 10-K.</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Company’s most recent fiscal quarter that has materially affected, or is reasonably likely to materially affect, our internal control over financial reporting.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7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81"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We have adopted a Code of Business Conduct that applies to all of our directors, officers and employees, including our principal executive officer and principal financial officer. The Code of Business Conduct is posted on our Web site at http://ir.rpxcorp.com/governance.cfm.</w:t>
      </w:r>
    </w:p>
    <w:p>
      <w:pPr>
        <w:spacing w:after="0" w:line="14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166"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The other information required by this item will be contained in our definitive proxy statement to be filed with the SEC in connection with our 2014 annual meeting of stockholders (the “2014 Proxy Statement”), which we expect to file within 120 days of our fiscal year ended December 31, 2013, and is incorporated herein by reference.</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information regarding executive compensation required by this item will be included under the caption “Executive Compensation” in the 2014 Proxy Statement and is incorporated herein by reference.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regarding securities authorized for issuance under equity compensation plans required by this item will be included under the caption “Equity Compensation Plan Information” in the 2014 Proxy Statement and is incorporated herein by reference. The information regarding security ownership of certain beneficial owners and management required by this item will be included under the caption “Security Ownership of Certain Beneficial Owners and Management” in the 2014 Proxy Statement and is incorporated herein by reference.</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81"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The information regarding transactions with related persons required by this item is included under the caption “Certain Relationships and Related Persons Transactions” in the 2014 Proxy Statement and will be incorporated herein by reference. The information regarding director independence required by this item is included under the caption “Corporate Governance” in the 2014 Proxy Statement and is incorporated herein by reference.</w:t>
      </w:r>
    </w:p>
    <w:p>
      <w:pPr>
        <w:spacing w:after="0" w:line="1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8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information required by this item will be incorporated under the captions “Independent Registered Public Accounting Firm’s Fees” and “Pre-Approval Policies and Procedures” in the 2014 Proxy Statement and is incorporated herein by reference.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81" w:lineRule="exact"/>
        <w:rPr>
          <w:sz w:val="20"/>
          <w:szCs w:val="20"/>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financial statements as set forth under Item 8 of this Annual Report on Form 10-K are incorporated herein by reference.</w:t>
      </w:r>
    </w:p>
    <w:p>
      <w:pPr>
        <w:spacing w:after="0" w:line="77" w:lineRule="exact"/>
        <w:rPr>
          <w:sz w:val="20"/>
          <w:szCs w:val="20"/>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7" w:lineRule="exact"/>
        <w:rPr>
          <w:sz w:val="20"/>
          <w:szCs w:val="20"/>
          <w:color w:val="auto"/>
        </w:rPr>
      </w:pPr>
    </w:p>
    <w:p>
      <w:pPr>
        <w:ind w:left="820" w:right="340" w:firstLine="648"/>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2"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exhibits listed in the accompanying Exhibit Index are filed or incorporated herein by reference as part of this Annual Report on Form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3800"/>
        <w:spacing w:after="0"/>
        <w:tabs>
          <w:tab w:leader="none" w:pos="5220" w:val="left"/>
          <w:tab w:leader="none" w:pos="6320" w:val="left"/>
        </w:tabs>
        <w:rPr>
          <w:sz w:val="20"/>
          <w:szCs w:val="20"/>
          <w:color w:val="auto"/>
        </w:rPr>
      </w:pPr>
      <w:r>
        <w:rPr>
          <w:rFonts w:ascii="Arial" w:cs="Arial" w:eastAsia="Arial" w:hAnsi="Arial"/>
          <w:sz w:val="18"/>
          <w:szCs w:val="18"/>
          <w:color w:val="auto"/>
        </w:rPr>
        <w:t>March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125" w:right="4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right="140" w:firstLine="486"/>
        <w:spacing w:after="0" w:line="276"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John A. Amster and Martin E. Roberts,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9"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618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567"/>
        </w:trPr>
        <w:tc>
          <w:tcPr>
            <w:tcW w:w="2980" w:type="dxa"/>
            <w:vAlign w:val="bottom"/>
          </w:tcPr>
          <w:p>
            <w:pPr>
              <w:ind w:left="40"/>
              <w:spacing w:after="0"/>
              <w:rPr>
                <w:sz w:val="20"/>
                <w:szCs w:val="20"/>
                <w:color w:val="auto"/>
              </w:rPr>
            </w:pPr>
            <w:r>
              <w:rPr>
                <w:rFonts w:ascii="Arial" w:cs="Arial" w:eastAsia="Arial" w:hAnsi="Arial"/>
                <w:sz w:val="18"/>
                <w:szCs w:val="18"/>
                <w:color w:val="auto"/>
              </w:rPr>
              <w:t>/s/ JOHN A. AMSTER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Director (Principal Executive Officer)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John A. Amster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80"/>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Senior Vice President and Chief Financial Officer (Principal Financial and</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 NED SEGAL</w:t>
            </w:r>
          </w:p>
        </w:tc>
        <w:tc>
          <w:tcPr>
            <w:tcW w:w="220" w:type="dxa"/>
            <w:vAlign w:val="bottom"/>
          </w:tcPr>
          <w:p>
            <w:pPr>
              <w:spacing w:after="0"/>
              <w:rPr>
                <w:sz w:val="20"/>
                <w:szCs w:val="20"/>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1820" w:type="dxa"/>
            <w:vAlign w:val="bottom"/>
          </w:tcPr>
          <w:p>
            <w:pPr>
              <w:spacing w:after="0"/>
              <w:rPr>
                <w:sz w:val="20"/>
                <w:szCs w:val="20"/>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Ned Segal</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GEOFFREY T. BARKER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Executive 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Geoffrey T. Barker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IZHAR ARMONY</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Izhar Armony</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SHELBY W. BONNIE</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Shelby W. Bonnie</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STEVEN L. FINGERHOOD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Steven L. Fingerhood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RANDY KOMISAR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Randy Komisar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THOMAS O. RYDER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Thomas O. Ryder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SANFORD R. ROBERTSON</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7, 2014</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Sanford R. Robertson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02"/>
        </w:trPr>
        <w:tc>
          <w:tcPr>
            <w:tcW w:w="2980" w:type="dxa"/>
            <w:vAlign w:val="bottom"/>
          </w:tcPr>
          <w:p>
            <w:pPr>
              <w:spacing w:after="0"/>
              <w:rPr>
                <w:sz w:val="24"/>
                <w:szCs w:val="24"/>
                <w:color w:val="auto"/>
              </w:rPr>
            </w:pPr>
          </w:p>
        </w:tc>
        <w:tc>
          <w:tcPr>
            <w:tcW w:w="6400" w:type="dxa"/>
            <w:vAlign w:val="bottom"/>
            <w:gridSpan w:val="2"/>
          </w:tcPr>
          <w:p>
            <w:pPr>
              <w:jc w:val="right"/>
              <w:ind w:right="3492"/>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12"/>
        </w:trPr>
        <w:tc>
          <w:tcPr>
            <w:tcW w:w="1040" w:type="dxa"/>
            <w:vAlign w:val="bottom"/>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Exhibits 3.1 and 3.2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Common Stock Certificate evidencing shares of common stock of the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Registrant</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9"/>
              </w:rPr>
              <w:t>Amended and Restated Investors’ Rights Agreement by and among the Registrant,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John Amster, Geoffrey T. Barker, Eran Zur and the Investors (as defined therein),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dated as of July 15, 2009</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Waiver and Amendment No. 1 to the Amended and Restated Investors’ Rights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Agreement, the Amended and Restated Voting Agreement and the Amended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Restated First Refusal and Co-Sale Agreement, dated as of November 12,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Indemnification Agreement between the Registrant and each officer and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5"/>
              </w:rPr>
              <w:t>Employment Offer Letter by and between the Registrant and John Amster,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August 9,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Employment Offer Letter by and between the Registrant and Geoffrey Barker, dated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of August 10,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Employment Offer Letter by and between the Registrant and Henri Linde,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October 8,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7"/>
              </w:rPr>
              <w:t>Revised Employment Offer Letter by and between the Registrant and Adam Spiegel,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dated as of February 10,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7"/>
              </w:rPr>
              <w:t>Employment Offer Letter by and between the Registrant and Mallun Yen,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October 25,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Director Offer Letter by and between the Registrant and Shelby Bonnie,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January 29,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10.26</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3/7/2011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Director Offer Letter by and between the Registrant and Sanford R. Robertson, dated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of March 2,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10.28</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2008 Stock Plan, as amended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Form of Notice of Stock Option Grant (Early Exercise) and Stock Option Agreement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under 2008 Stock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and Stock Option Agreement under 2008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Stock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Exercise (Early Exercise) under 2008 Stock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10.11</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Exercise under 2008 Stock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2011 Equity Incentive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10.25</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1"/>
              </w:rPr>
              <w:t>3/7/2011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and Stock Option Agreement under 2011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Equity 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10.32</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(Non-Employee Directors) and Stock Option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Agreement (Non-Employee Directors) under 2011 Equity 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10.33</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Unit Award and Stock Unit Agreement under 2011 Equity</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10.34</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Compensation Program for Non-Employee Directors</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10-Q</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5"/>
              </w:rPr>
              <w:t>10.3</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1"/>
              </w:rPr>
              <w:t>3/7/2013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 4.3</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 4.4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Common Stock Purchase Agreement by and among the Registrant and the Investors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defined therein), dated as of April 7,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10.29</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auto"/>
              </w:rPr>
              <w:t>10.22</w:t>
            </w:r>
          </w:p>
        </w:tc>
        <w:tc>
          <w:tcPr>
            <w:tcW w:w="5420" w:type="dxa"/>
            <w:vAlign w:val="bottom"/>
          </w:tcPr>
          <w:p>
            <w:pPr>
              <w:ind w:left="280"/>
              <w:spacing w:after="0"/>
              <w:rPr>
                <w:sz w:val="20"/>
                <w:szCs w:val="20"/>
                <w:color w:val="auto"/>
              </w:rPr>
            </w:pPr>
            <w:r>
              <w:rPr>
                <w:rFonts w:ascii="Arial" w:cs="Arial" w:eastAsia="Arial" w:hAnsi="Arial"/>
                <w:sz w:val="14"/>
                <w:szCs w:val="14"/>
                <w:color w:val="auto"/>
              </w:rPr>
              <w:t>Form of Lock-Up Agreement, entered into by MHV Partners LLC and Sanford</w:t>
            </w: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Robertson</w:t>
            </w:r>
          </w:p>
        </w:tc>
        <w:tc>
          <w:tcPr>
            <w:tcW w:w="74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ind w:left="180"/>
              <w:spacing w:after="0"/>
              <w:rPr>
                <w:sz w:val="20"/>
                <w:szCs w:val="20"/>
                <w:color w:val="auto"/>
              </w:rPr>
            </w:pPr>
            <w:r>
              <w:rPr>
                <w:rFonts w:ascii="Arial" w:cs="Arial" w:eastAsia="Arial" w:hAnsi="Arial"/>
                <w:sz w:val="14"/>
                <w:szCs w:val="14"/>
                <w:color w:val="auto"/>
              </w:rPr>
              <w:t>333-171817</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10.30</w:t>
            </w:r>
          </w:p>
        </w:tc>
        <w:tc>
          <w:tcPr>
            <w:tcW w:w="1700" w:type="dxa"/>
            <w:vAlign w:val="bottom"/>
          </w:tcPr>
          <w:p>
            <w:pPr>
              <w:ind w:left="220"/>
              <w:spacing w:after="0"/>
              <w:rPr>
                <w:sz w:val="20"/>
                <w:szCs w:val="20"/>
                <w:color w:val="auto"/>
              </w:rPr>
            </w:pPr>
            <w:r>
              <w:rPr>
                <w:rFonts w:ascii="Arial" w:cs="Arial" w:eastAsia="Arial" w:hAnsi="Arial"/>
                <w:sz w:val="14"/>
                <w:szCs w:val="14"/>
                <w:color w:val="auto"/>
              </w:rPr>
              <w:t>4/18/2011</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10.23</w:t>
            </w:r>
          </w:p>
        </w:tc>
        <w:tc>
          <w:tcPr>
            <w:tcW w:w="5420" w:type="dxa"/>
            <w:vAlign w:val="bottom"/>
          </w:tcPr>
          <w:p>
            <w:pPr>
              <w:ind w:left="280"/>
              <w:spacing w:after="0"/>
              <w:rPr>
                <w:sz w:val="20"/>
                <w:szCs w:val="20"/>
                <w:color w:val="auto"/>
              </w:rPr>
            </w:pPr>
            <w:r>
              <w:rPr>
                <w:rFonts w:ascii="Arial" w:cs="Arial" w:eastAsia="Arial" w:hAnsi="Arial"/>
                <w:sz w:val="14"/>
                <w:szCs w:val="14"/>
                <w:color w:val="auto"/>
              </w:rPr>
              <w:t>Sublease by and between Registrant and Sedgwick, Detert, Moran &amp; Arnold LLP,</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dated as of September 29, 2009</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200" w:type="dxa"/>
            <w:vAlign w:val="bottom"/>
          </w:tcPr>
          <w:p>
            <w:pPr>
              <w:ind w:left="180"/>
              <w:spacing w:after="0"/>
              <w:rPr>
                <w:sz w:val="20"/>
                <w:szCs w:val="20"/>
                <w:color w:val="auto"/>
              </w:rPr>
            </w:pPr>
            <w:r>
              <w:rPr>
                <w:rFonts w:ascii="Arial" w:cs="Arial" w:eastAsia="Arial" w:hAnsi="Arial"/>
                <w:sz w:val="14"/>
                <w:szCs w:val="14"/>
                <w:color w:val="auto"/>
              </w:rPr>
              <w:t>333-171817</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10.23</w:t>
            </w:r>
          </w:p>
        </w:tc>
        <w:tc>
          <w:tcPr>
            <w:tcW w:w="1700" w:type="dxa"/>
            <w:vAlign w:val="bottom"/>
          </w:tcPr>
          <w:p>
            <w:pPr>
              <w:ind w:left="220"/>
              <w:spacing w:after="0"/>
              <w:rPr>
                <w:sz w:val="20"/>
                <w:szCs w:val="20"/>
                <w:color w:val="auto"/>
              </w:rPr>
            </w:pPr>
            <w:r>
              <w:rPr>
                <w:rFonts w:ascii="Arial" w:cs="Arial" w:eastAsia="Arial" w:hAnsi="Arial"/>
                <w:sz w:val="14"/>
                <w:szCs w:val="14"/>
                <w:color w:val="auto"/>
              </w:rPr>
              <w:t>1/21/2011</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10.24</w:t>
            </w:r>
          </w:p>
        </w:tc>
        <w:tc>
          <w:tcPr>
            <w:tcW w:w="5420" w:type="dxa"/>
            <w:vAlign w:val="bottom"/>
          </w:tcPr>
          <w:p>
            <w:pPr>
              <w:ind w:left="280"/>
              <w:spacing w:after="0"/>
              <w:rPr>
                <w:sz w:val="20"/>
                <w:szCs w:val="20"/>
                <w:color w:val="auto"/>
              </w:rPr>
            </w:pPr>
            <w:r>
              <w:rPr>
                <w:rFonts w:ascii="Arial" w:cs="Arial" w:eastAsia="Arial" w:hAnsi="Arial"/>
                <w:sz w:val="14"/>
                <w:szCs w:val="14"/>
                <w:color w:val="auto"/>
                <w:w w:val="98"/>
              </w:rPr>
              <w:t>Office Lease Agreement between Registrant and PPF Paramount One Market Plaza</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Owner, L.P., dated as of July 28, 2010</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200" w:type="dxa"/>
            <w:vAlign w:val="bottom"/>
          </w:tcPr>
          <w:p>
            <w:pPr>
              <w:ind w:left="180"/>
              <w:spacing w:after="0"/>
              <w:rPr>
                <w:sz w:val="20"/>
                <w:szCs w:val="20"/>
                <w:color w:val="auto"/>
              </w:rPr>
            </w:pPr>
            <w:r>
              <w:rPr>
                <w:rFonts w:ascii="Arial" w:cs="Arial" w:eastAsia="Arial" w:hAnsi="Arial"/>
                <w:sz w:val="14"/>
                <w:szCs w:val="14"/>
                <w:color w:val="auto"/>
              </w:rPr>
              <w:t>333-171817</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10.24</w:t>
            </w:r>
          </w:p>
        </w:tc>
        <w:tc>
          <w:tcPr>
            <w:tcW w:w="1700" w:type="dxa"/>
            <w:vAlign w:val="bottom"/>
          </w:tcPr>
          <w:p>
            <w:pPr>
              <w:ind w:left="220"/>
              <w:spacing w:after="0"/>
              <w:rPr>
                <w:sz w:val="20"/>
                <w:szCs w:val="20"/>
                <w:color w:val="auto"/>
              </w:rPr>
            </w:pPr>
            <w:r>
              <w:rPr>
                <w:rFonts w:ascii="Arial" w:cs="Arial" w:eastAsia="Arial" w:hAnsi="Arial"/>
                <w:sz w:val="14"/>
                <w:szCs w:val="14"/>
                <w:color w:val="auto"/>
              </w:rPr>
              <w:t>1/21/2011</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10.25</w:t>
            </w:r>
          </w:p>
        </w:tc>
        <w:tc>
          <w:tcPr>
            <w:tcW w:w="5420" w:type="dxa"/>
            <w:vAlign w:val="bottom"/>
          </w:tcPr>
          <w:p>
            <w:pPr>
              <w:ind w:left="280"/>
              <w:spacing w:after="0"/>
              <w:rPr>
                <w:sz w:val="20"/>
                <w:szCs w:val="20"/>
                <w:color w:val="auto"/>
              </w:rPr>
            </w:pPr>
            <w:r>
              <w:rPr>
                <w:rFonts w:ascii="Arial" w:cs="Arial" w:eastAsia="Arial" w:hAnsi="Arial"/>
                <w:sz w:val="14"/>
                <w:szCs w:val="14"/>
                <w:color w:val="auto"/>
                <w:w w:val="98"/>
              </w:rPr>
              <w:t>Office Lease Agreement between Registrant and PPF Paramount One Market Plaza</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Owner, L.P., dated as of March 9, 2012</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10.31</w:t>
            </w:r>
          </w:p>
        </w:tc>
        <w:tc>
          <w:tcPr>
            <w:tcW w:w="1700" w:type="dxa"/>
            <w:vAlign w:val="bottom"/>
          </w:tcPr>
          <w:p>
            <w:pPr>
              <w:ind w:left="220"/>
              <w:spacing w:after="0"/>
              <w:rPr>
                <w:sz w:val="20"/>
                <w:szCs w:val="20"/>
                <w:color w:val="auto"/>
              </w:rPr>
            </w:pPr>
            <w:r>
              <w:rPr>
                <w:rFonts w:ascii="Arial" w:cs="Arial" w:eastAsia="Arial" w:hAnsi="Arial"/>
                <w:sz w:val="14"/>
                <w:szCs w:val="14"/>
                <w:color w:val="auto"/>
              </w:rPr>
              <w:t>3/26/2012</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10.26</w:t>
            </w:r>
          </w:p>
        </w:tc>
        <w:tc>
          <w:tcPr>
            <w:tcW w:w="5420" w:type="dxa"/>
            <w:vAlign w:val="bottom"/>
          </w:tcPr>
          <w:p>
            <w:pPr>
              <w:ind w:left="280"/>
              <w:spacing w:after="0"/>
              <w:rPr>
                <w:sz w:val="20"/>
                <w:szCs w:val="20"/>
                <w:color w:val="auto"/>
              </w:rPr>
            </w:pPr>
            <w:r>
              <w:rPr>
                <w:rFonts w:ascii="Arial" w:cs="Arial" w:eastAsia="Arial" w:hAnsi="Arial"/>
                <w:sz w:val="14"/>
                <w:szCs w:val="14"/>
                <w:color w:val="auto"/>
                <w:w w:val="98"/>
              </w:rPr>
              <w:t>Employment Offer Letter by and Between the Registrant and Ned Segal, dated as of</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February 7, 2013</w:t>
            </w:r>
          </w:p>
        </w:tc>
        <w:tc>
          <w:tcPr>
            <w:tcW w:w="74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w w:val="95"/>
              </w:rPr>
              <w:t>10.1</w:t>
            </w:r>
          </w:p>
        </w:tc>
        <w:tc>
          <w:tcPr>
            <w:tcW w:w="1700" w:type="dxa"/>
            <w:vAlign w:val="bottom"/>
          </w:tcPr>
          <w:p>
            <w:pPr>
              <w:ind w:left="220"/>
              <w:spacing w:after="0"/>
              <w:rPr>
                <w:sz w:val="20"/>
                <w:szCs w:val="20"/>
                <w:color w:val="auto"/>
              </w:rPr>
            </w:pPr>
            <w:r>
              <w:rPr>
                <w:rFonts w:ascii="Arial" w:cs="Arial" w:eastAsia="Arial" w:hAnsi="Arial"/>
                <w:sz w:val="14"/>
                <w:szCs w:val="14"/>
                <w:color w:val="auto"/>
              </w:rPr>
              <w:t>2/12/2013</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10.27</w:t>
            </w:r>
          </w:p>
        </w:tc>
        <w:tc>
          <w:tcPr>
            <w:tcW w:w="5420" w:type="dxa"/>
            <w:vAlign w:val="bottom"/>
          </w:tcPr>
          <w:p>
            <w:pPr>
              <w:ind w:left="280"/>
              <w:spacing w:after="0"/>
              <w:rPr>
                <w:sz w:val="20"/>
                <w:szCs w:val="20"/>
                <w:color w:val="auto"/>
              </w:rPr>
            </w:pPr>
            <w:r>
              <w:rPr>
                <w:rFonts w:ascii="Arial" w:cs="Arial" w:eastAsia="Arial" w:hAnsi="Arial"/>
                <w:sz w:val="14"/>
                <w:szCs w:val="14"/>
                <w:color w:val="auto"/>
                <w:w w:val="98"/>
              </w:rPr>
              <w:t>Separation Agreement between RPX Corporation and Adam Spiegel dated March 7,</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2013</w:t>
            </w:r>
          </w:p>
        </w:tc>
        <w:tc>
          <w:tcPr>
            <w:tcW w:w="74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w w:val="95"/>
              </w:rPr>
              <w:t>10.1</w:t>
            </w:r>
          </w:p>
        </w:tc>
        <w:tc>
          <w:tcPr>
            <w:tcW w:w="1700" w:type="dxa"/>
            <w:vAlign w:val="bottom"/>
          </w:tcPr>
          <w:p>
            <w:pPr>
              <w:ind w:left="220"/>
              <w:spacing w:after="0"/>
              <w:rPr>
                <w:sz w:val="20"/>
                <w:szCs w:val="20"/>
                <w:color w:val="auto"/>
              </w:rPr>
            </w:pPr>
            <w:r>
              <w:rPr>
                <w:rFonts w:ascii="Arial" w:cs="Arial" w:eastAsia="Arial" w:hAnsi="Arial"/>
                <w:sz w:val="14"/>
                <w:szCs w:val="14"/>
                <w:color w:val="auto"/>
              </w:rPr>
              <w:t>3/13/2013</w:t>
            </w: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23.1</w:t>
            </w:r>
          </w:p>
        </w:tc>
        <w:tc>
          <w:tcPr>
            <w:tcW w:w="5420" w:type="dxa"/>
            <w:vAlign w:val="bottom"/>
          </w:tcPr>
          <w:p>
            <w:pPr>
              <w:ind w:left="280"/>
              <w:spacing w:after="0"/>
              <w:rPr>
                <w:sz w:val="20"/>
                <w:szCs w:val="20"/>
                <w:color w:val="auto"/>
              </w:rPr>
            </w:pPr>
            <w:r>
              <w:rPr>
                <w:rFonts w:ascii="Arial" w:cs="Arial" w:eastAsia="Arial" w:hAnsi="Arial"/>
                <w:sz w:val="14"/>
                <w:szCs w:val="14"/>
                <w:color w:val="auto"/>
                <w:w w:val="96"/>
              </w:rPr>
              <w:t>Consent of PricewaterhouseCoopers LLP, Independent Registered Public Accounting</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Firm</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4"/>
                <w:szCs w:val="14"/>
                <w:color w:val="auto"/>
              </w:rPr>
              <w:t>24.1</w:t>
            </w:r>
          </w:p>
        </w:tc>
        <w:tc>
          <w:tcPr>
            <w:tcW w:w="5420" w:type="dxa"/>
            <w:vAlign w:val="bottom"/>
          </w:tcPr>
          <w:p>
            <w:pPr>
              <w:ind w:left="280"/>
              <w:spacing w:after="0"/>
              <w:rPr>
                <w:sz w:val="20"/>
                <w:szCs w:val="20"/>
                <w:color w:val="auto"/>
              </w:rPr>
            </w:pPr>
            <w:r>
              <w:rPr>
                <w:rFonts w:ascii="Arial" w:cs="Arial" w:eastAsia="Arial" w:hAnsi="Arial"/>
                <w:sz w:val="14"/>
                <w:szCs w:val="14"/>
                <w:color w:val="auto"/>
              </w:rPr>
              <w:t>Power of Attorney (Included in Signature Page)</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358"/>
        </w:trPr>
        <w:tc>
          <w:tcPr>
            <w:tcW w:w="880" w:type="dxa"/>
            <w:vAlign w:val="bottom"/>
          </w:tcPr>
          <w:p>
            <w:pPr>
              <w:spacing w:after="0"/>
              <w:rPr>
                <w:sz w:val="20"/>
                <w:szCs w:val="20"/>
                <w:color w:val="auto"/>
              </w:rPr>
            </w:pPr>
            <w:r>
              <w:rPr>
                <w:rFonts w:ascii="Arial" w:cs="Arial" w:eastAsia="Arial" w:hAnsi="Arial"/>
                <w:sz w:val="14"/>
                <w:szCs w:val="14"/>
                <w:color w:val="auto"/>
              </w:rPr>
              <w:t>31.1</w:t>
            </w:r>
          </w:p>
        </w:tc>
        <w:tc>
          <w:tcPr>
            <w:tcW w:w="5420" w:type="dxa"/>
            <w:vAlign w:val="bottom"/>
          </w:tcPr>
          <w:p>
            <w:pPr>
              <w:ind w:left="280"/>
              <w:spacing w:after="0"/>
              <w:rPr>
                <w:sz w:val="20"/>
                <w:szCs w:val="20"/>
                <w:color w:val="auto"/>
              </w:rPr>
            </w:pPr>
            <w:r>
              <w:rPr>
                <w:rFonts w:ascii="Arial" w:cs="Arial" w:eastAsia="Arial" w:hAnsi="Arial"/>
                <w:sz w:val="14"/>
                <w:szCs w:val="14"/>
                <w:color w:val="auto"/>
              </w:rPr>
              <w:t>Certification of Chief Executive Officer Pursuant to Rule 13-14(a) of the Securities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149"/>
        </w:trPr>
        <w:tc>
          <w:tcPr>
            <w:tcW w:w="88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Arial" w:cs="Arial" w:eastAsia="Arial" w:hAnsi="Arial"/>
                <w:sz w:val="14"/>
                <w:szCs w:val="14"/>
                <w:color w:val="auto"/>
                <w:w w:val="96"/>
              </w:rPr>
              <w:t>Exchange Act of 1934 as Adopted Pursuant to Section 302 of the Sarbanes-Oxley Act</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31.2</w:t>
            </w:r>
          </w:p>
        </w:tc>
        <w:tc>
          <w:tcPr>
            <w:tcW w:w="5420" w:type="dxa"/>
            <w:vAlign w:val="bottom"/>
          </w:tcPr>
          <w:p>
            <w:pPr>
              <w:ind w:left="280"/>
              <w:spacing w:after="0"/>
              <w:rPr>
                <w:sz w:val="20"/>
                <w:szCs w:val="20"/>
                <w:color w:val="auto"/>
              </w:rPr>
            </w:pPr>
            <w:r>
              <w:rPr>
                <w:rFonts w:ascii="Arial" w:cs="Arial" w:eastAsia="Arial" w:hAnsi="Arial"/>
                <w:sz w:val="14"/>
                <w:szCs w:val="14"/>
                <w:color w:val="auto"/>
              </w:rPr>
              <w:t>Certification of Chief Financial Officer Pursuant to Rule 13-14(a) of the Securities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149"/>
        </w:trPr>
        <w:tc>
          <w:tcPr>
            <w:tcW w:w="880" w:type="dxa"/>
            <w:vAlign w:val="bottom"/>
          </w:tcPr>
          <w:p>
            <w:pPr>
              <w:spacing w:after="0"/>
              <w:rPr>
                <w:sz w:val="12"/>
                <w:szCs w:val="12"/>
                <w:color w:val="auto"/>
              </w:rPr>
            </w:pPr>
          </w:p>
        </w:tc>
        <w:tc>
          <w:tcPr>
            <w:tcW w:w="5420" w:type="dxa"/>
            <w:vAlign w:val="bottom"/>
          </w:tcPr>
          <w:p>
            <w:pPr>
              <w:ind w:left="280"/>
              <w:spacing w:after="0" w:line="149" w:lineRule="exact"/>
              <w:rPr>
                <w:sz w:val="20"/>
                <w:szCs w:val="20"/>
                <w:color w:val="auto"/>
              </w:rPr>
            </w:pPr>
            <w:r>
              <w:rPr>
                <w:rFonts w:ascii="Arial" w:cs="Arial" w:eastAsia="Arial" w:hAnsi="Arial"/>
                <w:sz w:val="14"/>
                <w:szCs w:val="14"/>
                <w:color w:val="auto"/>
                <w:w w:val="96"/>
              </w:rPr>
              <w:t>Exchange Act of 1934 as Adopted Pursuant to Section 302 of the Sarbanes-Oxley Act</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32.1</w:t>
            </w:r>
          </w:p>
        </w:tc>
        <w:tc>
          <w:tcPr>
            <w:tcW w:w="5420" w:type="dxa"/>
            <w:vAlign w:val="bottom"/>
          </w:tcPr>
          <w:p>
            <w:pPr>
              <w:ind w:left="28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32.2</w:t>
            </w:r>
          </w:p>
        </w:tc>
        <w:tc>
          <w:tcPr>
            <w:tcW w:w="5420" w:type="dxa"/>
            <w:vAlign w:val="bottom"/>
          </w:tcPr>
          <w:p>
            <w:pPr>
              <w:ind w:left="28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182"/>
        </w:trPr>
        <w:tc>
          <w:tcPr>
            <w:tcW w:w="880" w:type="dxa"/>
            <w:vAlign w:val="bottom"/>
          </w:tcPr>
          <w:p>
            <w:pPr>
              <w:spacing w:after="0"/>
              <w:rPr>
                <w:sz w:val="15"/>
                <w:szCs w:val="15"/>
                <w:color w:val="auto"/>
              </w:rPr>
            </w:pPr>
          </w:p>
        </w:tc>
        <w:tc>
          <w:tcPr>
            <w:tcW w:w="5420" w:type="dxa"/>
            <w:vAlign w:val="bottom"/>
          </w:tcPr>
          <w:p>
            <w:pPr>
              <w:ind w:left="28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4"/>
                <w:szCs w:val="14"/>
                <w:color w:val="auto"/>
              </w:rPr>
              <w:t>101.INS+</w:t>
            </w:r>
          </w:p>
        </w:tc>
        <w:tc>
          <w:tcPr>
            <w:tcW w:w="5420" w:type="dxa"/>
            <w:vAlign w:val="bottom"/>
          </w:tcPr>
          <w:p>
            <w:pPr>
              <w:ind w:left="280"/>
              <w:spacing w:after="0"/>
              <w:rPr>
                <w:sz w:val="20"/>
                <w:szCs w:val="20"/>
                <w:color w:val="auto"/>
              </w:rPr>
            </w:pPr>
            <w:r>
              <w:rPr>
                <w:rFonts w:ascii="Arial" w:cs="Arial" w:eastAsia="Arial" w:hAnsi="Arial"/>
                <w:sz w:val="14"/>
                <w:szCs w:val="14"/>
                <w:color w:val="auto"/>
              </w:rPr>
              <w:t>XBRL Instance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5420" w:type="dxa"/>
            <w:vAlign w:val="bottom"/>
          </w:tcPr>
          <w:p>
            <w:pPr>
              <w:ind w:left="280"/>
              <w:spacing w:after="0"/>
              <w:rPr>
                <w:sz w:val="20"/>
                <w:szCs w:val="20"/>
                <w:color w:val="auto"/>
              </w:rPr>
            </w:pPr>
            <w:r>
              <w:rPr>
                <w:rFonts w:ascii="Arial" w:cs="Arial" w:eastAsia="Arial" w:hAnsi="Arial"/>
                <w:sz w:val="14"/>
                <w:szCs w:val="14"/>
                <w:color w:val="auto"/>
              </w:rPr>
              <w:t>XBRL Taxonomy Extension Schema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5420" w:type="dxa"/>
            <w:vAlign w:val="bottom"/>
          </w:tcPr>
          <w:p>
            <w:pPr>
              <w:ind w:left="300"/>
              <w:spacing w:after="0"/>
              <w:rPr>
                <w:sz w:val="20"/>
                <w:szCs w:val="20"/>
                <w:color w:val="auto"/>
              </w:rPr>
            </w:pPr>
            <w:r>
              <w:rPr>
                <w:rFonts w:ascii="Arial" w:cs="Arial" w:eastAsia="Arial" w:hAnsi="Arial"/>
                <w:sz w:val="14"/>
                <w:szCs w:val="14"/>
                <w:color w:val="auto"/>
              </w:rPr>
              <w:t>XBRL Taxonomy Extension Calculation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5420" w:type="dxa"/>
            <w:vAlign w:val="bottom"/>
          </w:tcPr>
          <w:p>
            <w:pPr>
              <w:ind w:left="300"/>
              <w:spacing w:after="0"/>
              <w:rPr>
                <w:sz w:val="20"/>
                <w:szCs w:val="20"/>
                <w:color w:val="auto"/>
              </w:rPr>
            </w:pPr>
            <w:r>
              <w:rPr>
                <w:rFonts w:ascii="Arial" w:cs="Arial" w:eastAsia="Arial" w:hAnsi="Arial"/>
                <w:sz w:val="14"/>
                <w:szCs w:val="14"/>
                <w:color w:val="auto"/>
              </w:rPr>
              <w:t>XBRL Taxonomy Extension Definition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5420" w:type="dxa"/>
            <w:vAlign w:val="bottom"/>
          </w:tcPr>
          <w:p>
            <w:pPr>
              <w:ind w:left="300"/>
              <w:spacing w:after="0"/>
              <w:rPr>
                <w:sz w:val="20"/>
                <w:szCs w:val="20"/>
                <w:color w:val="auto"/>
              </w:rPr>
            </w:pPr>
            <w:r>
              <w:rPr>
                <w:rFonts w:ascii="Arial" w:cs="Arial" w:eastAsia="Arial" w:hAnsi="Arial"/>
                <w:sz w:val="14"/>
                <w:szCs w:val="14"/>
                <w:color w:val="auto"/>
              </w:rPr>
              <w:t>XBRL Taxonomy Extension Label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5420" w:type="dxa"/>
            <w:vAlign w:val="bottom"/>
          </w:tcPr>
          <w:p>
            <w:pPr>
              <w:ind w:left="300"/>
              <w:spacing w:after="0"/>
              <w:rPr>
                <w:sz w:val="20"/>
                <w:szCs w:val="20"/>
                <w:color w:val="auto"/>
              </w:rPr>
            </w:pPr>
            <w:r>
              <w:rPr>
                <w:rFonts w:ascii="Arial" w:cs="Arial" w:eastAsia="Arial" w:hAnsi="Arial"/>
                <w:sz w:val="14"/>
                <w:szCs w:val="14"/>
                <w:color w:val="auto"/>
              </w:rPr>
              <w:t>XBRL Taxonomy Extension Presentation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r>
    </w:tbl>
    <w:p>
      <w:pPr>
        <w:spacing w:after="0" w:line="281" w:lineRule="exact"/>
        <w:rPr>
          <w:sz w:val="20"/>
          <w:szCs w:val="20"/>
          <w:color w:val="auto"/>
        </w:rPr>
      </w:pPr>
    </w:p>
    <w:p>
      <w:pPr>
        <w:ind w:firstLine="8"/>
        <w:spacing w:after="0" w:line="255" w:lineRule="auto"/>
        <w:tabs>
          <w:tab w:leader="none" w:pos="103" w:val="left"/>
        </w:tabs>
        <w:numPr>
          <w:ilvl w:val="0"/>
          <w:numId w:val="52"/>
        </w:numPr>
        <w:rPr>
          <w:rFonts w:ascii="Arial" w:cs="Arial" w:eastAsia="Arial" w:hAnsi="Arial"/>
          <w:sz w:val="13"/>
          <w:szCs w:val="13"/>
          <w:color w:val="auto"/>
        </w:rPr>
      </w:pPr>
      <w:r>
        <w:rPr>
          <w:rFonts w:ascii="Arial" w:cs="Arial" w:eastAsia="Arial" w:hAnsi="Arial"/>
          <w:sz w:val="13"/>
          <w:szCs w:val="13"/>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36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240" w:top="125" w:right="639" w:bottom="1440" w:gutter="0" w:footer="0" w:header="0"/>
        </w:sectPr>
      </w:pPr>
    </w:p>
    <w:bookmarkStart w:id="72" w:name="page73"/>
    <w:bookmarkEnd w:id="72"/>
    <w:p>
      <w:pPr>
        <w:jc w:val="center"/>
        <w:ind w:right="-25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333-173911, 333-180357, and 333-187152) of RPX Corporation of our report dated March 7, 2014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2014</w:t>
      </w:r>
    </w:p>
    <w:p>
      <w:pPr>
        <w:sectPr>
          <w:pgSz w:w="11900" w:h="16838" w:orient="portrait"/>
          <w:cols w:equalWidth="0" w:num="1">
            <w:col w:w="11160"/>
          </w:cols>
          <w:pgMar w:left="240" w:top="800" w:right="4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21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334"/>
        <w:spacing w:after="0" w:line="264" w:lineRule="auto"/>
        <w:tabs>
          <w:tab w:leader="none" w:pos="17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334"/>
        <w:spacing w:after="0" w:line="264" w:lineRule="auto"/>
        <w:tabs>
          <w:tab w:leader="none" w:pos="17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86" w:lineRule="auto"/>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7,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Ned Segal, certify that:</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334"/>
        <w:spacing w:after="0" w:line="264" w:lineRule="auto"/>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334"/>
        <w:spacing w:after="0" w:line="264" w:lineRule="auto"/>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86" w:lineRule="auto"/>
        <w:tabs>
          <w:tab w:leader="none" w:pos="17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7,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Senior Vice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Finance</w:t>
      </w:r>
    </w:p>
    <w:p>
      <w:pPr>
        <w:spacing w:after="0" w:line="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connection with the Annual Report on Form 10-K for the fiscal year ended December 31, 2013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7,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In connection with the Annual Report on Form 10-K for the fiscal year ended December 31, 2013 of RPX Corporation (the “Company”) as filed with the Securities and Exchange Commission on the date hereof (the “Report”), I, Ned Segal, Chief Financial Officer and Senior Vice President, Finance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7,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Senior Vice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Finance</w:t>
      </w:r>
    </w:p>
    <w:p>
      <w:pPr>
        <w:spacing w:after="0" w:line="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upperLetter"/>
      <w:start w:val="1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2"/>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3"/>
    </w:lvl>
  </w:abstractNum>
  <w:abstractNum w:abstractNumId="34">
    <w:nsid w:val="57E4CCAF"/>
    <w:multiLevelType w:val="hybridMultilevel"/>
    <w:lvl w:ilvl="0">
      <w:lvlJc w:val="left"/>
      <w:lvlText w:val="%1."/>
      <w:numFmt w:val="decimal"/>
      <w:start w:val="4"/>
    </w:lvl>
  </w:abstractNum>
  <w:abstractNum w:abstractNumId="35">
    <w:nsid w:val="7A6D8D3C"/>
    <w:multiLevelType w:val="hybridMultilevel"/>
    <w:lvl w:ilvl="0">
      <w:lvlJc w:val="left"/>
      <w:lvlText w:val="%1."/>
      <w:numFmt w:val="decimal"/>
      <w:start w:val="5"/>
    </w:lvl>
  </w:abstractNum>
  <w:abstractNum w:abstractNumId="36">
    <w:nsid w:val="4B588F54"/>
    <w:multiLevelType w:val="hybridMultilevel"/>
    <w:lvl w:ilvl="0">
      <w:lvlJc w:val="left"/>
      <w:lvlText w:val="%1."/>
      <w:numFmt w:val="decimal"/>
      <w:start w:val="6"/>
    </w:lvl>
  </w:abstractNum>
  <w:abstractNum w:abstractNumId="37">
    <w:nsid w:val="542289EC"/>
    <w:multiLevelType w:val="hybridMultilevel"/>
    <w:lvl w:ilvl="0">
      <w:lvlJc w:val="left"/>
      <w:lvlText w:val="%1."/>
      <w:numFmt w:val="decimal"/>
      <w:start w:val="7"/>
    </w:lvl>
  </w:abstractNum>
  <w:abstractNum w:abstractNumId="38">
    <w:nsid w:val="6DE91B18"/>
    <w:multiLevelType w:val="hybridMultilevel"/>
    <w:lvl w:ilvl="0">
      <w:lvlJc w:val="left"/>
      <w:lvlText w:val="%1."/>
      <w:numFmt w:val="decimal"/>
      <w:start w:val="8"/>
    </w:lvl>
  </w:abstractNum>
  <w:abstractNum w:abstractNumId="39">
    <w:nsid w:val="38437FDB"/>
    <w:multiLevelType w:val="hybridMultilevel"/>
    <w:lvl w:ilvl="0">
      <w:lvlJc w:val="left"/>
      <w:lvlText w:val="%1."/>
      <w:numFmt w:val="decimal"/>
      <w:start w:val="9"/>
    </w:lvl>
  </w:abstractNum>
  <w:abstractNum w:abstractNumId="40">
    <w:nsid w:val="7644A45C"/>
    <w:multiLevelType w:val="hybridMultilevel"/>
    <w:lvl w:ilvl="0">
      <w:lvlJc w:val="left"/>
      <w:lvlText w:val="%1."/>
      <w:numFmt w:val="decimal"/>
      <w:start w:val="11"/>
    </w:lvl>
  </w:abstractNum>
  <w:abstractNum w:abstractNumId="41">
    <w:nsid w:val="32FFF902"/>
    <w:multiLevelType w:val="hybridMultilevel"/>
    <w:lvl w:ilvl="0">
      <w:lvlJc w:val="left"/>
      <w:lvlText w:val="%1."/>
      <w:numFmt w:val="decimal"/>
      <w:start w:val="12"/>
    </w:lvl>
  </w:abstractNum>
  <w:abstractNum w:abstractNumId="42">
    <w:nsid w:val="684A481A"/>
    <w:multiLevelType w:val="hybridMultilevel"/>
    <w:lvl w:ilvl="0">
      <w:lvlJc w:val="left"/>
      <w:lvlText w:val="%1."/>
      <w:numFmt w:val="decimal"/>
      <w:start w:val="13"/>
    </w:lvl>
  </w:abstractNum>
  <w:abstractNum w:abstractNumId="43">
    <w:nsid w:val="579478FE"/>
    <w:multiLevelType w:val="hybridMultilevel"/>
    <w:lvl w:ilvl="0">
      <w:lvlJc w:val="left"/>
      <w:lvlText w:val="%1."/>
      <w:numFmt w:val="decimal"/>
      <w:start w:val="15"/>
    </w:lvl>
  </w:abstractNum>
  <w:abstractNum w:abstractNumId="44">
    <w:nsid w:val="749ABB43"/>
    <w:multiLevelType w:val="hybridMultilevel"/>
    <w:lvl w:ilvl="0">
      <w:lvlJc w:val="left"/>
      <w:lvlText w:val="%1."/>
      <w:numFmt w:val="decimal"/>
      <w:start w:val="16"/>
    </w:lvl>
  </w:abstractNum>
  <w:abstractNum w:abstractNumId="45">
    <w:nsid w:val="3DC240FB"/>
    <w:multiLevelType w:val="hybridMultilevel"/>
    <w:lvl w:ilvl="0">
      <w:lvlJc w:val="left"/>
      <w:lvlText w:val="%1."/>
      <w:numFmt w:val="decimal"/>
      <w:start w:val="17"/>
    </w:lvl>
  </w:abstractNum>
  <w:abstractNum w:abstractNumId="46">
    <w:nsid w:val="1BA026FA"/>
    <w:multiLevelType w:val="hybridMultilevel"/>
    <w:lvl w:ilvl="0">
      <w:lvlJc w:val="left"/>
      <w:lvlText w:val="%1."/>
      <w:numFmt w:val="decimal"/>
      <w:start w:val="18"/>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2"/>
    </w:lvl>
  </w:abstractNum>
  <w:abstractNum w:abstractNumId="50">
    <w:nsid w:val="70C6A529"/>
    <w:multiLevelType w:val="hybridMultilevel"/>
    <w:lvl w:ilvl="0">
      <w:lvlJc w:val="left"/>
      <w:lvlText w:val="%1."/>
      <w:numFmt w:val="decimal"/>
      <w:start w:val="3"/>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2019-12-07T23:55:48Z</dcterms:created>
  <dcterms:modified xsi:type="dcterms:W3CDTF">2019-12-07T23:55:48Z</dcterms:modified>
</cp:coreProperties>
</file>