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As filed with the Securities and Exchange Commission on June 19, 2018</w:t>
      </w:r>
    </w:p>
    <w:p>
      <w:pPr>
        <w:spacing w:after="0" w:line="27" w:lineRule="exact"/>
        <w:rPr>
          <w:sz w:val="24"/>
          <w:szCs w:val="24"/>
          <w:color w:val="auto"/>
        </w:rPr>
      </w:pPr>
    </w:p>
    <w:p>
      <w:pPr>
        <w:ind w:left="5880"/>
        <w:spacing w:after="0"/>
        <w:rPr>
          <w:sz w:val="20"/>
          <w:szCs w:val="20"/>
          <w:color w:val="auto"/>
        </w:rPr>
      </w:pPr>
      <w:r>
        <w:rPr>
          <w:rFonts w:ascii="Arial" w:cs="Arial" w:eastAsia="Arial" w:hAnsi="Arial"/>
          <w:sz w:val="16"/>
          <w:szCs w:val="16"/>
          <w:b w:val="1"/>
          <w:bCs w:val="1"/>
          <w:color w:val="auto"/>
        </w:rPr>
        <w:t>Registration No. 333-216305; 333-209780;</w:t>
      </w:r>
    </w:p>
    <w:p>
      <w:pPr>
        <w:spacing w:after="0" w:line="32" w:lineRule="exact"/>
        <w:rPr>
          <w:sz w:val="24"/>
          <w:szCs w:val="24"/>
          <w:color w:val="auto"/>
        </w:rPr>
      </w:pPr>
    </w:p>
    <w:p>
      <w:pPr>
        <w:ind w:left="5880"/>
        <w:spacing w:after="0"/>
        <w:rPr>
          <w:sz w:val="20"/>
          <w:szCs w:val="20"/>
          <w:color w:val="auto"/>
        </w:rPr>
      </w:pPr>
      <w:r>
        <w:rPr>
          <w:rFonts w:ascii="Arial" w:cs="Arial" w:eastAsia="Arial" w:hAnsi="Arial"/>
          <w:sz w:val="18"/>
          <w:szCs w:val="18"/>
          <w:b w:val="1"/>
          <w:bCs w:val="1"/>
          <w:color w:val="auto"/>
        </w:rPr>
        <w:t>333-202433; 333-194438; 333-187152;</w:t>
      </w:r>
    </w:p>
    <w:p>
      <w:pPr>
        <w:spacing w:after="0" w:line="9" w:lineRule="exact"/>
        <w:rPr>
          <w:sz w:val="24"/>
          <w:szCs w:val="24"/>
          <w:color w:val="auto"/>
        </w:rPr>
      </w:pPr>
    </w:p>
    <w:p>
      <w:pPr>
        <w:ind w:left="5880"/>
        <w:spacing w:after="0"/>
        <w:rPr>
          <w:sz w:val="20"/>
          <w:szCs w:val="20"/>
          <w:color w:val="auto"/>
        </w:rPr>
      </w:pPr>
      <w:r>
        <w:rPr>
          <w:rFonts w:ascii="Arial" w:cs="Arial" w:eastAsia="Arial" w:hAnsi="Arial"/>
          <w:sz w:val="18"/>
          <w:szCs w:val="18"/>
          <w:b w:val="1"/>
          <w:bCs w:val="1"/>
          <w:color w:val="auto"/>
        </w:rPr>
        <w:t>333-180357; 333-173911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t>
      </w:r>
    </w:p>
    <w:p>
      <w:pPr>
        <w:jc w:val="both"/>
        <w:ind w:left="1120" w:right="1200"/>
        <w:spacing w:after="0" w:line="268" w:lineRule="auto"/>
        <w:rPr>
          <w:sz w:val="20"/>
          <w:szCs w:val="20"/>
          <w:color w:val="auto"/>
        </w:rPr>
      </w:pPr>
      <w:r>
        <w:rPr>
          <w:rFonts w:ascii="Arial" w:cs="Arial" w:eastAsia="Arial" w:hAnsi="Arial"/>
          <w:sz w:val="29"/>
          <w:szCs w:val="29"/>
          <w:b w:val="1"/>
          <w:bCs w:val="1"/>
          <w:color w:val="auto"/>
        </w:rPr>
        <w:t>Form S-8 Registration Statement No. 333-216305 Form S-8 Registration Statement No. 333-209780 Form S-8 Registration Statement No. 333-202433 Form S-8 Registration Statement No. 333-194438 Form S-8 Registration Statement No. 333-187152 Form S-8 Registration Statement No. 333-180357 Form S-8 Registration Statement No. 333-173911</w:t>
      </w:r>
    </w:p>
    <w:p>
      <w:pPr>
        <w:spacing w:after="0" w:line="105"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221615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80"/>
        <w:spacing w:after="0"/>
        <w:rPr>
          <w:sz w:val="20"/>
          <w:szCs w:val="20"/>
          <w:color w:val="auto"/>
        </w:rPr>
      </w:pPr>
      <w:r>
        <w:rPr>
          <w:rFonts w:ascii="Arial" w:cs="Arial" w:eastAsia="Arial" w:hAnsi="Arial"/>
          <w:sz w:val="43"/>
          <w:szCs w:val="43"/>
          <w:b w:val="1"/>
          <w:bCs w:val="1"/>
          <w:color w:val="auto"/>
        </w:rPr>
        <w:t>RPX Corporation</w:t>
      </w:r>
    </w:p>
    <w:p>
      <w:pPr>
        <w:spacing w:after="0" w:line="50"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210820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100"/>
          </w:cols>
          <w:pgMar w:left="1440" w:top="229" w:right="135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50" w:lineRule="exact"/>
        <w:rPr>
          <w:sz w:val="24"/>
          <w:szCs w:val="24"/>
          <w:color w:val="auto"/>
        </w:rPr>
      </w:pPr>
    </w:p>
    <w:p>
      <w:pPr>
        <w:sectPr>
          <w:pgSz w:w="11900" w:h="16838" w:orient="portrait"/>
          <w:cols w:equalWidth="0" w:num="2">
            <w:col w:w="6300" w:space="720"/>
            <w:col w:w="2080"/>
          </w:cols>
          <w:pgMar w:left="1440" w:top="229" w:right="1359" w:bottom="1440" w:gutter="0" w:footer="0" w:header="0"/>
          <w:type w:val="continuous"/>
        </w:sectPr>
      </w:pPr>
    </w:p>
    <w:p>
      <w:pPr>
        <w:ind w:left="9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56" w:lineRule="exact"/>
        <w:rPr>
          <w:sz w:val="24"/>
          <w:szCs w:val="24"/>
          <w:color w:val="auto"/>
        </w:rPr>
      </w:pPr>
    </w:p>
    <w:p>
      <w:pPr>
        <w:sectPr>
          <w:pgSz w:w="11900" w:h="16838" w:orient="portrait"/>
          <w:cols w:equalWidth="0" w:num="2">
            <w:col w:w="5640" w:space="720"/>
            <w:col w:w="2740"/>
          </w:cols>
          <w:pgMar w:left="1440" w:top="229" w:right="13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One Market Plaza, Suite 1100</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San Francisco, CA 94105</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(866) 779-7641</w:t>
      </w:r>
    </w:p>
    <w:p>
      <w:pPr>
        <w:spacing w:after="0" w:line="2" w:lineRule="exact"/>
        <w:rPr>
          <w:sz w:val="24"/>
          <w:szCs w:val="24"/>
          <w:color w:val="auto"/>
        </w:rPr>
      </w:pPr>
    </w:p>
    <w:p>
      <w:pPr>
        <w:jc w:val="center"/>
        <w:ind w:right="80"/>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188"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2008 Stock Plan</w:t>
      </w:r>
    </w:p>
    <w:p>
      <w:pPr>
        <w:spacing w:after="0" w:line="27"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2011 Equity Incentive Plan</w:t>
      </w:r>
    </w:p>
    <w:p>
      <w:pPr>
        <w:spacing w:after="0" w:line="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(Full titles of the plans)</w:t>
      </w:r>
    </w:p>
    <w:p>
      <w:pPr>
        <w:spacing w:after="0" w:line="15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Martin E. Roberts</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One Market Plaza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Suite 1100</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San Francisco, CA 94105</w:t>
      </w:r>
    </w:p>
    <w:p>
      <w:pPr>
        <w:spacing w:after="0" w:line="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5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(866) 779-7641</w:t>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ectPr>
          <w:pgSz w:w="11900" w:h="16838" w:orient="portrait"/>
          <w:cols w:equalWidth="0" w:num="1">
            <w:col w:w="9100"/>
          </w:cols>
          <w:pgMar w:left="1440" w:top="229" w:right="1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Leif King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525 University Avenue, Suite 1400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470-4500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6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 / DEREGISTRATION OF UNSOLD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post-effective amendment (the “</w:t>
      </w:r>
      <w:r>
        <w:rPr>
          <w:rFonts w:ascii="Arial" w:cs="Arial" w:eastAsia="Arial" w:hAnsi="Arial"/>
          <w:sz w:val="17"/>
          <w:szCs w:val="17"/>
          <w:b w:val="1"/>
          <w:bCs w:val="1"/>
          <w:color w:val="auto"/>
        </w:rPr>
        <w:t>Post-Effective Amendment</w:t>
      </w:r>
      <w:r>
        <w:rPr>
          <w:rFonts w:ascii="Arial" w:cs="Arial" w:eastAsia="Arial" w:hAnsi="Arial"/>
          <w:sz w:val="17"/>
          <w:szCs w:val="17"/>
          <w:color w:val="auto"/>
        </w:rPr>
        <w:t>”) relates to the following Registration Statements filed by RPX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color w:val="auto"/>
        </w:rPr>
        <w:t>Registrant</w:t>
      </w:r>
      <w:r>
        <w:rPr>
          <w:rFonts w:ascii="Arial" w:cs="Arial" w:eastAsia="Arial" w:hAnsi="Arial"/>
          <w:sz w:val="18"/>
          <w:szCs w:val="18"/>
          <w:color w:val="auto"/>
        </w:rPr>
        <w:t>”), on Form S-8 (collectively, the “</w:t>
      </w:r>
      <w:r>
        <w:rPr>
          <w:rFonts w:ascii="Arial" w:cs="Arial" w:eastAsia="Arial" w:hAnsi="Arial"/>
          <w:sz w:val="18"/>
          <w:szCs w:val="18"/>
          <w:b w:val="1"/>
          <w:bCs w:val="1"/>
          <w:color w:val="auto"/>
        </w:rPr>
        <w:t>Registration Statements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Registration</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Date Filed</w:t>
            </w:r>
          </w:p>
        </w:tc>
        <w:tc>
          <w:tcPr>
            <w:tcW w:w="25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Number 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With</w:t>
            </w:r>
          </w:p>
        </w:tc>
        <w:tc>
          <w:tcPr>
            <w:tcW w:w="2500" w:type="dxa"/>
            <w:vAlign w:val="bottom"/>
          </w:tcPr>
          <w:p>
            <w:pPr>
              <w:spacing w:after="0"/>
              <w:rPr>
                <w:sz w:val="12"/>
                <w:szCs w:val="12"/>
                <w:color w:val="auto"/>
              </w:rPr>
            </w:pPr>
          </w:p>
        </w:tc>
        <w:tc>
          <w:tcPr>
            <w:tcW w:w="51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Name of Equity Plan</w:t>
            </w:r>
          </w:p>
        </w:tc>
        <w:tc>
          <w:tcPr>
            <w:tcW w:w="16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No.</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the SEC</w:t>
            </w:r>
          </w:p>
        </w:tc>
        <w:tc>
          <w:tcPr>
            <w:tcW w:w="2500" w:type="dxa"/>
            <w:vAlign w:val="bottom"/>
          </w:tcPr>
          <w:p>
            <w:pPr>
              <w:spacing w:after="0"/>
              <w:rPr>
                <w:sz w:val="14"/>
                <w:szCs w:val="14"/>
                <w:color w:val="auto"/>
              </w:rPr>
            </w:pPr>
          </w:p>
        </w:tc>
        <w:tc>
          <w:tcPr>
            <w:tcW w:w="5100" w:type="dxa"/>
            <w:vAlign w:val="bottom"/>
            <w:gridSpan w:val="2"/>
            <w:vMerge w:val="continue"/>
          </w:tcPr>
          <w:p>
            <w:pPr>
              <w:spacing w:after="0"/>
              <w:rPr>
                <w:sz w:val="14"/>
                <w:szCs w:val="1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Originally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333-216305</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2/28/2017</w:t>
            </w:r>
          </w:p>
        </w:tc>
        <w:tc>
          <w:tcPr>
            <w:tcW w:w="2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333-209780</w:t>
            </w: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2/29/2016</w:t>
            </w:r>
          </w:p>
        </w:tc>
        <w:tc>
          <w:tcPr>
            <w:tcW w:w="2500" w:type="dxa"/>
            <w:vAlign w:val="bottom"/>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333-202433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3/2/2015</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324"/>
        </w:trPr>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333-194438</w:t>
            </w: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3/10/2014</w:t>
            </w:r>
          </w:p>
        </w:tc>
        <w:tc>
          <w:tcPr>
            <w:tcW w:w="2500" w:type="dxa"/>
            <w:vAlign w:val="bottom"/>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333-187152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3/11/2013</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324"/>
        </w:trPr>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333-180357</w:t>
            </w: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3/26/2012</w:t>
            </w:r>
          </w:p>
        </w:tc>
        <w:tc>
          <w:tcPr>
            <w:tcW w:w="2500" w:type="dxa"/>
            <w:vAlign w:val="bottom"/>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2,457,269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333-173911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5/4/2011</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2008 Stock Plan</w:t>
            </w:r>
          </w:p>
        </w:tc>
        <w:tc>
          <w:tcPr>
            <w:tcW w:w="4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7,386,846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1,828,076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Registrant is filing this Post-Effective Amendment to the Registration Statements to withdraw and remove any unissued and unsold securities issuable by the Registrant pursuant to the Registration Statements.</w:t>
      </w:r>
    </w:p>
    <w:p>
      <w:pPr>
        <w:spacing w:after="0" w:line="16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Pursuant to the Agreement and Plan of Merger, dated April 30, 2018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the Registrant, Riptide Parent, LLC, a Delaware limited liability company (“</w:t>
      </w:r>
      <w:r>
        <w:rPr>
          <w:rFonts w:ascii="Arial" w:cs="Arial" w:eastAsia="Arial" w:hAnsi="Arial"/>
          <w:sz w:val="18"/>
          <w:szCs w:val="18"/>
          <w:b w:val="1"/>
          <w:bCs w:val="1"/>
          <w:color w:val="auto"/>
        </w:rPr>
        <w:t>Parent</w:t>
      </w:r>
      <w:r>
        <w:rPr>
          <w:rFonts w:ascii="Arial" w:cs="Arial" w:eastAsia="Arial" w:hAnsi="Arial"/>
          <w:sz w:val="18"/>
          <w:szCs w:val="18"/>
          <w:color w:val="auto"/>
        </w:rPr>
        <w:t>”), and Riptide Purchaser, Inc., a Delaware corporation and a wholly owned subsidiary of Parent (“</w:t>
      </w:r>
      <w:r>
        <w:rPr>
          <w:rFonts w:ascii="Arial" w:cs="Arial" w:eastAsia="Arial" w:hAnsi="Arial"/>
          <w:sz w:val="18"/>
          <w:szCs w:val="18"/>
          <w:b w:val="1"/>
          <w:bCs w:val="1"/>
          <w:color w:val="auto"/>
        </w:rPr>
        <w:t>Purchaser</w:t>
      </w:r>
      <w:r>
        <w:rPr>
          <w:rFonts w:ascii="Arial" w:cs="Arial" w:eastAsia="Arial" w:hAnsi="Arial"/>
          <w:sz w:val="18"/>
          <w:szCs w:val="18"/>
          <w:color w:val="auto"/>
        </w:rPr>
        <w:t>”), on June 19, 2018, Purchaser merged with and into the Registrant, with the Registrant surviving the merger as a wholly owned subsidiary of Parent (the “</w:t>
      </w:r>
      <w:r>
        <w:rPr>
          <w:rFonts w:ascii="Arial" w:cs="Arial" w:eastAsia="Arial" w:hAnsi="Arial"/>
          <w:sz w:val="18"/>
          <w:szCs w:val="18"/>
          <w:b w:val="1"/>
          <w:bCs w:val="1"/>
          <w:color w:val="auto"/>
        </w:rPr>
        <w:t>Merger</w:t>
      </w:r>
      <w:r>
        <w:rPr>
          <w:rFonts w:ascii="Arial" w:cs="Arial" w:eastAsia="Arial" w:hAnsi="Arial"/>
          <w:sz w:val="18"/>
          <w:szCs w:val="18"/>
          <w:color w:val="auto"/>
        </w:rPr>
        <w:t>”). Parent is beneficially owned by affiliates of HGGC, LLC.</w:t>
      </w:r>
    </w:p>
    <w:p>
      <w:pPr>
        <w:spacing w:after="0" w:line="18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Registrant previously registered shares of the Registrant’s common stock, $0.0001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under its existing registration statements under the Securities Act of 1933, as amended, including the Registration Statements, concerning shares issuable or issued under certain employee benefit and equity plans and agreements. As a result of the consummation of the Merger and the transactions contemplated by the Merger Agreement, the Registrant has terminated all offerings of its securities pursuant to the above referenced Registration Statements. As a result of the consummation of the Merger and the transactions contemplated by the Merger Agreement, and in accordance with an undertaking made by the Registrant in each of the Registration Statements to remove from registration by means of a post-effective amendment any securities which remain unsold at the termination of the offering subject to the Registration Statements, the Registrant hereby removes and withdraws from registration any and all securities of the Registrant registered pursuant to the Registration Statements that remain unsold as of the date hereof. Each Registration Statement is hereby amended, as appropriate, to reflect the deregistration of such securities.</w:t>
      </w:r>
    </w:p>
    <w:p>
      <w:pPr>
        <w:sectPr>
          <w:pgSz w:w="11900" w:h="16838" w:orient="portrait"/>
          <w:cols w:equalWidth="0" w:num="1">
            <w:col w:w="11420"/>
          </w:cols>
          <w:pgMar w:left="240" w:top="270"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and Rule 478 thereunder, the Registrant certifies that it has reasonable grounds to believe that it meets all of the requirements for filing on Form S-8 and has duly caused this Post-Effective Amendment to the Registration Statements on Form S-8 to be signed on its behalf by the undersigned, thereunto duly authorized, in the City of San Francisco, State of California, on this 19th day of June, 2018.</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RPX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Martin Roberts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Martin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other person is required to sign this Post-Effective Amendment to the Registration Statements in reliance on Rule 478 of the Securities Act of 1933, as amended.</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2019-12-07T21:36:00Z</dcterms:created>
  <dcterms:modified xsi:type="dcterms:W3CDTF">2019-12-07T21:36:00Z</dcterms:modified>
</cp:coreProperties>
</file>