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8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001-35146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246380</wp:posOffset>
            </wp:positionV>
            <wp:extent cx="917575"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1757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RPX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26-2990113</w:t>
      </w:r>
    </w:p>
    <w:p>
      <w:pPr>
        <w:spacing w:after="0" w:line="56"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20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40" w:space="720"/>
            <w:col w:w="326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One Market Plaza, Suite 800,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California 94105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 and Zip Code)</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(866) 779-7641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61"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2"/>
              </w:rPr>
              <w:t>On April 30, 2012, 50,136,584 shares of the registrant’s common stock, $0.0001 par value, were outstanding.</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7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380" w:type="dxa"/>
            <w:vAlign w:val="bottom"/>
            <w:gridSpan w:val="4"/>
          </w:tcPr>
          <w:p>
            <w:pPr>
              <w:ind w:left="1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53"/>
        </w:trPr>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004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28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000" w:type="dxa"/>
            <w:vAlign w:val="bottom"/>
          </w:tcPr>
          <w:p>
            <w:pPr>
              <w:ind w:left="200"/>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66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00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27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Operations</w:t>
              </w:r>
            </w:hyperlink>
          </w:p>
        </w:tc>
        <w:tc>
          <w:tcPr>
            <w:tcW w:w="728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000" w:type="dxa"/>
            <w:vAlign w:val="bottom"/>
          </w:tcPr>
          <w:p>
            <w:pPr>
              <w:spacing w:after="0"/>
              <w:rPr>
                <w:sz w:val="24"/>
                <w:szCs w:val="24"/>
                <w:color w:val="auto"/>
              </w:rPr>
            </w:pPr>
          </w:p>
        </w:tc>
        <w:tc>
          <w:tcPr>
            <w:tcW w:w="366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Comprehensive Income</w:t>
              </w:r>
            </w:hyperlink>
          </w:p>
        </w:tc>
        <w:tc>
          <w:tcPr>
            <w:tcW w:w="63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0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308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Consolidated Financial Statements</w:t>
              </w:r>
            </w:hyperlink>
          </w:p>
        </w:tc>
        <w:tc>
          <w:tcPr>
            <w:tcW w:w="69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00" w:type="dxa"/>
            <w:vAlign w:val="bottom"/>
          </w:tcPr>
          <w:p>
            <w:pPr>
              <w:ind w:left="200"/>
              <w:spacing w:after="0"/>
              <w:rPr>
                <w:sz w:val="20"/>
                <w:szCs w:val="20"/>
                <w:color w:val="auto"/>
              </w:rPr>
            </w:pPr>
            <w:r>
              <w:rPr>
                <w:rFonts w:ascii="Arial" w:cs="Arial" w:eastAsia="Arial" w:hAnsi="Arial"/>
                <w:sz w:val="18"/>
                <w:szCs w:val="18"/>
                <w:color w:val="auto"/>
              </w:rPr>
              <w:t>Item 2.</w:t>
            </w:r>
          </w:p>
        </w:tc>
        <w:tc>
          <w:tcPr>
            <w:tcW w:w="1004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000" w:type="dxa"/>
            <w:vAlign w:val="bottom"/>
          </w:tcPr>
          <w:p>
            <w:pPr>
              <w:ind w:left="200"/>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000" w:type="dxa"/>
            <w:vAlign w:val="bottom"/>
          </w:tcPr>
          <w:p>
            <w:pPr>
              <w:ind w:left="200"/>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Controls and Procedures</w:t>
              </w:r>
            </w:hyperlink>
          </w:p>
        </w:tc>
        <w:tc>
          <w:tcPr>
            <w:tcW w:w="828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4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OTHER INFORMATION</w:t>
              </w:r>
            </w:hyperlink>
          </w:p>
        </w:tc>
        <w:tc>
          <w:tcPr>
            <w:tcW w:w="800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000" w:type="dxa"/>
            <w:vAlign w:val="bottom"/>
          </w:tcPr>
          <w:p>
            <w:pPr>
              <w:ind w:left="200"/>
              <w:spacing w:after="0"/>
              <w:rPr>
                <w:sz w:val="20"/>
                <w:szCs w:val="20"/>
                <w:color w:val="auto"/>
              </w:rPr>
            </w:pPr>
            <w:r>
              <w:rPr>
                <w:rFonts w:ascii="Arial" w:cs="Arial" w:eastAsia="Arial" w:hAnsi="Arial"/>
                <w:sz w:val="18"/>
                <w:szCs w:val="18"/>
                <w:color w:val="auto"/>
              </w:rPr>
              <w:t>Item 1.</w:t>
            </w:r>
          </w:p>
        </w:tc>
        <w:tc>
          <w:tcPr>
            <w:tcW w:w="1004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000" w:type="dxa"/>
            <w:vAlign w:val="bottom"/>
          </w:tcPr>
          <w:p>
            <w:pPr>
              <w:ind w:left="16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400" w:type="dxa"/>
            <w:vAlign w:val="bottom"/>
            <w:tcBorders>
              <w:top w:val="single" w:sz="8" w:color="0000EE"/>
            </w:tcBorders>
            <w:gridSpan w:val="2"/>
          </w:tcPr>
          <w:p>
            <w:pPr>
              <w:spacing w:after="0"/>
              <w:rPr>
                <w:sz w:val="24"/>
                <w:szCs w:val="24"/>
                <w:color w:val="auto"/>
              </w:rPr>
            </w:pPr>
          </w:p>
        </w:tc>
        <w:tc>
          <w:tcPr>
            <w:tcW w:w="874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000" w:type="dxa"/>
            <w:vAlign w:val="bottom"/>
          </w:tcPr>
          <w:p>
            <w:pPr>
              <w:ind w:left="200"/>
              <w:spacing w:after="0"/>
              <w:rPr>
                <w:sz w:val="20"/>
                <w:szCs w:val="20"/>
                <w:color w:val="auto"/>
              </w:rPr>
            </w:pPr>
            <w:r>
              <w:rPr>
                <w:rFonts w:ascii="Arial" w:cs="Arial" w:eastAsia="Arial" w:hAnsi="Arial"/>
                <w:sz w:val="18"/>
                <w:szCs w:val="18"/>
                <w:color w:val="auto"/>
              </w:rPr>
              <w:t>Item 2.</w:t>
            </w:r>
          </w:p>
        </w:tc>
        <w:tc>
          <w:tcPr>
            <w:tcW w:w="1004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000" w:type="dxa"/>
            <w:vAlign w:val="bottom"/>
          </w:tcPr>
          <w:p>
            <w:pPr>
              <w:ind w:left="200"/>
              <w:spacing w:after="0"/>
              <w:rPr>
                <w:sz w:val="20"/>
                <w:szCs w:val="20"/>
                <w:color w:val="auto"/>
              </w:rPr>
            </w:pPr>
            <w:r>
              <w:rPr>
                <w:rFonts w:ascii="Arial" w:cs="Arial" w:eastAsia="Arial" w:hAnsi="Arial"/>
                <w:sz w:val="18"/>
                <w:szCs w:val="18"/>
                <w:color w:val="auto"/>
              </w:rPr>
              <w:t>Item 3.</w:t>
            </w:r>
          </w:p>
        </w:tc>
        <w:tc>
          <w:tcPr>
            <w:tcW w:w="2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Defaults Upon Senior Securities</w:t>
              </w:r>
            </w:hyperlink>
          </w:p>
        </w:tc>
        <w:tc>
          <w:tcPr>
            <w:tcW w:w="1900" w:type="dxa"/>
            <w:vAlign w:val="bottom"/>
            <w:tcBorders>
              <w:top w:val="single" w:sz="8" w:color="0000EE"/>
            </w:tcBorders>
            <w:gridSpan w:val="6"/>
          </w:tcPr>
          <w:p>
            <w:pPr>
              <w:spacing w:after="0"/>
              <w:rPr>
                <w:sz w:val="24"/>
                <w:szCs w:val="24"/>
                <w:color w:val="auto"/>
              </w:rPr>
            </w:pPr>
          </w:p>
        </w:tc>
        <w:tc>
          <w:tcPr>
            <w:tcW w:w="58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000" w:type="dxa"/>
            <w:vAlign w:val="bottom"/>
          </w:tcPr>
          <w:p>
            <w:pPr>
              <w:ind w:left="20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Mine Safety Disclosures</w:t>
              </w:r>
            </w:hyperlink>
          </w:p>
        </w:tc>
        <w:tc>
          <w:tcPr>
            <w:tcW w:w="83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000" w:type="dxa"/>
            <w:vAlign w:val="bottom"/>
          </w:tcPr>
          <w:p>
            <w:pPr>
              <w:ind w:left="200"/>
              <w:spacing w:after="0"/>
              <w:rPr>
                <w:sz w:val="20"/>
                <w:szCs w:val="20"/>
                <w:color w:val="auto"/>
              </w:rPr>
            </w:pPr>
            <w:r>
              <w:rPr>
                <w:rFonts w:ascii="Arial" w:cs="Arial" w:eastAsia="Arial" w:hAnsi="Arial"/>
                <w:sz w:val="18"/>
                <w:szCs w:val="18"/>
                <w:color w:val="auto"/>
              </w:rPr>
              <w:t>Item 5.</w:t>
            </w:r>
          </w:p>
        </w:tc>
        <w:tc>
          <w:tcPr>
            <w:tcW w:w="1004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000" w:type="dxa"/>
            <w:vAlign w:val="bottom"/>
          </w:tcPr>
          <w:p>
            <w:pPr>
              <w:ind w:left="200"/>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Exhibits</w:t>
              </w:r>
            </w:hyperlink>
          </w:p>
        </w:tc>
        <w:tc>
          <w:tcPr>
            <w:tcW w:w="680" w:type="dxa"/>
            <w:vAlign w:val="bottom"/>
            <w:tcBorders>
              <w:top w:val="single" w:sz="8" w:color="0000EE"/>
            </w:tcBorders>
            <w:gridSpan w:val="3"/>
          </w:tcPr>
          <w:p>
            <w:pPr>
              <w:spacing w:after="0"/>
              <w:rPr>
                <w:sz w:val="24"/>
                <w:szCs w:val="24"/>
                <w:color w:val="auto"/>
              </w:rPr>
            </w:pPr>
          </w:p>
        </w:tc>
        <w:tc>
          <w:tcPr>
            <w:tcW w:w="87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000" w:type="dxa"/>
            <w:vAlign w:val="bottom"/>
          </w:tcPr>
          <w:p>
            <w:pPr>
              <w:spacing w:after="0"/>
              <w:rPr>
                <w:sz w:val="24"/>
                <w:szCs w:val="24"/>
                <w:color w:val="auto"/>
              </w:rPr>
            </w:pPr>
          </w:p>
        </w:tc>
        <w:tc>
          <w:tcPr>
            <w:tcW w:w="1004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93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$101,569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106,749</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150,535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126,976</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660" w:type="dxa"/>
            <w:vAlign w:val="bottom"/>
          </w:tcPr>
          <w:p>
            <w:pPr>
              <w:jc w:val="right"/>
              <w:spacing w:after="0"/>
              <w:rPr>
                <w:sz w:val="20"/>
                <w:szCs w:val="20"/>
                <w:color w:val="auto"/>
              </w:rPr>
            </w:pPr>
            <w:r>
              <w:rPr>
                <w:rFonts w:ascii="Arial" w:cs="Arial" w:eastAsia="Arial" w:hAnsi="Arial"/>
                <w:sz w:val="18"/>
                <w:szCs w:val="18"/>
                <w:color w:val="auto"/>
              </w:rPr>
              <w:t>6,497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16,160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12,124</w:t>
            </w:r>
          </w:p>
        </w:tc>
      </w:tr>
      <w:tr>
        <w:trPr>
          <w:trHeight w:val="223"/>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278,564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267,701</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Patent assets, net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159,047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163,352</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660" w:type="dxa"/>
            <w:vAlign w:val="bottom"/>
          </w:tcPr>
          <w:p>
            <w:pPr>
              <w:jc w:val="right"/>
              <w:spacing w:after="0"/>
              <w:rPr>
                <w:sz w:val="20"/>
                <w:szCs w:val="20"/>
                <w:color w:val="auto"/>
              </w:rPr>
            </w:pPr>
            <w:r>
              <w:rPr>
                <w:rFonts w:ascii="Arial" w:cs="Arial" w:eastAsia="Arial" w:hAnsi="Arial"/>
                <w:sz w:val="18"/>
                <w:szCs w:val="18"/>
                <w:color w:val="auto"/>
              </w:rPr>
              <w:t>3,284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3,512</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less current portion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tax assets, less current portion</w:t>
            </w: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444,798</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437,994</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3,522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7,762</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96,513</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Deferred payment obligations</w:t>
            </w:r>
          </w:p>
        </w:tc>
        <w:tc>
          <w:tcPr>
            <w:tcW w:w="660" w:type="dxa"/>
            <w:vAlign w:val="bottom"/>
          </w:tcPr>
          <w:p>
            <w:pPr>
              <w:jc w:val="right"/>
              <w:spacing w:after="0"/>
              <w:rPr>
                <w:sz w:val="20"/>
                <w:szCs w:val="20"/>
                <w:color w:val="auto"/>
              </w:rPr>
            </w:pPr>
            <w:r>
              <w:rPr>
                <w:rFonts w:ascii="Arial" w:cs="Arial" w:eastAsia="Arial" w:hAnsi="Arial"/>
                <w:sz w:val="18"/>
                <w:szCs w:val="18"/>
                <w:color w:val="auto"/>
              </w:rPr>
              <w:t>1,869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5,056</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105,635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112,334</w:t>
            </w: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less current portion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11,762</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14,695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14,695</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128,748</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138,910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w w:val="97"/>
              </w:rPr>
              <w:t>Common stock, $0.0001 par value—200,000 shares authorized: 50,090 and 49,145 shares issued and outstanding as of</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200"/>
              <w:spacing w:after="0"/>
              <w:rPr>
                <w:sz w:val="20"/>
                <w:szCs w:val="20"/>
                <w:color w:val="auto"/>
              </w:rPr>
            </w:pPr>
            <w:r>
              <w:rPr>
                <w:rFonts w:ascii="Arial" w:cs="Arial" w:eastAsia="Arial" w:hAnsi="Arial"/>
                <w:sz w:val="18"/>
                <w:szCs w:val="18"/>
                <w:color w:val="auto"/>
              </w:rPr>
              <w:t>March 31, 2012 and December 31, 2011, respectively</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268,187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259,315</w:t>
            </w: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Retained earnings</w:t>
            </w:r>
          </w:p>
        </w:tc>
        <w:tc>
          <w:tcPr>
            <w:tcW w:w="660" w:type="dxa"/>
            <w:vAlign w:val="bottom"/>
          </w:tcPr>
          <w:p>
            <w:pPr>
              <w:jc w:val="right"/>
              <w:spacing w:after="0"/>
              <w:rPr>
                <w:sz w:val="20"/>
                <w:szCs w:val="20"/>
                <w:color w:val="auto"/>
              </w:rPr>
            </w:pPr>
            <w:r>
              <w:rPr>
                <w:rFonts w:ascii="Arial" w:cs="Arial" w:eastAsia="Arial" w:hAnsi="Arial"/>
                <w:sz w:val="18"/>
                <w:szCs w:val="18"/>
                <w:color w:val="auto"/>
              </w:rPr>
              <w:t>47,868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39,787</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20" w:type="dxa"/>
            <w:vAlign w:val="bottom"/>
          </w:tcPr>
          <w:p>
            <w:pPr>
              <w:spacing w:after="0"/>
              <w:rPr>
                <w:sz w:val="20"/>
                <w:szCs w:val="20"/>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316,050</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299,084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444,798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437,994</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1"/>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Cost of revenue</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18,017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13,223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(Gain) on sale of patent assets, net</w:t>
            </w: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Interest income</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1"/>
        </w:trPr>
        <w:tc>
          <w:tcPr>
            <w:tcW w:w="714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1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8,081</w:t>
            </w:r>
          </w:p>
        </w:tc>
        <w:tc>
          <w:tcPr>
            <w:tcW w:w="5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Basic</w:t>
            </w:r>
          </w:p>
        </w:tc>
        <w:tc>
          <w:tcPr>
            <w:tcW w:w="20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7,840</w:t>
            </w:r>
          </w:p>
        </w:tc>
        <w:tc>
          <w:tcPr>
            <w:tcW w:w="5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0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7,853</w:t>
            </w:r>
          </w:p>
        </w:tc>
        <w:tc>
          <w:tcPr>
            <w:tcW w:w="5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vMerge w:val="continue"/>
          </w:tcPr>
          <w:p>
            <w:pPr>
              <w:spacing w:after="0"/>
              <w:rPr>
                <w:sz w:val="18"/>
                <w:szCs w:val="18"/>
                <w:color w:val="auto"/>
              </w:rPr>
            </w:pPr>
          </w:p>
        </w:tc>
        <w:tc>
          <w:tcPr>
            <w:tcW w:w="200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0.15</w:t>
            </w:r>
          </w:p>
        </w:tc>
        <w:tc>
          <w:tcPr>
            <w:tcW w:w="5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income per common share:</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Basic</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48,308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51,226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9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6,695</w:t>
            </w:r>
          </w:p>
        </w:tc>
        <w:tc>
          <w:tcPr>
            <w:tcW w:w="100" w:type="dxa"/>
            <w:vAlign w:val="bottom"/>
            <w:shd w:val="clear" w:color="auto" w:fill="CCEEFF"/>
          </w:tcPr>
          <w:p>
            <w:pPr>
              <w:spacing w:after="0"/>
              <w:rPr>
                <w:sz w:val="18"/>
                <w:szCs w:val="18"/>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gains on available-for-sale securities: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Unrealized holding gains arising during the period</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reclassification adjustment for gains included in net income</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Net unrealized gains on available-for-sale securities</w:t>
            </w: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8,094</w:t>
            </w:r>
          </w:p>
        </w:tc>
        <w:tc>
          <w:tcPr>
            <w:tcW w:w="300" w:type="dxa"/>
            <w:vAlign w:val="bottom"/>
          </w:tcPr>
          <w:p>
            <w:pPr>
              <w:spacing w:after="0"/>
              <w:rPr>
                <w:sz w:val="19"/>
                <w:szCs w:val="19"/>
                <w:color w:val="auto"/>
              </w:rPr>
            </w:pPr>
          </w:p>
        </w:tc>
        <w:tc>
          <w:tcPr>
            <w:tcW w:w="4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ind w:left="260"/>
              <w:spacing w:after="0"/>
              <w:rPr>
                <w:sz w:val="20"/>
                <w:szCs w:val="20"/>
                <w:color w:val="auto"/>
              </w:rPr>
            </w:pPr>
            <w:r>
              <w:rPr>
                <w:rFonts w:ascii="Arial" w:cs="Arial" w:eastAsia="Arial" w:hAnsi="Arial"/>
                <w:sz w:val="18"/>
                <w:szCs w:val="18"/>
                <w:color w:val="auto"/>
                <w:w w:val="79"/>
              </w:rPr>
              <w:t>6,695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8,081</w:t>
            </w:r>
          </w:p>
        </w:tc>
        <w:tc>
          <w:tcPr>
            <w:tcW w:w="2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(4,494)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Imputed interest on deferred payment obligations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Gain on sale of patent assets</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premium on investments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(1,208)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Accrued and other liabilities</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(5,049)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Purchases of investments classified as available-for-sale</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(75,255)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Maturities and sale of investments classified as available-for-sale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intangible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patent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(12,515)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Proceeds from sale of patent assets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(34,625)</w:t>
            </w: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Repayments of principal on deferred payment obligations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Initial public offering-related costs</w:t>
            </w: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and other common stock issuances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(5,180)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101,569</w:t>
            </w:r>
          </w:p>
        </w:tc>
        <w:tc>
          <w:tcPr>
            <w:tcW w:w="20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Change in patent assets purchased and accrued but not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865</w:t>
            </w:r>
          </w:p>
        </w:tc>
        <w:tc>
          <w:tcPr>
            <w:tcW w:w="20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 received in barter transactions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Initial public offering-related costs accrued but not paid</w:t>
            </w:r>
          </w:p>
        </w:tc>
        <w:tc>
          <w:tcPr>
            <w:tcW w:w="10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8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RPX Corporation (also referred to herein as “RPX” or the “Company”) helps companies reduce patent-related risk and expense. The Company provides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which the Company refers to collectively as “patent assets,” that are being or may be asserted against the Company’s current and prospective clients. The Company’s clients pay an annual subscription fee and in return, receive a license from the Company to substantially all of its patent assets. The Company also provides its clients access to its proprietary patent market intelligence and data.</w:t>
      </w:r>
    </w:p>
    <w:p>
      <w:pPr>
        <w:spacing w:after="0" w:line="236" w:lineRule="exact"/>
        <w:rPr>
          <w:sz w:val="20"/>
          <w:szCs w:val="20"/>
          <w:color w:val="auto"/>
        </w:rPr>
      </w:pPr>
    </w:p>
    <w:p>
      <w:pPr>
        <w:ind w:left="460" w:right="7580" w:hanging="452"/>
        <w:spacing w:after="0" w:line="347" w:lineRule="auto"/>
        <w:tabs>
          <w:tab w:leader="none" w:pos="44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accompanying interim consolidated financial statements of the Company are unaudited, and have been prepared pursuant to the rules and regulations of the Securities and Exchange Commission (“SEC”) for Quarterly Reports on Form 10-Q and reflect all adjustments of a normal, recurring nature that are, in the opinion of management, necessary for a fair presentation of results for these interim periods. The consolidated financial statements do not include all of the information and note disclosures required by U.S. generally accepted accounting principles (“U.S. GAAP”) for complete financial statements, therefore they should be read in conjunction with the Consolidated Financial Statements and Notes thereto for the fiscal year ended December 31, 2011 included in the Company’s Annual Report on Form 10-K filed with the SEC on March 26, 2012.</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All intercompany balances and transactions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contingent assets and liabilities, and disclosure of contingent assets and liabilities at the date of the consolidated financial statements and reported amounts of revenues and expenses during the reporting period covered by the consolidated financial statements and accompanying notes. The Company bases its estimates on various factors and information which may include, but are not limited to, history and prior experience, expected future results, new related events and current economic conditions, the results of which form the basis for making judgments about the carrying values of assets and liabilities that are not readily apparent from other sources. Actual results could differ materially from those estimates.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and related authoritative guidance. The primary source of the Company’s revenue is fees paid by its clients under subscription agreements. The Company believes that its patent risk management solution comprises a single deliverable and thus the Company recognizes each subscription fee ratably over the non-cancelable term for which the fee applies. Revenue is recognized net of any discounts or other contractual incentives. The Company starts recognizing revenue when all of the following criteria have been met:</w:t>
      </w:r>
    </w:p>
    <w:p>
      <w:pPr>
        <w:spacing w:after="0" w:line="6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Persuasive evidence of an arrangement exists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All subscription fees are supported by a dually executed subscription agreement.</w:t>
      </w:r>
    </w:p>
    <w:p>
      <w:pPr>
        <w:spacing w:after="0" w:line="90"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Delivery has occurred or services have been rendered</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subscription agreement calls for the Company to provide its patent risk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 over a specific term commencing on the agreement effective date. Because services are not on an individualized basis (</w:t>
      </w:r>
      <w:r>
        <w:rPr>
          <w:rFonts w:ascii="Arial" w:cs="Arial" w:eastAsia="Arial" w:hAnsi="Arial"/>
          <w:sz w:val="16"/>
          <w:szCs w:val="16"/>
          <w:i w:val="1"/>
          <w:iCs w:val="1"/>
          <w:color w:val="auto"/>
        </w:rPr>
        <w:t>i.e.</w:t>
      </w:r>
      <w:r>
        <w:rPr>
          <w:rFonts w:ascii="Arial" w:cs="Arial" w:eastAsia="Arial" w:hAnsi="Arial"/>
          <w:sz w:val="16"/>
          <w:szCs w:val="16"/>
          <w:color w:val="auto"/>
        </w:rPr>
        <w:t>, the Company generally performs its services on behalf of all of its clients as opposed to each client individually), delivery occurs automatically with the passage of time. Consequently, the Company recognizes subscription revenue ratably.</w:t>
      </w:r>
    </w:p>
    <w:p>
      <w:pPr>
        <w:spacing w:after="0" w:line="31" w:lineRule="exact"/>
        <w:rPr>
          <w:rFonts w:ascii="Arial" w:cs="Arial" w:eastAsia="Arial" w:hAnsi="Arial"/>
          <w:sz w:val="16"/>
          <w:szCs w:val="16"/>
          <w:color w:val="auto"/>
        </w:rPr>
      </w:pPr>
    </w:p>
    <w:p>
      <w:pPr>
        <w:ind w:left="900" w:right="40" w:hanging="325"/>
        <w:spacing w:after="0" w:line="294"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Seller’s price to the buyer is fixed or determinable. </w:t>
      </w:r>
      <w:r>
        <w:rPr>
          <w:rFonts w:ascii="Arial" w:cs="Arial" w:eastAsia="Arial" w:hAnsi="Arial"/>
          <w:sz w:val="16"/>
          <w:szCs w:val="16"/>
          <w:color w:val="auto"/>
        </w:rPr>
        <w:t>Each client’s annual subscription fee is based on the Company’s fee schedule in effect at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client’s initial agreement. A client’s subscription fee is calculated using its fee schedule and its normalized operating income, which is defined as the greater of (i) the average of the three most recently reported fiscal year’s operating income and (ii) 5% of the most recently reported fiscal years’ revenue. The fee for the first year of the agreement is typically determined and invoiced at the time of contract execution. The fee for each subsequent year of the agreement is generally calculated and invoiced in advance prior to each anniversary date of the agreement.</w:t>
      </w:r>
    </w:p>
    <w:p>
      <w:pPr>
        <w:spacing w:after="0" w:line="3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Collectability is reasonably assured</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fees are generally collected on or near the effective date of the agreement and again at or near each</w:t>
      </w:r>
      <w:r>
        <w:rPr>
          <w:rFonts w:ascii="Arial" w:cs="Arial" w:eastAsia="Arial" w:hAnsi="Arial"/>
          <w:sz w:val="18"/>
          <w:szCs w:val="18"/>
          <w:i w:val="1"/>
          <w:iCs w:val="1"/>
          <w:color w:val="auto"/>
        </w:rPr>
        <w:t xml:space="preserve"> </w:t>
      </w:r>
      <w:r>
        <w:rPr>
          <w:rFonts w:ascii="Arial" w:cs="Arial" w:eastAsia="Arial" w:hAnsi="Arial"/>
          <w:sz w:val="18"/>
          <w:szCs w:val="18"/>
          <w:color w:val="auto"/>
        </w:rPr>
        <w:t>anniversary date thereof. The Company does not recognize revenue in instances where collectability is not reasonably assured. Generally, the Company’s subscription agreements state that all fees paid are non-refundable.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some limited instances, the subscription agreement includes a contingency clause, giving one or both parties an option to terminate the agreement and receive a full refund if contingencies are not resolved within a defined time period. In those instances, revenue will not be recognized until all contingencies have been removed. The revenue earned during the period between the effective date of the agreement and the contingency removal date is recognized on the contingency removal date. Thereafter, revenue is recognized ratably over the remaining subscription term.</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the extent that the Company is contractually able, the Company grants its clients a term license to, and a release from all prior damages associated with, each patent asset in the Company’s portfolio. The term license to each patent asset converts to a perpetual license at the end of a contractually specified vesting period, provided that the client is a member at such time. The Company does not view the conversion from term license to perpetual license to be a separate deliverable in its arrangements with its clients because the utility of, access to and freedom to practice the inventions covered by the patent asset is no different between a term and perpetual license. The Company does not view providing longer term access to the patent asset as a new deliverable separate from the term license.</w:t>
      </w:r>
    </w:p>
    <w:p>
      <w:pPr>
        <w:spacing w:after="0" w:line="144"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 xml:space="preserve">In some instances, the Company accepts a payment from a client to finance part or all of an acquisition. The Company refers to such transactions as structured acquisitions. Structured acquisitions where the Company accepts payment from more than one client is referred to as a syndicated acquisition. The accounting for structured acquisitions is complex and often requires judgments on the part of management as to the appropriate accounting treatment. In accordance with ASC 605-45, </w:t>
      </w:r>
      <w:r>
        <w:rPr>
          <w:rFonts w:ascii="Arial" w:cs="Arial" w:eastAsia="Arial" w:hAnsi="Arial"/>
          <w:sz w:val="16"/>
          <w:szCs w:val="16"/>
          <w:i w:val="1"/>
          <w:iCs w:val="1"/>
          <w:color w:val="auto"/>
        </w:rPr>
        <w:t>Revenue Recognition: Principal Agent Considerations</w:t>
      </w:r>
      <w:r>
        <w:rPr>
          <w:rFonts w:ascii="Arial" w:cs="Arial" w:eastAsia="Arial" w:hAnsi="Arial"/>
          <w:sz w:val="16"/>
          <w:szCs w:val="16"/>
          <w:color w:val="auto"/>
        </w:rPr>
        <w:t>, in instances where the Company substantively acts as an agent to acquire patent rights from a seller on behalf of clients who are paying for such rights separately from their subscription agreements, the Company may treat the client payments on a net basis. When treated on a net basis, there may be little or no revenue recognized for such contributions, and the basis of the acquired patent rights may exclude the amounts paid by the contributing client based on the Company’s determination that it is not the principal in these transactions. In these situations, where the Company substantively acts as an agent, the contributing clients are typically defendants in an active or threatened patent infringement litigation filed by the owner of a patent. The Company’s involvement is to assist its clients to secure a dismissal from litigation and a license to the underlying patents.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indicators evaluated to reach the determination that the Company is not the principal in the transaction include:</w:t>
      </w:r>
    </w:p>
    <w:p>
      <w:pPr>
        <w:spacing w:after="0" w:line="90" w:lineRule="exact"/>
        <w:rPr>
          <w:sz w:val="20"/>
          <w:szCs w:val="20"/>
          <w:color w:val="auto"/>
        </w:rPr>
      </w:pPr>
    </w:p>
    <w:p>
      <w:pPr>
        <w:jc w:val="both"/>
        <w:ind w:left="900" w:right="8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seller of the patent assets is generally viewed as the primary obligor in the arrangement, given that it owns and controls the underlying patent(s) and thus has the absolute authority to grant and deliver any release from past damages and dismissal from litigation, as well the general terms of the license granted;</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no inventory risk, as the clients generally enter into their contractual obligations with the Company prior to or contemporaneous to the Company entering into its contractual obligation with the seller;</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not involved in the determination of the product or service specification and has no ability to change the product or perform any part of the service in connection with these transactions, as the seller owns the underlying patent(s); and</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limited or no credit risk, as each respective client has a contractually binding obligation, and in many instances the Company collects the client contribution prior to making a payment to the seller.</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is subject to concentrations of credit risk principally attributable to cash, cash equivalents, short-term investments and accounts receivable. The Company’s unrestricted cash balances deposited in U.S. banks are non-interest bearing and are insured up to the Federal Deposit Insurance Corporation (“FDIC”) limits. Cash equivalents primarily consist of institutional money market funds, U.S. government and agency securities, municipal bonds and commercial paper denominated in U.S. dollars.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Credit risk with respect to accounts receivable is generally mitigated by short collection periods and/or subscription agreements that provide for payments in advance of the rendering of services. As of March 31, 2012, two clients accounted for 69% and 16% of accounts receivable and as of December 31, 2011, four clients accounted for 26%, 20%, 14% and 12% of accounts receivable. No client accounted for more than 10% of subscription fee revenue for the three months ended March 31, 2012 or 2011.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Company’s financial assets and liabilities are measured and reported at fair value in accordance with ASC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Disclosures </w:t>
      </w:r>
      <w:r>
        <w:rPr>
          <w:rFonts w:ascii="Arial" w:cs="Arial" w:eastAsia="Arial" w:hAnsi="Arial"/>
          <w:sz w:val="16"/>
          <w:szCs w:val="16"/>
          <w:color w:val="auto"/>
        </w:rPr>
        <w:t>(“ASC 820”). Fair value is defined as the price that would be received to sell an asset or paid to transfer a liability (i.e., the “exit price”) in an orderly</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between market participants at the measurement date. ASC 820 establishes a hierarchy for inputs used in measuring fair value that minimizes the use of unobservable inputs by requiring the use of observable market data when available. Observable inputs are inputs that market participants would use in pricing the asset or liability based on active market data. Unobservable inputs are inputs that reflect the Company’s assumptions about the assumptions market participants would use in pricing the asset or liability based on the best information available in the circumstances.</w:t>
      </w:r>
    </w:p>
    <w:p>
      <w:pPr>
        <w:sectPr>
          <w:pgSz w:w="11900" w:h="16838" w:orient="portrait"/>
          <w:cols w:equalWidth="0" w:num="1">
            <w:col w:w="11360"/>
          </w:cols>
          <w:pgMar w:left="240" w:top="459" w:right="299" w:bottom="1440" w:gutter="0" w:footer="0" w:header="0"/>
        </w:sectPr>
      </w:pP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60"/>
          </w:cols>
          <w:pgMar w:left="240" w:top="459" w:right="2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hierarchy is comprised of the three input levels summarized below: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Level 1 – Valuations based on quoted prices in active markets for identical assets or liabilities and readily accessible by the Company at the reporting date.</w:t>
      </w:r>
    </w:p>
    <w:p>
      <w:pPr>
        <w:spacing w:after="0" w:line="125" w:lineRule="exact"/>
        <w:rPr>
          <w:sz w:val="20"/>
          <w:szCs w:val="20"/>
          <w:color w:val="auto"/>
        </w:rPr>
      </w:pPr>
    </w:p>
    <w:p>
      <w:pPr>
        <w:ind w:left="460" w:right="680"/>
        <w:spacing w:after="0" w:line="268" w:lineRule="auto"/>
        <w:rPr>
          <w:sz w:val="20"/>
          <w:szCs w:val="20"/>
          <w:color w:val="auto"/>
        </w:rPr>
      </w:pPr>
      <w:r>
        <w:rPr>
          <w:rFonts w:ascii="Arial" w:cs="Arial" w:eastAsia="Arial" w:hAnsi="Arial"/>
          <w:sz w:val="18"/>
          <w:szCs w:val="18"/>
          <w:color w:val="auto"/>
        </w:rPr>
        <w:t>Level 2 – Valuations based on inputs other than quoted prices included within Level 1 that are observable for assets or liabilities, either directly or indirectly through market corroboration, for substantially the full term of the financial instrument.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 Valuations based on inputs that are unobservable.</w:t>
      </w:r>
    </w:p>
    <w:p>
      <w:pPr>
        <w:spacing w:after="0" w:line="171"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carrying amounts of the Company’s financial instruments, which include cash equivalents, short-term investments, accounts receivable and accounts payable, approximate their fair values due to their short maturities. Based on borrowing rates currently available to the Company for the deferred payment obligations with similar terms, and considering the Company’s credit risk, the carrying value of the deferred payment obligations approximate fair value.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cash and cash equivalents principally consist of institutional money market funds, corporate bonds, municipal bonds and commercial paper denominated in U.S. dollars. Cash equivalents are highly liquid, short-term investments having an original maturity of 90 days or less that are readily convertible to known amounts of cash.</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holds short-term investments in U.S. government and agency securities, commercial paper corporate bonds, and municipal bonds with maturities greater than 90 days, which are carried at fair value on the consolidated balance sheets and classified as “available-for-sale.” The Company considers its investments as available to support current operations. As a result, the Company classifies its investments including those with stated maturities beyond twelve months, as current assets in the accompanying consolidated balance sheets. Any unrealized gains or losses are recorded, net of estimated taxes, in accumulated other comprehensive income, a component of stockholders’ equity. Realized gains and losses are recognized upon sale. The specific identification method is used to determine the cost basis of fixed income securities sold.</w:t>
      </w:r>
    </w:p>
    <w:p>
      <w:pPr>
        <w:spacing w:after="0" w:line="12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 periodically evaluates its investments for impairment due to declines in market value considered to be “other-than-temporary.” This evaluation consists of several qualitative and quantitative factors, including the Company’s ability and intent to hold the investment until a forecasted recovery occurs, as well as any decline in the investment quality of the security and the severity and duration of the unrealized loss. In the event of a determination that a decline in market value is other-than-temporary, the Company will recognize an impairment loss, and a new cost basis in the investment will be established. To date, the Company has not recorded any impairment related to its investments in its consolidated statements of operations.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had restricted cash of $0.1 million and $0.6 million as of March 31, 2012 and December 31, 2011, respectively, pledged against its lines of credit. See Note 11.</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Internal-Use Software and Website Development Costs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capitalizes development costs related to internal-use software and its website and records such amounts as property and equipment, net, on its consolidated balance sheets. These costs include personnel and personnel-related expenses and consultant fees incurred during the application development stages of the project. Costs related to preliminary project activities, minor enhancement and maintenance, and post-implementation activities are expensed as incurred. Internal-use software is amortized on a straight-line basis over its useful life, which is generally three years, beginning on the date the software is placed into service. Management evaluates the useful lives of these assets on an annual basis and tests for impairment whenever events or changes in circumstances occur that could impact the recoverability of these assets.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three months ended March 31, 2012 and 2011, the Company capitalized $0.9 million and $0.4 million, respectively, of internal-use software and website development costs. Amortization of internal-use software was $0.1 million and nil for the three months ended March 31, 2012 and 2011, respectively.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a business combination. The Company evaluates goodwill for impairment on an annual basis during its third fiscal quarter or whenever events and changes in circumstances suggest that the carrying amount may not be recoverable. Because the Company has one reporting unit, the Company utilizes the entity-wide approach to assess goodwill for impairment. There have been no impairments of goodwill recorded in the Company’s consolidated statement of operations for the three months ended March 31, 2012.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Assets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generally acquires patent assets from third parties using cash and contractual deferred payments. Patent assets are recorded at fair value. The fair value of the assets acquired is generally based on the fair value of the consideration exchanged. The asset value includes the cost of legal and other fees associated with the acquisition of the assets. Costs incurred to maintain and prosecute patents and patent applications are expensed as incurred.</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Because each client receives a license to the vast majority of the Company’s patent assets, the Company is unable to reliably determine the pattern over which its patent assets are consumed. As a result, the Company amortizes each patent asset on a straight-line basis. Generally, the amortization period is equal to the shorter of the asset’s estimated useful life and the remaining statutory life. Estimating the economic useful life of patent assets requires significant management judgment. The Company considers various factors in estimating the economic useful lives of its patent assets, including the applicability of the assets to future clients, the vesting period for current clients to obtain perpetual licenses to such patent assets, any contractual commitments by clients that are related to such patent assets, its estimate of the period of time during which the Company may sign subscription agreements with prospective clients that may find relevance in the patent assets, the vesting period for which such clients earn the right to a perpetual license in the asset and the remaining contractual term of the Company’s existing clients at the time of acquisition. In instances where the Company obtains patent rights that have related client committed cash flows that extend beyond the statutory life of the underlying patents, the useful life may extend beyond the statutory life of the patents. The Company periodically evaluates whether events and circumstances have occurred that may warrant a revision to the remaining estimated useful life of its patent assets.</w:t>
      </w:r>
    </w:p>
    <w:p>
      <w:pPr>
        <w:spacing w:after="0" w:line="12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instances where the Company sells patent assets, the amount of consideration received is compared to the asset’s carrying value to determine and recognize a gain or loss.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Intangible assets, net primarily consists of intangible assets acquired from other companies as a result of acquisitions. Such assets are capitalized and amortized on a straight-line basis over the estimated useful life of the intangible assets. Intangible assets, net excludes patent-related intangible assets, which are recorded within patent assets, net in the accompanying consolidated balance sheets.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Comprehensive income consists of net income and charges or credits to stockholders’ equity primarily related to changes in unrealized gains or losses on marketable securities, net of taxes.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and Recently Issued Accounting Standards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In June 2011, the FASB issued ASU 2011-05, </w:t>
      </w:r>
      <w:r>
        <w:rPr>
          <w:rFonts w:ascii="Arial" w:cs="Arial" w:eastAsia="Arial" w:hAnsi="Arial"/>
          <w:sz w:val="18"/>
          <w:szCs w:val="18"/>
          <w:i w:val="1"/>
          <w:iCs w:val="1"/>
          <w:color w:val="auto"/>
        </w:rPr>
        <w:t>Presentation of Comprehensive Income</w:t>
      </w:r>
      <w:r>
        <w:rPr>
          <w:rFonts w:ascii="Arial" w:cs="Arial" w:eastAsia="Arial" w:hAnsi="Arial"/>
          <w:sz w:val="18"/>
          <w:szCs w:val="18"/>
          <w:color w:val="auto"/>
        </w:rPr>
        <w:t xml:space="preserve"> (“ASU 2011-05”), which requires companies to present the components of net income and other comprehensive income either in a single continuous statement or in two separate but consecutive statements. ASU 2011-05 eliminates the option to present components of other comprehensive income as part of the statement of changes in stockholders’ equity. ASU 2011-05 does not change the items which must be reported in other comprehensive income, how such items are measured or when they must be reclassified to net income. Additionally, ASU 2011-05 does not affect the calculation or reporting of earnings per share. On January 1, 2012, the Company adopted this ASU and elected to present the two-statement option. Other than the change in presentation, the adoption of this ASU had no impact on the Company’s financial position or results of operations.</w:t>
      </w:r>
    </w:p>
    <w:p>
      <w:pPr>
        <w:spacing w:after="0" w:line="26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Available to Common Stockholders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Upon the Company’s initial public offering in May 2011, all shares of the Company’s redeemable convertible preferred stock were converted to common stock. Basic and diluted net income per share available to common stockholders are presented in conformity with the two-class method required for participating securities. Holders of shares of Series A, Series A-1, Series B and Series C redeemable convertible preferred stock were each entitled to receive 8% per annum non-cumulative dividends, payable prior and in preference to any dividends on common stock. In addition, the holders of restricted common stock are entitled to receive non-forfeitable dividends if declared.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Under the two-class method, basic net income per share attributable to common stockholders is computed by dividing the net income attributable to common stockholders by the weighted-average number of shares of common stock outstanding during the period. Net income attributable to common stockholders is determined by allocating undistributed earnings, calculated as net income less current period shares of Series A, Series A-1, Series B and Series C redeemable convertible preferred stock non-cumulative dividends, among common stockholders, restricted stockholders and Series A, Series A-1, Series B and Series C redeemable convertible preferred stockholders. Diluted net income per share attributable to common stockholders is computed by using the weighted-average number of shares of common stock outstanding, including potential dilutive shares of common stock, assuming the dilutive effect of outstanding stock options using the treasury stock method.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income per share available to common stockholders: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available to common stockholders: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8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8,081</w:t>
            </w:r>
          </w:p>
        </w:tc>
        <w:tc>
          <w:tcPr>
            <w:tcW w:w="400" w:type="dxa"/>
            <w:vAlign w:val="bottom"/>
          </w:tcPr>
          <w:p>
            <w:pPr>
              <w:spacing w:after="0"/>
              <w:rPr>
                <w:sz w:val="18"/>
                <w:szCs w:val="18"/>
                <w:color w:val="auto"/>
              </w:rPr>
            </w:pP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Allocation of net income to participating stockholders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(5,649)</w:t>
            </w:r>
          </w:p>
        </w:tc>
        <w:tc>
          <w:tcPr>
            <w:tcW w:w="0" w:type="dxa"/>
            <w:vAlign w:val="bottom"/>
          </w:tcPr>
          <w:p>
            <w:pPr>
              <w:spacing w:after="0"/>
              <w:rPr>
                <w:sz w:val="1"/>
                <w:szCs w:val="1"/>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Net income available to common stockholders – basic</w:t>
            </w: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880"/>
              <w:spacing w:after="0"/>
              <w:rPr>
                <w:sz w:val="20"/>
                <w:szCs w:val="20"/>
                <w:color w:val="auto"/>
              </w:rPr>
            </w:pPr>
            <w:r>
              <w:rPr>
                <w:rFonts w:ascii="Arial" w:cs="Arial" w:eastAsia="Arial" w:hAnsi="Arial"/>
                <w:sz w:val="18"/>
                <w:szCs w:val="18"/>
                <w:color w:val="auto"/>
              </w:rPr>
              <w:t>Net income available to common stockholders – basic</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7,840</w:t>
            </w:r>
          </w:p>
        </w:tc>
        <w:tc>
          <w:tcPr>
            <w:tcW w:w="400" w:type="dxa"/>
            <w:vAlign w:val="bottom"/>
          </w:tcPr>
          <w:p>
            <w:pPr>
              <w:spacing w:after="0"/>
              <w:rPr>
                <w:sz w:val="18"/>
                <w:szCs w:val="18"/>
                <w:color w:val="auto"/>
              </w:rPr>
            </w:pP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Undistributed earnings re-allocated to common stockholders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Net income available to common stockholders – diluted</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7,853</w:t>
            </w:r>
          </w:p>
        </w:tc>
        <w:tc>
          <w:tcPr>
            <w:tcW w:w="400" w:type="dxa"/>
            <w:vAlign w:val="bottom"/>
          </w:tcPr>
          <w:p>
            <w:pPr>
              <w:spacing w:after="0"/>
              <w:rPr>
                <w:sz w:val="19"/>
                <w:szCs w:val="19"/>
                <w:color w:val="auto"/>
              </w:rPr>
            </w:pP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Basic shares: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Weighted-average shares used in computing basic net income available to common stockholders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40"/>
              <w:spacing w:after="0"/>
              <w:rPr>
                <w:sz w:val="20"/>
                <w:szCs w:val="20"/>
                <w:color w:val="auto"/>
              </w:rPr>
            </w:pPr>
            <w:r>
              <w:rPr>
                <w:rFonts w:ascii="Arial" w:cs="Arial" w:eastAsia="Arial" w:hAnsi="Arial"/>
                <w:sz w:val="18"/>
                <w:szCs w:val="18"/>
                <w:color w:val="auto"/>
              </w:rPr>
              <w:t>Diluted shares: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Weighted-average shares used in computing basic net income available to common stockholders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23"/>
        </w:trPr>
        <w:tc>
          <w:tcPr>
            <w:tcW w:w="8900" w:type="dxa"/>
            <w:vAlign w:val="bottom"/>
          </w:tcPr>
          <w:p>
            <w:pPr>
              <w:ind w:left="880"/>
              <w:spacing w:after="0"/>
              <w:rPr>
                <w:sz w:val="20"/>
                <w:szCs w:val="20"/>
                <w:color w:val="auto"/>
              </w:rPr>
            </w:pPr>
            <w:r>
              <w:rPr>
                <w:rFonts w:ascii="Arial" w:cs="Arial" w:eastAsia="Arial" w:hAnsi="Arial"/>
                <w:sz w:val="18"/>
                <w:szCs w:val="18"/>
                <w:color w:val="auto"/>
              </w:rPr>
              <w:t>Dilutive effect of options using treasury-stock method</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Weighted-average shares used in computing diluted net income available to common stockholders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9,036</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vMerge w:val="continue"/>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400" w:type="dxa"/>
            <w:vAlign w:val="bottom"/>
          </w:tcPr>
          <w:p>
            <w:pPr>
              <w:spacing w:after="0"/>
              <w:rPr>
                <w:sz w:val="18"/>
                <w:szCs w:val="18"/>
                <w:color w:val="auto"/>
              </w:rPr>
            </w:pPr>
          </w:p>
        </w:tc>
        <w:tc>
          <w:tcPr>
            <w:tcW w:w="5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For the three months ended March 31, 2012 and 2011, the following securities were not included in the calculation of diluted shares outstanding, as the effect would have been anti-dilutive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r>
      <w:tr>
        <w:trPr>
          <w:trHeight w:val="161"/>
        </w:trPr>
        <w:tc>
          <w:tcPr>
            <w:tcW w:w="4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Ended March 31,</w:t>
            </w:r>
          </w:p>
        </w:tc>
      </w:tr>
      <w:tr>
        <w:trPr>
          <w:trHeight w:val="142"/>
        </w:trPr>
        <w:tc>
          <w:tcPr>
            <w:tcW w:w="408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w:t>
            </w:r>
          </w:p>
        </w:tc>
        <w:tc>
          <w:tcPr>
            <w:tcW w:w="3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w w:val="91"/>
              </w:rPr>
              <w:t>Shares of redeemable convertible preferred stock</w:t>
            </w:r>
          </w:p>
        </w:tc>
        <w:tc>
          <w:tcPr>
            <w:tcW w:w="316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26,230</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Shares of common stock subject to repurchase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ind w:left="440"/>
              <w:spacing w:after="0"/>
              <w:rPr>
                <w:sz w:val="20"/>
                <w:szCs w:val="20"/>
                <w:color w:val="auto"/>
              </w:rPr>
            </w:pPr>
            <w:r>
              <w:rPr>
                <w:rFonts w:ascii="Arial" w:cs="Arial" w:eastAsia="Arial" w:hAnsi="Arial"/>
                <w:sz w:val="18"/>
                <w:szCs w:val="18"/>
                <w:color w:val="auto"/>
              </w:rPr>
              <w:t>Stock options outstanding</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1,377</w:t>
            </w:r>
          </w:p>
        </w:tc>
        <w:tc>
          <w:tcPr>
            <w:tcW w:w="3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stock units outstanding</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363"/>
        </w:trPr>
        <w:tc>
          <w:tcPr>
            <w:tcW w:w="4080" w:type="dxa"/>
            <w:vAlign w:val="bottom"/>
          </w:tcPr>
          <w:p>
            <w:pPr>
              <w:spacing w:after="0"/>
              <w:rPr>
                <w:sz w:val="24"/>
                <w:szCs w:val="24"/>
                <w:color w:val="auto"/>
              </w:rPr>
            </w:pPr>
          </w:p>
        </w:tc>
        <w:tc>
          <w:tcPr>
            <w:tcW w:w="3160" w:type="dxa"/>
            <w:vAlign w:val="bottom"/>
          </w:tcPr>
          <w:p>
            <w:pPr>
              <w:jc w:val="right"/>
              <w:ind w:right="2772"/>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The following tables present the financial assets measured at fair value on a recurring basis as of March 31, 2012 and December 31, 2011 (in thousands):</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March 31, 2012</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Fair Value</w:t>
            </w:r>
          </w:p>
        </w:tc>
        <w:tc>
          <w:tcPr>
            <w:tcW w:w="440" w:type="dxa"/>
            <w:vAlign w:val="bottom"/>
          </w:tcPr>
          <w:p>
            <w:pPr>
              <w:spacing w:after="0"/>
              <w:rPr>
                <w:sz w:val="12"/>
                <w:szCs w:val="12"/>
                <w:color w:val="auto"/>
              </w:rPr>
            </w:pPr>
          </w:p>
        </w:tc>
        <w:tc>
          <w:tcPr>
            <w:tcW w:w="94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2"/>
                <w:szCs w:val="12"/>
                <w:color w:val="auto"/>
              </w:rPr>
            </w:pPr>
          </w:p>
        </w:tc>
      </w:tr>
      <w:tr>
        <w:trPr>
          <w:trHeight w:val="196"/>
        </w:trPr>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Municipal bonds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6,935</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100" w:type="dxa"/>
            <w:vAlign w:val="bottom"/>
            <w:shd w:val="clear" w:color="auto" w:fill="CCEEFF"/>
          </w:tcPr>
          <w:p>
            <w:pPr>
              <w:spacing w:after="0"/>
              <w:rPr>
                <w:sz w:val="18"/>
                <w:szCs w:val="18"/>
                <w:color w:val="auto"/>
              </w:rPr>
            </w:pPr>
          </w:p>
        </w:tc>
      </w:tr>
      <w:tr>
        <w:trPr>
          <w:trHeight w:val="222"/>
        </w:trPr>
        <w:tc>
          <w:tcPr>
            <w:tcW w:w="6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32,885</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32,808</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4,492</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bonds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109,091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109,091</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6,858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6,858</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and agency securities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30,094</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30,094</w:t>
            </w:r>
          </w:p>
        </w:tc>
        <w:tc>
          <w:tcPr>
            <w:tcW w:w="100" w:type="dxa"/>
            <w:vAlign w:val="bottom"/>
            <w:shd w:val="clear" w:color="auto" w:fill="CCEEFF"/>
          </w:tcPr>
          <w:p>
            <w:pPr>
              <w:spacing w:after="0"/>
              <w:rPr>
                <w:sz w:val="18"/>
                <w:szCs w:val="18"/>
                <w:color w:val="auto"/>
              </w:rPr>
            </w:pPr>
          </w:p>
        </w:tc>
      </w:tr>
      <w:tr>
        <w:trPr>
          <w:trHeight w:val="222"/>
        </w:trPr>
        <w:tc>
          <w:tcPr>
            <w:tcW w:w="66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150,535</w:t>
            </w:r>
          </w:p>
        </w:tc>
        <w:tc>
          <w:tcPr>
            <w:tcW w:w="4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150,535</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6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9"/>
              </w:rPr>
              <w:t>December 31, 2011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Fair Value</w:t>
            </w:r>
          </w:p>
        </w:tc>
        <w:tc>
          <w:tcPr>
            <w:tcW w:w="440" w:type="dxa"/>
            <w:vAlign w:val="bottom"/>
          </w:tcPr>
          <w:p>
            <w:pPr>
              <w:spacing w:after="0"/>
              <w:rPr>
                <w:sz w:val="12"/>
                <w:szCs w:val="12"/>
                <w:color w:val="auto"/>
              </w:rPr>
            </w:pPr>
          </w:p>
        </w:tc>
        <w:tc>
          <w:tcPr>
            <w:tcW w:w="94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2"/>
                <w:szCs w:val="12"/>
                <w:color w:val="auto"/>
              </w:rPr>
            </w:pPr>
          </w:p>
        </w:tc>
      </w:tr>
      <w:tr>
        <w:trPr>
          <w:trHeight w:val="196"/>
        </w:trPr>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21,504</w:t>
            </w:r>
          </w:p>
        </w:tc>
        <w:tc>
          <w:tcPr>
            <w:tcW w:w="1380" w:type="dxa"/>
            <w:vAlign w:val="bottom"/>
            <w:gridSpan w:val="4"/>
          </w:tcPr>
          <w:p>
            <w:pPr>
              <w:ind w:left="440"/>
              <w:spacing w:after="0"/>
              <w:rPr>
                <w:sz w:val="20"/>
                <w:szCs w:val="20"/>
                <w:color w:val="auto"/>
              </w:rPr>
            </w:pPr>
            <w:r>
              <w:rPr>
                <w:rFonts w:ascii="Arial" w:cs="Arial" w:eastAsia="Arial" w:hAnsi="Arial"/>
                <w:sz w:val="18"/>
                <w:szCs w:val="18"/>
                <w:color w:val="auto"/>
              </w:rPr>
              <w:t>$21,504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24,405</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Municipal bonds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8,385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8,385</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00" w:type="dxa"/>
            <w:vAlign w:val="bottom"/>
            <w:shd w:val="clear" w:color="auto" w:fill="CCEEFF"/>
          </w:tcPr>
          <w:p>
            <w:pPr>
              <w:spacing w:after="0"/>
              <w:rPr>
                <w:sz w:val="18"/>
                <w:szCs w:val="18"/>
                <w:color w:val="auto"/>
              </w:rPr>
            </w:pPr>
          </w:p>
        </w:tc>
      </w:tr>
      <w:tr>
        <w:trPr>
          <w:trHeight w:val="222"/>
        </w:trPr>
        <w:tc>
          <w:tcPr>
            <w:tcW w:w="6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56,339</w:t>
            </w:r>
          </w:p>
        </w:tc>
        <w:tc>
          <w:tcPr>
            <w:tcW w:w="1380" w:type="dxa"/>
            <w:vAlign w:val="bottom"/>
            <w:gridSpan w:val="4"/>
          </w:tcPr>
          <w:p>
            <w:pPr>
              <w:ind w:lef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34,835</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4,850</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bonds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65,675</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6,828</w:t>
            </w: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and agency securities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49,623</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49,623</w:t>
            </w:r>
          </w:p>
        </w:tc>
        <w:tc>
          <w:tcPr>
            <w:tcW w:w="100" w:type="dxa"/>
            <w:vAlign w:val="bottom"/>
            <w:shd w:val="clear" w:color="auto" w:fill="CCEEFF"/>
          </w:tcPr>
          <w:p>
            <w:pPr>
              <w:spacing w:after="0"/>
              <w:rPr>
                <w:sz w:val="18"/>
                <w:szCs w:val="18"/>
                <w:color w:val="auto"/>
              </w:rPr>
            </w:pPr>
          </w:p>
        </w:tc>
      </w:tr>
      <w:tr>
        <w:trPr>
          <w:trHeight w:val="222"/>
        </w:trPr>
        <w:tc>
          <w:tcPr>
            <w:tcW w:w="66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126,976</w:t>
            </w: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126,976</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2012 and December 31, 2011, the Company did not use level 3 inputs to measure financial assets or liabilities at fair value.</w:t>
      </w:r>
    </w:p>
    <w:p>
      <w:pPr>
        <w:spacing w:after="0" w:line="31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Company’s investments in available-for-sale securities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88"/>
              </w:rPr>
              <w:t>March 31, 2012</w:t>
            </w: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tcPr>
          <w:p>
            <w:pPr>
              <w:jc w:val="right"/>
              <w:ind w:right="680"/>
              <w:spacing w:after="0" w:line="142"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Gains</w:t>
            </w:r>
          </w:p>
        </w:tc>
        <w:tc>
          <w:tcPr>
            <w:tcW w:w="5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4"/>
              </w:rPr>
              <w:t>Losses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paper</w:t>
            </w:r>
          </w:p>
        </w:tc>
        <w:tc>
          <w:tcPr>
            <w:tcW w:w="18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88"/>
              </w:rPr>
              <w:t>—</w:t>
            </w:r>
          </w:p>
        </w:tc>
        <w:tc>
          <w:tcPr>
            <w:tcW w:w="5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8"/>
              </w:rPr>
              <w:t>$ —</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Municipal bonds</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109,112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6,849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U.S. government and agency securities</w:t>
            </w:r>
          </w:p>
        </w:tc>
        <w:tc>
          <w:tcPr>
            <w:tcW w:w="1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9"/>
                <w:szCs w:val="19"/>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150,542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(28)</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820" w:type="dxa"/>
            <w:vAlign w:val="bottom"/>
            <w:vMerge w:val="restart"/>
          </w:tcPr>
          <w:p>
            <w:pPr>
              <w:jc w:val="right"/>
              <w:ind w:right="352"/>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within accumulated other comprehensive income (loss). Realized gains and losses on available-for-sale securities are included in interest and other expense, net in the Company’s consolidated statements of operations.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weighted-average remaining maturity of the Company’s investment portfolio was less than one year as of March 31, 2012 and December 31, 2011. As of March 31, 2012, no individual securities incurred continuous unrealized losses for greater than 12 months.</w:t>
      </w:r>
    </w:p>
    <w:p>
      <w:pPr>
        <w:spacing w:after="0" w:line="24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Patent assets, net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March 31,</w:t>
            </w:r>
          </w:p>
        </w:tc>
        <w:tc>
          <w:tcPr>
            <w:tcW w:w="11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20" w:type="dxa"/>
            <w:vAlign w:val="bottom"/>
            <w:gridSpan w:val="2"/>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Patent assets, gross</w:t>
            </w:r>
          </w:p>
        </w:tc>
        <w:tc>
          <w:tcPr>
            <w:tcW w:w="20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$ 300,885</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287,555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0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(141,838)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(124,203)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patent assets, net</w:t>
            </w:r>
          </w:p>
        </w:tc>
        <w:tc>
          <w:tcPr>
            <w:tcW w:w="20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$ 159,047</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March 31, 2012 and December 31, 2011, the estimated economic useful lives of the Company’s patent assets generally ranged from 24 to 60 months. As of March 31, 2012, the weighted-average original estimated economic useful life was 50 months.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expected future annual amortization expense of patent assets as of March 31, 2012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2012 (remainder)</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49,087</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2013</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52,582</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29,872</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2015</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17,930</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100" w:type="dxa"/>
            <w:vAlign w:val="bottom"/>
            <w:shd w:val="clear" w:color="auto" w:fill="CCEEFF"/>
          </w:tcPr>
          <w:p>
            <w:pPr>
              <w:spacing w:after="0"/>
              <w:rPr>
                <w:sz w:val="18"/>
                <w:szCs w:val="18"/>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Thereafter</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estimated future amortization expense</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159,047</w:t>
            </w:r>
          </w:p>
        </w:tc>
        <w:tc>
          <w:tcPr>
            <w:tcW w:w="100" w:type="dxa"/>
            <w:vAlign w:val="bottom"/>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expense was approximately $17.7 million and $13.5 million for the three months ended March 31, 2012 and 2011, respectively.</w:t>
      </w:r>
    </w:p>
    <w:p>
      <w:pPr>
        <w:spacing w:after="0" w:line="31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580" w:type="dxa"/>
            <w:vAlign w:val="bottom"/>
            <w:gridSpan w:val="4"/>
          </w:tcPr>
          <w:p>
            <w:pPr>
              <w:ind w:left="2600"/>
              <w:spacing w:after="0"/>
              <w:rPr>
                <w:sz w:val="20"/>
                <w:szCs w:val="20"/>
                <w:color w:val="auto"/>
              </w:rPr>
            </w:pPr>
            <w:r>
              <w:rPr>
                <w:rFonts w:ascii="Arial" w:cs="Arial" w:eastAsia="Arial" w:hAnsi="Arial"/>
                <w:sz w:val="14"/>
                <w:szCs w:val="14"/>
                <w:b w:val="1"/>
                <w:bCs w:val="1"/>
                <w:color w:val="auto"/>
              </w:rPr>
              <w:t>March 31,</w:t>
            </w:r>
          </w:p>
        </w:tc>
        <w:tc>
          <w:tcPr>
            <w:tcW w:w="12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386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Internal-use software</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2,142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Work-in-progress</w:t>
            </w:r>
          </w:p>
        </w:tc>
        <w:tc>
          <w:tcPr>
            <w:tcW w:w="2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Total property and equipment, gross</w:t>
            </w: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3,838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Accumulated depreciation and amortization</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Total property and equipment, net</w:t>
            </w:r>
          </w:p>
        </w:tc>
        <w:tc>
          <w:tcPr>
            <w:tcW w:w="2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vMerge w:val="continue"/>
          </w:tcPr>
          <w:p>
            <w:pPr>
              <w:spacing w:after="0"/>
              <w:rPr>
                <w:sz w:val="19"/>
                <w:szCs w:val="19"/>
                <w:color w:val="auto"/>
              </w:rPr>
            </w:pPr>
          </w:p>
        </w:tc>
        <w:tc>
          <w:tcPr>
            <w:tcW w:w="2720" w:type="dxa"/>
            <w:vAlign w:val="bottom"/>
            <w:gridSpan w:val="2"/>
          </w:tcPr>
          <w:p>
            <w:pPr>
              <w:ind w:left="260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3,138</w:t>
            </w:r>
          </w:p>
        </w:tc>
        <w:tc>
          <w:tcPr>
            <w:tcW w:w="380" w:type="dxa"/>
            <w:vAlign w:val="bottom"/>
          </w:tcPr>
          <w:p>
            <w:pPr>
              <w:spacing w:after="0"/>
              <w:rPr>
                <w:sz w:val="19"/>
                <w:szCs w:val="19"/>
                <w:color w:val="auto"/>
              </w:rPr>
            </w:pPr>
          </w:p>
        </w:tc>
        <w:tc>
          <w:tcPr>
            <w:tcW w:w="5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0" w:type="dxa"/>
            <w:vAlign w:val="bottom"/>
            <w:vMerge w:val="restart"/>
          </w:tcPr>
          <w:p>
            <w:pPr>
              <w:jc w:val="right"/>
              <w:ind w:right="1959"/>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Depreciation and amortization expense was approximately $0.2 million and $0.1 million for the three months ended March 31, 2012 and 2011, respectively. Stock-based compensation for the three months ended March 31, 2012 and 2011 of $0.1 million and $11,000, respectively, was capitalized as part of the cost of internal-use software.</w:t>
      </w:r>
    </w:p>
    <w:p>
      <w:pPr>
        <w:spacing w:after="0" w:line="256" w:lineRule="exact"/>
        <w:rPr>
          <w:sz w:val="20"/>
          <w:szCs w:val="20"/>
          <w:color w:val="auto"/>
        </w:rPr>
      </w:pPr>
    </w:p>
    <w:p>
      <w:pPr>
        <w:ind w:left="460" w:right="8280" w:hanging="452"/>
        <w:spacing w:after="0" w:line="347" w:lineRule="auto"/>
        <w:tabs>
          <w:tab w:leader="none" w:pos="449"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Net </w:t>
      </w:r>
      <w:r>
        <w:rPr>
          <w:rFonts w:ascii="Arial" w:cs="Arial" w:eastAsia="Arial" w:hAnsi="Arial"/>
          <w:sz w:val="18"/>
          <w:szCs w:val="18"/>
          <w:b w:val="1"/>
          <w:bCs w:val="1"/>
          <w:i w:val="1"/>
          <w:iCs w:val="1"/>
          <w:color w:val="auto"/>
        </w:rPr>
        <w:t>Goodwill</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Goodwill as of March 31, 2012 and December 2011 totaled $1.7 million.</w:t>
      </w:r>
    </w:p>
    <w:p>
      <w:pPr>
        <w:spacing w:after="0" w:line="25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Intangible assets, net, as of March 31, 2012 and December 31, 2011 consisted of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Weighted-Average</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2"/>
              </w:rPr>
              <w:t>March 31, 2012</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8"/>
              </w:rPr>
              <w:t>December 31, 2011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29"/>
        </w:trPr>
        <w:tc>
          <w:tcPr>
            <w:tcW w:w="3580" w:type="dxa"/>
            <w:vAlign w:val="bottom"/>
          </w:tcPr>
          <w:p>
            <w:pPr>
              <w:spacing w:after="0"/>
              <w:rPr>
                <w:sz w:val="11"/>
                <w:szCs w:val="11"/>
                <w:color w:val="auto"/>
              </w:rPr>
            </w:pPr>
          </w:p>
        </w:tc>
        <w:tc>
          <w:tcPr>
            <w:tcW w:w="14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9"/>
              </w:rPr>
              <w:t>Lives</w:t>
            </w: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Net Carrying</w:t>
            </w:r>
          </w:p>
        </w:tc>
        <w:tc>
          <w:tcPr>
            <w:tcW w:w="380" w:type="dxa"/>
            <w:vAlign w:val="bottom"/>
          </w:tcPr>
          <w:p>
            <w:pPr>
              <w:spacing w:after="0"/>
              <w:rPr>
                <w:sz w:val="11"/>
                <w:szCs w:val="11"/>
                <w:color w:val="auto"/>
              </w:rPr>
            </w:pPr>
          </w:p>
        </w:tc>
        <w:tc>
          <w:tcPr>
            <w:tcW w:w="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Net Carrying</w:t>
            </w:r>
          </w:p>
        </w:tc>
        <w:tc>
          <w:tcPr>
            <w:tcW w:w="300" w:type="dxa"/>
            <w:vAlign w:val="bottom"/>
          </w:tcPr>
          <w:p>
            <w:pPr>
              <w:spacing w:after="0"/>
              <w:rPr>
                <w:sz w:val="11"/>
                <w:szCs w:val="11"/>
                <w:color w:val="auto"/>
              </w:rPr>
            </w:pPr>
          </w:p>
        </w:tc>
      </w:tr>
      <w:tr>
        <w:trPr>
          <w:trHeight w:val="161"/>
        </w:trPr>
        <w:tc>
          <w:tcPr>
            <w:tcW w:w="35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(Months)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Amount</w:t>
            </w: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3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3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Customer relationship</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w:t>
            </w:r>
          </w:p>
        </w:tc>
        <w:tc>
          <w:tcPr>
            <w:tcW w:w="3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Non-compete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Trademarks</w:t>
            </w: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890</w:t>
            </w: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890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725</w:t>
            </w:r>
          </w:p>
        </w:tc>
        <w:tc>
          <w:tcPr>
            <w:tcW w:w="30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1,450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1,450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0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Intangible assets in progress</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r>
      <w:tr>
        <w:trPr>
          <w:trHeight w:val="27"/>
        </w:trPr>
        <w:tc>
          <w:tcPr>
            <w:tcW w:w="3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216"/>
        </w:trPr>
        <w:tc>
          <w:tcPr>
            <w:tcW w:w="3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3,462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3,430</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(1,593)</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300" w:type="dxa"/>
            <w:vAlign w:val="bottom"/>
            <w:shd w:val="clear" w:color="auto" w:fill="CCEEFF"/>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estimated future amortization expenses for intangible assets (excluding intangible assets in-progress) are summarized below (in thousands):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2012 (remainder)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tcPr>
          <w:p>
            <w:pPr>
              <w:ind w:left="440"/>
              <w:spacing w:after="0"/>
              <w:rPr>
                <w:sz w:val="20"/>
                <w:szCs w:val="20"/>
                <w:color w:val="auto"/>
              </w:rPr>
            </w:pPr>
            <w:r>
              <w:rPr>
                <w:rFonts w:ascii="Arial" w:cs="Arial" w:eastAsia="Arial" w:hAnsi="Arial"/>
                <w:sz w:val="18"/>
                <w:szCs w:val="18"/>
                <w:color w:val="auto"/>
              </w:rPr>
              <w:t>Total estimated future amortization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1,545</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for the three months ended March 31, 2012 and 2011 was $0.3 million and $0.1 million, respectively.</w:t>
      </w:r>
    </w:p>
    <w:p>
      <w:pPr>
        <w:spacing w:after="0" w:line="28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and other current liabilities consisted of the following (in thousands):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6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44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2012</w:t>
            </w: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payroll-related expenses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100" w:type="dxa"/>
            <w:vAlign w:val="bottom"/>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Pr>
          <w:p>
            <w:pPr>
              <w:spacing w:after="0"/>
              <w:rPr>
                <w:sz w:val="19"/>
                <w:szCs w:val="19"/>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accrued and other current liabilities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w:t>
            </w:r>
          </w:p>
        </w:tc>
        <w:tc>
          <w:tcPr>
            <w:tcW w:w="8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10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Payment Obligations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July 6, 2009, the Company entered into an agreement to purchase certain patent assets for a total of $4.4 million. Under the terms of the agreements, the Company paid $1.1 million in cash at signing, with a remaining non-interest bearing contract obligation of $3.3 million due in three equal installments in July of each of 2010, 2011 and 2012. The contract obligation was recorded at fair value utilizing the imputed interest rate method. Interest was imputed using a rate of 10.2% per annum, which represents the Company’s estimated market borrowing rate as of the initial transaction date. As of March 31, 2012 and December 31, 2011, the remaining unpaid principal balance associated with the obligation was $1.1 million.</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January 26, 2009, the Company entered into an agreement to acquire certain patent assets for a total of $12.0 million. Under the terms of the agreement, the Company paid $3.0 million upfront, with a remaining non-interest bearing contract obligation of $9.0 million due in three equal installments in January 2010, 2011 and 2012. The contract obligation was recorded at fair value utilizing the imputed interest rate method. Interest was imputed using a rate of 13.9% per annum, which represented the Company’s estimated market borrowing rate as of the date of the transaction. As of March 31, 2012 and December 31, 2011, the remaining unpaid principal balance associated with the obligation was nil and $3.0 million, respectively.</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Lines of Credit</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March 28, 2012, the Company entered into a standby letter of credit agreement with a banking institution. As of March 31, 2012, the credit facility provided for a $1.8 million line of credit in support of a corporate real estate lease. Amounts borrowed under the letter of credit will be charged a variable interest rate, but at least 4% per year. As of March 31, 2012, there was no outstanding balance.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February 2, 2012, the Company amended its line of credit agreement with a banking institution. The amendment increased the Company’s credit facility from $0.3 million to $0.5 million for a Company-sponsored travel and expense credit card program. Amounts borrowed will be charged a fixed rate of interest of 5% per year. The credit was secured by a priority interest in the Company’s savings account at the banking institution in the amount of $0.3 million, this amount was released upon execution of the amended line of credit. There was no outstanding balance under the revolving line of credit as of March 31, 2012 or December 31, 2011.</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August 5, 2010, the Company entered into a standby letter of credit agreement with a banking institution. As of December 31, 2011, the credit facility provided for a $0.1 million line of credit in support of a corporate real estate lease. The credit facility, which expires on June 14, 2013, is secured by a priority interest in the Company’s savings account held with the banking institution in the amount of $0.1 million. The balance in this account has been classified as non-current restricted cash on the accompanying consolidated balance sheets.</w:t>
      </w:r>
    </w:p>
    <w:p>
      <w:pPr>
        <w:spacing w:after="0" w:line="259" w:lineRule="exact"/>
        <w:rPr>
          <w:sz w:val="20"/>
          <w:szCs w:val="20"/>
          <w:color w:val="auto"/>
        </w:rPr>
      </w:pPr>
    </w:p>
    <w:p>
      <w:pPr>
        <w:ind w:left="460" w:right="8480" w:hanging="452"/>
        <w:spacing w:after="0" w:line="417" w:lineRule="auto"/>
        <w:tabs>
          <w:tab w:leader="none" w:pos="449" w:val="left"/>
        </w:tabs>
        <w:numPr>
          <w:ilvl w:val="0"/>
          <w:numId w:val="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spacing w:after="0" w:line="1"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The Company leases its facilities under non-cancelable lease agreements. Operating lease obligations have increased from those as of December 31, 2011, as a result of the following agreement entered into during the three months ended March 31, 2012.</w:t>
      </w:r>
    </w:p>
    <w:p>
      <w:pPr>
        <w:spacing w:after="0" w:line="13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March 2012, the Company entered into an amended lease agreement to increase its San Francisco, California office space to approximately 67,000 total square feet from May 2013 through October 2019. The monthly base rent payments pursuant to this lease will initially be approximately $0.3 million per month, increasing to approximately $0.4 million per month. Total future non-cancelable minimum lease payments will be $26.1 million.</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Rent expense related to these non-cancelable operating leases was $0.6 million and $0.4 million for the three months ended March 31, 2012 and 2011, respectively.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In March 2012, the Company entered into a commitment to purchase certain patent assets for total cash consideration of $6.0 million. The purchase commitment is contingent upon several closing conditions which must occur on or before May 30, 2012, and as such, no amount has been recorded in the consolidated balance sheet at March 31, 2012.</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litigation or contingencies had been recorded as of March 31, 2012 or December 31, 2011.</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March 2012, Cascades Computer Innovations LLC filed a lawsuit in U.S. District Court for the Northern District of California against the Company and five of its clients (collectively the “Defendants”). The complaint alleges that the Defendants violated federal antitrust law, California antitrust law and California unfair competition law. The complaint claims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Because the case is at a very early stage, the Company is not currently able to determine whether there is a reasonable possibility that a loss has been incurred nor can it estimate the range of the potential loss that may result from this litigation.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Accordingly, the Company had no liabilities recorded for these agreements as of March 31, 2012 or December 31, 2011. The Company has no reason to believe that there is any material liability related to such indemnification provisions. The Company does not indemnify its clients for patent infringement.</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limits, while the officer or employee is or was serving at its request in such capacity.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258" w:lineRule="exact"/>
        <w:rPr>
          <w:sz w:val="20"/>
          <w:szCs w:val="20"/>
          <w:color w:val="auto"/>
        </w:rPr>
      </w:pPr>
    </w:p>
    <w:p>
      <w:pPr>
        <w:ind w:left="460" w:right="9360" w:hanging="452"/>
        <w:spacing w:after="0" w:line="417" w:lineRule="auto"/>
        <w:tabs>
          <w:tab w:leader="none" w:pos="449" w:val="left"/>
        </w:tabs>
        <w:numPr>
          <w:ilvl w:val="0"/>
          <w:numId w:val="1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b w:val="1"/>
          <w:bCs w:val="1"/>
          <w:i w:val="1"/>
          <w:iCs w:val="1"/>
          <w:color w:val="auto"/>
        </w:rPr>
        <w:t>Common Stock</w:t>
      </w:r>
    </w:p>
    <w:p>
      <w:pPr>
        <w:spacing w:after="0" w:line="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As of March 31, 2012, under the Company’s amended and restated certificate of incorporation the Company is authorized to issue 10 million shares of preferred stock with a par value of $0.0001 per share and 200 million shares of common stock with par value of $0.0001 per share.</w:t>
      </w:r>
    </w:p>
    <w:p>
      <w:pPr>
        <w:spacing w:after="0" w:line="8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In connection with the issuance of the Series A redeemable convertible preferred stock in August 2008, the Company entered into a common stock repurchase agreement with its founders. The Company issued 9,999,998 shares of common stock to the Company’s founders in exchange for the assignment of intellectual property to the Company. The Company has the right to repurchase these shares of common stock upon the termination of a founder’s service to the Company. The repurchase rights lapse over a four-year period, 25% on the first anniversary from the issuance date and thereafter ratably each month over the ensuing 36-month period. As of March 31, 2012 and December 31, 2011, 1,041,666 and 1,666,666, respectively, of these shares were subject to repurchase. The value of common stock exchanged for the intellectual property was estimated to be $1.5 million based on the then-applicable common stock value of $0.145 per share. The assets received are recorded as intangible assets in the consolidated balance sheets and are being amortized over a four-year period.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March 31, 2012, under the Company’s amended and restated certificate of incorporation the Company is authorized to issue 10 million shares of preferred stock with a par value of $0.0001 per share. The board of directors is authorized to provide for the issuance of one or more series of preferred stock and to establish the powers, preferences and rights of the preferred shares.</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Upon the Company’s initial public offering in May 2011, all shares of the Company’s redeemable convertible preferred stock automatically converted into 26,229,722 shares of common stock. As of March 31, 2012, the Company had no redeemable convertible preferred shares outstanding.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Plans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February 2011, the Company’s Board of Directors adopted the 2011 Equity Incentive Plan (the “2011 Plan”), which became effective on the date of the Company’s initial public offering. The 2011 Plan provides for the issuance of incentive stock options, non-qualified stock options, stock appreciation rights, restricted shares of the Company’s common stock, and stock units to employees, directors and consultants. The Board of Directors reserved 1,500,000 shares of common stock for future issuance under the 2011 Plan. In March 2012, the Company reserved an additional 2,457,269 shares of common stock for future issuance under the 2011 Plan.</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August 2008, the Company’s Board of Directors adopted the 2008 Stock Option Plan, as amended (the “2008 Plan”), which provides for the issuance of incentive stock options, non-qualified stock options, as well as the direct award or sale of shares of common stock to employees, directors and consultants for up to 9,019,474 shares of common stock. While no further awards are being made under the 2008 Plan, all awards outstanding under the 2008 Plan continue to be governed by the terms of the original award.</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Under both the 2008 Plan and 2011 Plan, incentive stock options and non-qualified stock options are granted at a price not less than 100% of the fair value of the stock at the date of grant. Incentive stock options granted to stockholders who own more than 10% of the outstanding stock of the Company at the time of grant must be issued at an exercise price not less than 110% of the fair value of the stock on the date of grant. Options granted to newly hired employees vest 25% on the first anniversary of the date of hire and ratably each month over the ensuing 36 month period. Options granted to existing employees generally vest ratably over the 48 months following the date of grant. Options are exercisable for a maximum period of ten years after the date of grant. Restricted stock units granted to newly hired employees vest 25% on the first Company established vest date after their first anniversary of the date of hire and ratably each quarter over the ensuing 36 month period. Restricted stock units granted to existing employees generally vest ratably each quarter over the 48 months following the date of grant.</w:t>
      </w:r>
    </w:p>
    <w:p>
      <w:pPr>
        <w:sectPr>
          <w:pgSz w:w="11900" w:h="16838" w:orient="portrait"/>
          <w:cols w:equalWidth="0" w:num="1">
            <w:col w:w="11400"/>
          </w:cols>
          <w:pgMar w:left="240" w:top="459" w:right="259" w:bottom="1440" w:gutter="0" w:footer="0" w:header="0"/>
        </w:sectPr>
      </w:pP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459" w:right="2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 summary of the Company’s activity under the 2008 Plan and 2011 Plan and related information is as follows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1180"/>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8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4"/>
              </w:rPr>
              <w:t>Weighted-Average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Remaining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3"/>
              </w:rPr>
              <w:t>Shares Available</w:t>
            </w: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Weighted-Average</w:t>
            </w: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for Grant</w:t>
            </w:r>
          </w:p>
        </w:tc>
        <w:tc>
          <w:tcPr>
            <w:tcW w:w="17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6"/>
              </w:rPr>
              <w:t>Number of Shares</w:t>
            </w:r>
          </w:p>
        </w:tc>
        <w:tc>
          <w:tcPr>
            <w:tcW w:w="100" w:type="dxa"/>
            <w:vAlign w:val="bottom"/>
          </w:tcPr>
          <w:p>
            <w:pPr>
              <w:spacing w:after="0"/>
              <w:rPr>
                <w:sz w:val="14"/>
                <w:szCs w:val="14"/>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Life in Years</w:t>
            </w:r>
          </w:p>
        </w:tc>
        <w:tc>
          <w:tcPr>
            <w:tcW w:w="32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Intrinsic Value</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Balance—December 31, 2011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6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6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Options authorized</w:t>
            </w:r>
          </w:p>
        </w:tc>
        <w:tc>
          <w:tcPr>
            <w:tcW w:w="960" w:type="dxa"/>
            <w:vAlign w:val="bottom"/>
          </w:tcPr>
          <w:p>
            <w:pPr>
              <w:jc w:val="right"/>
              <w:spacing w:after="0"/>
              <w:rPr>
                <w:sz w:val="20"/>
                <w:szCs w:val="20"/>
                <w:color w:val="auto"/>
              </w:rPr>
            </w:pPr>
            <w:r>
              <w:rPr>
                <w:rFonts w:ascii="Arial" w:cs="Arial" w:eastAsia="Arial" w:hAnsi="Arial"/>
                <w:sz w:val="18"/>
                <w:szCs w:val="18"/>
                <w:color w:val="auto"/>
              </w:rPr>
              <w:t>2,457</w:t>
            </w:r>
          </w:p>
        </w:tc>
        <w:tc>
          <w:tcPr>
            <w:tcW w:w="62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granted</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Options exercised</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canceled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Restricted stock units granted</w:t>
            </w: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(345)</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stock units forfeited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Balance—March 31, 2012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6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7,085</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8.18</w:t>
            </w:r>
          </w:p>
        </w:tc>
        <w:tc>
          <w:tcPr>
            <w:tcW w:w="6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8.5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exercisable—March 31, 2012</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Vested and expected to vest—March 31, 2012</w:t>
            </w: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8.01</w:t>
            </w:r>
          </w:p>
        </w:tc>
        <w:tc>
          <w:tcPr>
            <w:tcW w:w="640" w:type="dxa"/>
            <w:vAlign w:val="bottom"/>
          </w:tcPr>
          <w:p>
            <w:pPr>
              <w:spacing w:after="0" w:line="20" w:lineRule="exact"/>
              <w:rPr>
                <w:sz w:val="1"/>
                <w:szCs w:val="1"/>
                <w:color w:val="auto"/>
              </w:rPr>
            </w:pPr>
          </w:p>
        </w:tc>
        <w:tc>
          <w:tcPr>
            <w:tcW w:w="13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59,005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weighted-average grant date fair value of options granted during the three months ended March 31, 2012 and 2011 was $9.08 and $5.81 per share, respectively. The total intrinsic value of options exercised during the three months ended March 31, 2012 and 2011 was $14.3 million and $2.5 million, respectively.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summary of restricted stock units (“RSUs”) activity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6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84"/>
              </w:rPr>
              <w:t>Weighted-Average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Aggregate</w:t>
            </w:r>
          </w:p>
        </w:tc>
      </w:tr>
      <w:tr>
        <w:trPr>
          <w:trHeight w:val="161"/>
        </w:trPr>
        <w:tc>
          <w:tcPr>
            <w:tcW w:w="4700" w:type="dxa"/>
            <w:vAlign w:val="bottom"/>
          </w:tcPr>
          <w:p>
            <w:pPr>
              <w:spacing w:after="0"/>
              <w:rPr>
                <w:sz w:val="14"/>
                <w:szCs w:val="14"/>
                <w:color w:val="auto"/>
              </w:rPr>
            </w:pPr>
          </w:p>
        </w:tc>
        <w:tc>
          <w:tcPr>
            <w:tcW w:w="19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4"/>
              </w:rPr>
              <w:t>Number of Shares</w:t>
            </w:r>
          </w:p>
        </w:tc>
        <w:tc>
          <w:tcPr>
            <w:tcW w:w="140" w:type="dxa"/>
            <w:vAlign w:val="bottom"/>
          </w:tcPr>
          <w:p>
            <w:pPr>
              <w:spacing w:after="0"/>
              <w:rPr>
                <w:sz w:val="14"/>
                <w:szCs w:val="14"/>
                <w:color w:val="auto"/>
              </w:rPr>
            </w:pPr>
          </w:p>
        </w:tc>
        <w:tc>
          <w:tcPr>
            <w:tcW w:w="18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9"/>
              </w:rPr>
              <w:t>Fair Value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Intrinsic Value</w:t>
            </w:r>
          </w:p>
        </w:tc>
      </w:tr>
      <w:tr>
        <w:trPr>
          <w:trHeight w:val="210"/>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units—December 31, 2011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960" w:type="dxa"/>
            <w:vAlign w:val="bottom"/>
            <w:gridSpan w:val="2"/>
          </w:tcPr>
          <w:p>
            <w:pPr>
              <w:jc w:val="right"/>
              <w:ind w:right="920"/>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16.22</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19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8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15.25</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47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Non-vested units—March 31, 2012</w:t>
            </w:r>
          </w:p>
        </w:tc>
        <w:tc>
          <w:tcPr>
            <w:tcW w:w="19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513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9,911</w:t>
            </w:r>
          </w:p>
        </w:tc>
        <w:tc>
          <w:tcPr>
            <w:tcW w:w="100" w:type="dxa"/>
            <w:vAlign w:val="bottom"/>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Related to Employees and Non-Employee Directors</w:t>
      </w:r>
    </w:p>
    <w:p>
      <w:pPr>
        <w:spacing w:after="0" w:line="9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Company estimates the fair value of stock options using the Black-Scholes option pricing model. Option valuation models, including the Black-Scholes option pricing model, require the input of various assumptions, including stock price volatility. Changes in the assumptions can materially affect the fair value and ultimately how much stock-based compensation expense is recognized. The weighted-average assumptions and resulting fair values were as follows:</w:t>
      </w:r>
    </w:p>
    <w:p>
      <w:pPr>
        <w:spacing w:after="0" w:line="12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8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8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122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Risk-free rate</w:t>
            </w:r>
          </w:p>
        </w:tc>
        <w:tc>
          <w:tcPr>
            <w:tcW w:w="1900" w:type="dxa"/>
            <w:vAlign w:val="bottom"/>
            <w:gridSpan w:val="2"/>
          </w:tcPr>
          <w:p>
            <w:pPr>
              <w:jc w:val="right"/>
              <w:ind w:right="992"/>
              <w:spacing w:after="0"/>
              <w:rPr>
                <w:sz w:val="20"/>
                <w:szCs w:val="20"/>
                <w:color w:val="auto"/>
              </w:rPr>
            </w:pPr>
            <w:r>
              <w:rPr>
                <w:rFonts w:ascii="Arial" w:cs="Arial" w:eastAsia="Arial" w:hAnsi="Arial"/>
                <w:sz w:val="18"/>
                <w:szCs w:val="18"/>
                <w:color w:val="auto"/>
              </w:rPr>
              <w:t>1.15%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90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61%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Expected term—in years</w:t>
            </w: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For RSUs, stock-based compensation expense was calculated based on the Company’s stock price on the date of grant, multiplied by the number of units granted. The grant date fair value of RSUs, less estimated forfeitures, is recognized on a straight-line basis over the requisite service period.</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Employees and directors stock-based compensation expense related to stock options for the three months ended March 31, 2012 and 2011, was $1.9 million and $0.8 million, respectively, and stock-based compensation expense related to restricted stock units for the three months ended March 31, 2012 and 2011, was $0.4 million and nil,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Stock-based compensation expense is recognized ratably over the requisite service period. As of March 31, 2012, there was $27.5 million of unrecognized compensation cost related to stock options which was expected to be recognized over a weighted-average period of 3.3 years. As of March 31, 2012, there was $8.4 million of unrecognized compensation cost related to RSUs which was expected to be recognized over a remaining weighted-average period of 3.4 years. Future option grants will increase the amount of stock-based compensation expense to be recorded.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Related to Non-Employees</w:t>
      </w:r>
    </w:p>
    <w:p>
      <w:pPr>
        <w:spacing w:after="0" w:line="9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Company periodically grants equity awards to non-employees in exchange for goods and services. No awards were granted to non-employees in exchange for goods and services during the three months ended March 31, 2012. During the three months ended March 31, 2011, the Company issued 10,000 shares of common stock and options to purchase 5,000 shares of common stock to non-employees in exchange for services.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Non-employee stock-based compensation expense related to stock options for the three months ended March 31, 2012 and 2011, was $0.2 million and $0.3 million, respectively, and stock-based compensation expense related to restricted stock units for the three months ended March 31, 2012 and 2011, was $0.2 million and nil, respectively. The Company accounts for non-employee stock options on a fair value basis using the Black-Scholes option pricing model. The fair value of non-employee options is recognized ratably over the requisite service period of the underlying award. Each reporting period the fair value of the unvested non-employee options is revalued and amortized over the remaining requisite service period.</w:t>
      </w:r>
    </w:p>
    <w:p>
      <w:pPr>
        <w:spacing w:after="0" w:line="23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uses an estimated annual effective tax rate based upon a projection of its annual fiscal year results to measure the income tax benefit or expense recognized in each interim period. The Company’s effective tax rate, including the impact of discreet benefit items, was 37% for the three months ended March 31, 2012 compared to 45% for the three months ended March 31, 2011. The decrease in our effective tax rate was primarily attributable to the use of a single sales factor for California state income tax apportionment. The difference between the consolidated effective income tax rate and the U.S. federal statutory rate is primarily attributable to the effect of certain permanent differences and state income taxes.</w:t>
      </w:r>
    </w:p>
    <w:p>
      <w:pPr>
        <w:spacing w:after="0" w:line="1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During the three months ended March 31, 2012, the Internal Revenue Service (“IRS”) completed its examination of the Company’s employment taxes for the 2010 and 2009 tax years and federal income tax returns for the 2009 and 2008 tax years. In addition, during the fourth quarter of 2011, the IRS issued a Notice of Proposed Adjustments (“NOPA”) for the 2008 and 2009 tax years with proposed adjustments and no assessment. The Company has agreed to the adjustments which have been approved by the IRS. The adjustments did not have a material impact on the Company’s consolidated financial statements. The Company’s 2009 and 2008 tax years are currently under examination by the State of California Franchise Tax Board. The Company does not expect a material impact on its consolidated financial statements as a result of this examination. The tax periods open to examination by federal and most state tax authorities includes 2008 through 2011. For the Company’s foreign jurisdictions, the 2009 through 2011 tax years remain open to examination by their respective tax authorities.</w:t>
      </w:r>
    </w:p>
    <w:p>
      <w:pPr>
        <w:spacing w:after="0" w:line="22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During the three months ended March 31, 2012 and 2011, one member of the Company’s board of directors also served on the board of directors of one of RPX’s clients. For the three months ended March 31, 2012 and 2011, the Company recognized subscription fee revenue of $0.7 million related to this client. As of March 31, 2012 and December 31, 2011, there were no receivables due from this client.</w:t>
      </w:r>
    </w:p>
    <w:p>
      <w:pPr>
        <w:spacing w:after="0" w:line="256"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Officer reviews financial information presented on a consolidated basis and, as a result, the Company concluded that there is only one operating and reportable segment.</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markets its solution to companies around the world. Revenue is generally attributed to geographic areas based on the country in which the client is domiciled.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presents revenue by location and revenue generated by country as a percentage of total revenue, for countries representing 10% or more of revenues for the periods presented below (dollars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89"/>
              </w:rPr>
              <w:t>Three Months Ended March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jc w:val="right"/>
              <w:ind w:right="101"/>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r>
      <w:tr>
        <w:trPr>
          <w:trHeight w:val="210"/>
        </w:trPr>
        <w:tc>
          <w:tcPr>
            <w:tcW w:w="726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$24,484</w:t>
            </w:r>
          </w:p>
        </w:tc>
        <w:tc>
          <w:tcPr>
            <w:tcW w:w="10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$20,972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Japan</w:t>
            </w:r>
          </w:p>
        </w:tc>
        <w:tc>
          <w:tcPr>
            <w:tcW w:w="560" w:type="dxa"/>
            <w:vAlign w:val="bottom"/>
          </w:tcPr>
          <w:p>
            <w:pPr>
              <w:jc w:val="right"/>
              <w:spacing w:after="0"/>
              <w:rPr>
                <w:sz w:val="20"/>
                <w:szCs w:val="20"/>
                <w:color w:val="auto"/>
              </w:rPr>
            </w:pPr>
            <w:r>
              <w:rPr>
                <w:rFonts w:ascii="Arial" w:cs="Arial" w:eastAsia="Arial" w:hAnsi="Arial"/>
                <w:sz w:val="18"/>
                <w:szCs w:val="18"/>
                <w:color w:val="auto"/>
              </w:rPr>
              <w:t>9,609</w:t>
            </w:r>
          </w:p>
        </w:tc>
        <w:tc>
          <w:tcPr>
            <w:tcW w:w="700" w:type="dxa"/>
            <w:vAlign w:val="bottom"/>
            <w:gridSpan w:val="2"/>
          </w:tcPr>
          <w:p>
            <w:pPr>
              <w:ind w:left="540"/>
              <w:spacing w:after="0"/>
              <w:rPr>
                <w:sz w:val="20"/>
                <w:szCs w:val="20"/>
                <w:color w:val="auto"/>
              </w:rPr>
            </w:pPr>
            <w:r>
              <w:rPr>
                <w:rFonts w:ascii="Arial" w:cs="Arial" w:eastAsia="Arial" w:hAnsi="Arial"/>
                <w:sz w:val="16"/>
                <w:szCs w:val="16"/>
                <w:color w:val="auto"/>
                <w:w w:val="78"/>
              </w:rPr>
              <w:t>22</w:t>
            </w:r>
          </w:p>
        </w:tc>
        <w:tc>
          <w:tcPr>
            <w:tcW w:w="320" w:type="dxa"/>
            <w:vAlign w:val="bottom"/>
          </w:tcPr>
          <w:p>
            <w:pPr>
              <w:spacing w:after="0"/>
              <w:rPr>
                <w:sz w:val="18"/>
                <w:szCs w:val="18"/>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5,536</w:t>
            </w: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r>
      <w:tr>
        <w:trPr>
          <w:trHeight w:val="216"/>
        </w:trPr>
        <w:tc>
          <w:tcPr>
            <w:tcW w:w="7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w w:val="78"/>
              </w:rPr>
              <w:t>22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3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r>
      <w:tr>
        <w:trPr>
          <w:trHeight w:val="222"/>
        </w:trPr>
        <w:tc>
          <w:tcPr>
            <w:tcW w:w="726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43,849</w:t>
            </w:r>
          </w:p>
        </w:tc>
        <w:tc>
          <w:tcPr>
            <w:tcW w:w="3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100%</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34,390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r>
      <w:tr>
        <w:trPr>
          <w:trHeight w:val="20"/>
        </w:trPr>
        <w:tc>
          <w:tcPr>
            <w:tcW w:w="72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Long-lived assets information by location is presented below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260" w:type="dxa"/>
            <w:vAlign w:val="bottom"/>
          </w:tcPr>
          <w:p>
            <w:pPr>
              <w:spacing w:after="0"/>
              <w:rPr>
                <w:sz w:val="14"/>
                <w:szCs w:val="14"/>
                <w:color w:val="auto"/>
              </w:rPr>
            </w:pPr>
          </w:p>
        </w:tc>
        <w:tc>
          <w:tcPr>
            <w:tcW w:w="294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4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$165,426</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Japan</w:t>
            </w:r>
          </w:p>
        </w:tc>
        <w:tc>
          <w:tcPr>
            <w:tcW w:w="2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long-lived assets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165,469</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169,181</w:t>
            </w:r>
          </w:p>
        </w:tc>
        <w:tc>
          <w:tcPr>
            <w:tcW w:w="100" w:type="dxa"/>
            <w:vAlign w:val="bottom"/>
            <w:shd w:val="clear" w:color="auto" w:fill="CCEEFF"/>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On March 30, 2012, the Company entered into a number of agreements with Digitude Innovations, LLC, Preservation Technologies LLC, and Robert and Susan Kramer. The agreements were subject to closing conditions that were satisfied on April 19, 2012. Pursuant to these agreements, the Company paid $45.8 million and acquired among other things (i) certain patents and patent rights and (ii) all of the issued and outstanding membership interests in Altitude Capital Management LLC. This acquisition will add more than 550 patent assets to the Company’s portfolio and enhance its market intelligence. The transaction is expected to be accounted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When recording a business combination, the Company allocates the purchase price to the tangible and intangible assets acquired and liabilities assumed based on their estimated fair values. This requires the Company to make significant estimates and assumptions. At the time these financial statements were signed and authorized for issue, the initial accounting for the Digitude Innovations business combination was incomplete. As such, disclosures have not been made relating to: the amounts recognized as of the acquisition date for each major class of assets acquired and liabilities assumed; the total amount of goodwill and the amount of goodwill that is expected to be deductible for tax purposes; and amounts assigned to each class of intangible asset and its respective weighted average amortization period.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Quarterly Report on Form 10-Q and our Annual Report on Form 10-K filed with the Securities and Exchange Commission on March 26, 2012.</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Securities and Exchange Commission on March 26, 2012.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RPX helps companies reduce patent-related risk and expense. We provide a subscription-based patent risk management solution that facilitates more efficient exchanges of value between owners and users of patents compared to transactions driven by actual or threatened litigation. As of March 31, 2012, we had a client network of 116 members.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4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core of our solution is defensive patent aggregation, in which we acquire patents or licenses to patents, which we refer to collectively as “patent assets,” that are being or may be asserted against our current and prospective clients. We then provide our clients with licenses to substantially all of these patent assets to protect them from potential patent infringement assertions. We also provide our clients access to our proprietary patent market intelligence and data.</w:t>
      </w:r>
    </w:p>
    <w:p>
      <w:pPr>
        <w:spacing w:after="0" w:line="8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 the three months ended March 31, 2012, revenue grew to $43.8 million as we added 4 net new clients bringing our total client network to 116 companies. We ended the quarter with deferred revenue of $105.8 million.</w:t>
      </w:r>
    </w:p>
    <w:p>
      <w:pPr>
        <w:spacing w:after="0" w:line="132"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We believe that the amount that we spend to acquire patent assets is a key driver of the value that we create for our clients. We measure acquisition spend on both a “gross” and a “net” basis, whereby the “gross spend” represents the aggregate amount spent including amounts contributed by our clients in syndicated and structured acquisitions above and beyond their subscription fees and the “net spend” represents only the net incremental investment of our own capital.</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three months ended March 31, 2012, we completed 7 acquisitions of patent assets and our gross and net acquisition spend totaled $13.4 million. Over the trailing four quarters ended March 31, 2012, our gross acquisition spending totaled $97.7 million and our net acquisition spend totaled $93.1 million. From our inception through March 31, 2012, we had completed 97 acquisitions of patent assets with gross acquisition spend of approximately $385.1 million and net acquisition spend of $303.3 million.</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May 2011, we completed our initial public offering, in which we sold and issued 9,065,000 shares of common stock, including 634,565 shares issued pursuant to an over-allotment option granted to the underwriters. The shares were sold by the underwriters at a price of $19.00 per share and we received proceeds of $160.2 million after deducting underwriting discounts and commissions. We incurred offering costs of $2.9 million. In September 2011, we completed a follow-on offering in which we sold and issued 1,400,000 shares of common stock. The shares were sold by the underwriters at a price of $20.49 per share and we received proceeds of $27.4 million after deducting underwriting discounts and commissions. We incurred offering costs of $0.5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Historically, substantially all of our revenue has consisted of annual subscription fees. We expect that subscription fee revenue will increase with the growth of our client network. Subscription revenue will be positively or negatively impacted by the financial performance of our clients since their subscription fees are typically reset yearly based upon their most recently reported annual financial results. We have also received revenue from the sale of licenses and fee income in connection with structured acquisitions. In the future, we may receive other revenue and fee income from newly introduced products and services.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Cost of revenue primarily consists of amortization expenses related to acquired patent assets. Acquired patent assets are capitalized and amortized ratably over the shorter of their estimated useful lives or the remaining statutory life. Also included in the cost of revenue are the expenses incurred to maintain and prosecute patents and patent applications. We expect our cost of revenue to increase in the future as we add additional patent assets to our existing portfolio to support our existing and future clients.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Selling, general and administrative expenses consist of salaries and related expenses, including stock-based compensation expenses, cost of marketing programs, legal costs, professional fees, travel costs, facility costs and other corporate expenses. We expect that in the foreseeable future, as we seek to serve more clients and develop new products and services, selling, general and administrative expenses will increase. Selling, general and administrative expenses will also increase in order to support our operations and compliance requirements as a public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Income taxes are computed using the asset and liability method, under which deferred tax assets and liabilities are determined based on the difference between the financial statements and tax bases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more-likely-than-not that our deferred tax assets will be fully realized. Accordingly, we have not applied a valuation allowance against our net deferred tax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 There have been no material changes to our critical accounting policies and estimates as compared to those described in our Annual Report on Form 10-K filed with the SEC on March 26, 2012.</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consider the following to be critical accounting policies and estimates because we believe they are both important to the portrayal of our financial condition and results of operations and require management judgments about matters that are uncertain. If actual results or events differ materially, our reported financial condition and results of operation for future periods could be materially affected.</w:t>
      </w:r>
    </w:p>
    <w:p>
      <w:pPr>
        <w:spacing w:after="0" w:line="59"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Amortization of Patent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Accounting for Stock-Based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the periods indicated, consolidated statements of operations data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43,849</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Cost of revenue</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18,017</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(Gain) on sale of patent assets, net</w:t>
            </w:r>
          </w:p>
        </w:tc>
        <w:tc>
          <w:tcPr>
            <w:tcW w:w="2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(177)</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12,786</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 income and other</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1"/>
        </w:trPr>
        <w:tc>
          <w:tcPr>
            <w:tcW w:w="368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2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12,766</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5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8,081</w:t>
            </w:r>
          </w:p>
        </w:tc>
        <w:tc>
          <w:tcPr>
            <w:tcW w:w="440" w:type="dxa"/>
            <w:vAlign w:val="bottom"/>
          </w:tcPr>
          <w:p>
            <w:pPr>
              <w:spacing w:after="0"/>
              <w:rPr>
                <w:sz w:val="19"/>
                <w:szCs w:val="19"/>
                <w:color w:val="auto"/>
              </w:rPr>
            </w:pPr>
          </w:p>
        </w:tc>
        <w:tc>
          <w:tcPr>
            <w:tcW w:w="56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20" w:type="dxa"/>
            <w:vAlign w:val="bottom"/>
            <w:vMerge w:val="restart"/>
          </w:tcPr>
          <w:p>
            <w:pPr>
              <w:jc w:val="right"/>
              <w:ind w:right="1592"/>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for the periods indicated, consolidated statements of operations data as a percentage of revenue.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86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3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9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Cost of revenue</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1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(Gain) on sale of patent assets, net</w:t>
            </w:r>
          </w:p>
        </w:tc>
        <w:tc>
          <w:tcPr>
            <w:tcW w:w="1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Interest income and other</w:t>
            </w:r>
          </w:p>
        </w:tc>
        <w:tc>
          <w:tcPr>
            <w:tcW w:w="1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21"/>
        </w:trPr>
        <w:tc>
          <w:tcPr>
            <w:tcW w:w="582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3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960" w:type="dxa"/>
            <w:vAlign w:val="bottom"/>
            <w:gridSpan w:val="2"/>
          </w:tcPr>
          <w:p>
            <w:pPr>
              <w:jc w:val="right"/>
              <w:ind w:right="1160"/>
              <w:spacing w:after="0"/>
              <w:rPr>
                <w:sz w:val="20"/>
                <w:szCs w:val="20"/>
                <w:color w:val="auto"/>
              </w:rPr>
            </w:pPr>
            <w:r>
              <w:rPr>
                <w:rFonts w:ascii="Arial" w:cs="Arial" w:eastAsia="Arial" w:hAnsi="Arial"/>
                <w:sz w:val="18"/>
                <w:szCs w:val="18"/>
                <w:color w:val="auto"/>
              </w:rPr>
              <w:t>18%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Our revenue for the three months ended March 31, 2012 was $43.8 million compared to $34.4 million during the same period a year ago, an increase of $9.5 million, or 28%. The increase was primarily due to the growth in our client network and the resulting recognition of revenue from clients that joined both during the current period and prior to the start of the current period.</w:t>
      </w:r>
    </w:p>
    <w:p>
      <w:pPr>
        <w:spacing w:after="0" w:line="140" w:lineRule="exact"/>
        <w:rPr>
          <w:sz w:val="20"/>
          <w:szCs w:val="20"/>
          <w:color w:val="auto"/>
        </w:rPr>
      </w:pPr>
    </w:p>
    <w:p>
      <w:pPr>
        <w:jc w:val="both"/>
        <w:ind w:right="280" w:firstLine="456"/>
        <w:spacing w:after="0" w:line="332" w:lineRule="auto"/>
        <w:rPr>
          <w:sz w:val="20"/>
          <w:szCs w:val="20"/>
          <w:color w:val="auto"/>
        </w:rPr>
      </w:pPr>
      <w:r>
        <w:rPr>
          <w:rFonts w:ascii="Arial" w:cs="Arial" w:eastAsia="Arial" w:hAnsi="Arial"/>
          <w:sz w:val="16"/>
          <w:szCs w:val="16"/>
          <w:color w:val="auto"/>
        </w:rPr>
        <w:t>We expect our revenue growth to continue if we are successful in our efforts to add new clients and retain existing clients. However, while we expect to continue to experience revenue growth, we do not believe that our rate of growth since inception is representative of anticipated future revenue growth.</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Our cost of revenue for the three months ended March 31, 2012 was $18.0 million compared to $13.7 million during the same period a year ago, an increase of $4.4 million, or 32%. The increase was a result of additional amortization expense attributable to the increase in our patent assets. Amortization expense related to our patent assets was $17.7 million and $13.5 million for the three months ended March 31, 2012 and 2011, respectively. The expenses incurred to maintain patents and prosecute patent applications included in our portfolio were approximately $0.2 million and $0.1 million for the three months ended March 31, 2012 and 2011, respectively.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selling, general and administrative expenses for the three months ended March 31, 2012 were $13.2 million compared to $8.1 million during the same period a year ago, an increase of $5.1 million or 63%. The increase was primarily due to a $3.5 million increase in personnel-related costs, including stock-based compensation, attributable to increasing our headcount to 125 employees as of March 31, 2012 compared to 73 employees at March 31, 2011, a $0.7 million increase in professional fees due to increased infrastructure costs associated with the growth of our business and costs associated with being a public company and a $0.6 million increase in our facility-related costs, depreciation and other corporate expenses due to the leasing of additional office space, and higher depreciation expenses due to increases in property and equipment balances.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income for the three months ended March 31, 2012 was $0.1 million as compared to $26,000 for the same prior year period, an increase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$25,000, or 96%. The increase was due to interest earned on larger cash balances attributable to our initial public offering and follow-on offering of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in 2011.</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expense for the three months ended March 31, 2012 was $0.1 million as compared to $0.4 million for the same prior year period, a decrease of $0.3 million, or 82%. The decrease was primarily due to a reduction in outstanding debt balances.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effective tax rate for the three months ended March 31, 2012 was 37%, including the impact of discreet benefit items, compared to 45% for the three months ended March 31, 2011. The decrease in our effective tax rate was primarily attributable to the use of a single sales factor for California state income tax apportionment. The difference between the consolidated effective income tax rate and the U.S. federal statutory rate is primarily attributable to the effect of certain permanent differences and state income taxes.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March 31, 2012, we had $101.6 million of cash and cash equivalents and $150.5 million in short-term investments. In September 2011, we completed a follow-on offering of our common stock, in which we sold and issued 1,400,000 shares of common stock. The shares were sold by the underwriters at a price of $20.49 per share, and we received proceeds of $27.4 million after deducting underwriting discounts and commissions. In connection with this offering, we incurred offering costs of $0.5 million. In May 2011, we completed our initial public offering in which we sold and issued 9,065,000 shares of common stock, including 634,565 shares issued pursuant to an over-allotment option granted to the underwriters. The shares were sold by the underwriters at a price of $19.00 per share and we received proceeds of $160.2 million after deducting underwriting discounts and commissions. We incurred offering costs of $2.9 million. Prior to the initial public offering, substantially all of our operations and patent asset acquisitions had been financed through the private sale of equity securities, subscription fees collected from our clients and patent-seller financing.</w:t>
      </w:r>
    </w:p>
    <w:p>
      <w:pPr>
        <w:spacing w:after="0" w:line="118" w:lineRule="exact"/>
        <w:rPr>
          <w:sz w:val="20"/>
          <w:szCs w:val="20"/>
          <w:color w:val="auto"/>
        </w:rPr>
      </w:pPr>
    </w:p>
    <w:p>
      <w:pPr>
        <w:ind w:right="420" w:firstLine="456"/>
        <w:spacing w:after="0" w:line="335" w:lineRule="auto"/>
        <w:rPr>
          <w:sz w:val="20"/>
          <w:szCs w:val="20"/>
          <w:color w:val="auto"/>
        </w:rPr>
      </w:pPr>
      <w:r>
        <w:rPr>
          <w:rFonts w:ascii="Arial" w:cs="Arial" w:eastAsia="Arial" w:hAnsi="Arial"/>
          <w:sz w:val="15"/>
          <w:szCs w:val="15"/>
          <w:color w:val="auto"/>
        </w:rPr>
        <w:t>On March 30, 2012, we entered into a number of agreements with Digitude Innovations, LLC, Preservation Technologies LLC, and Robert and Susan Kramer. The agreements were subject to closing conditions that were satisfied on April 19, 2012. Pursuant to these agreements, we paid $45.8 million and purchased (i) certain patents and patent rights and (ii) all of the issued and outstanding membership interests in Altitude Capital Management LLC.</w:t>
      </w:r>
    </w:p>
    <w:p>
      <w:pPr>
        <w:spacing w:after="0" w:line="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our existing cash, cash equivalents, short-term investments and contractual payments due to us from existing clients will be sufficient to meet our working capital and capital expenditure needs for the foreseeable future. Our future capital needs will depend on many factors, including, among other things, our acquisition of patent assets, addition and renewal of clients, development of new solutions and performance of general and administrative activities. We anticipate an increased level of patent acquisition spending as our business grows.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a public company, we incur costs that we had not previously incurred prior to our initial public offering, including, but not limited to, costs and expenses for directors fees, increased directors and officers insurance, investor relations fees, expenses for compliance with the Sarbanes-Oxley Act of 2002 and rules implemented by the SEC and The Nasdaq Global Market, on which our common stock is listed, and various other costs. The Sarbanes-Oxley Act of 2002 requires that we maintain effective disclosure controls and procedures and internal control over financial reporting.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(34,141)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(34,625)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Decrease in cash and cash equivalents</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180" w:type="dxa"/>
            <w:vAlign w:val="bottom"/>
            <w:gridSpan w:val="2"/>
          </w:tcPr>
          <w:p>
            <w:pPr>
              <w:jc w:val="right"/>
              <w:ind w:right="3"/>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(5,180)</w:t>
            </w:r>
          </w:p>
        </w:tc>
        <w:tc>
          <w:tcPr>
            <w:tcW w:w="5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(4,803)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Cash provided by operating activities primarily consists of net income adjusted for certain non-cash items including depreciation, amortization, stock-based compensation and the effect of changes in working capital and other activities. Cash provided by operating activities for the three months ended March 31, 2012 was $26.0 million, consisting of: net income of $8.1 million; adjustments for non-cash items of $17.0 million primarily due to $18.1 million of depreciation and amortization, $2.5 million of stock-based compensation and reduction of $4.5 million due to excess tax benefit from stock-based compensation; and changes in working capital and non-current assets and liabilities totaling $0.9 million primarily from a $9.7 million decrease in accounts receivable, a $5.0 million decrease in accrued liabilities and a $2.5 million decrease in deferred revenue. The decrease in deferred revenue is due to $44.1 million of net revenue and other adjustments recorded during the period and partially offset by revenue billings to new and existing clients of $41.6 million. The amount of deferred revenue in any given period varies with the addition of new clients, the mix of payment terms that we offer and the timing of invoicing existing clients.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Cash provided by operating activities for the three months ended March 31, 2011 was $39.6 million consisting of net income of $6.7 million, adjustments for non-cash items of $15.0 million and changes in working capital and non-current assets and liabilities totaling $17.9 million. The change in working capital resulted primarily from a decrease in accounts receivable of $11.9 million and an increase in deferred revenue of $10.2 million. The increase in deferred revenue consists of $44.6 million, net of adjustments, billed to our clients offset by revenue recognized of $34.4 million for the three months ended March 31, 2011. The increase in deferred revenue is due to annual subscription billings and the growth in our membership to 81 clients as of March 31, 2011 from 72 clients as of December 31, 2010.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Cash used in investing activities primarily consists of acquisitions of patent assets and purchases of short-term marketable securities classified as available-for-sale. Net cash used in investing activities for the three months ended March 31, 2012 was $34.1 million, of which $21.4 million represented net purchases of short-term investments, $12.5 million represented our acquisitions of patent assets and $0.9 million represented acquisitions of property and equipment. We expect our cash used in investing activities to increase in the future as we acquire additional patents.</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Cash used by investing activities for the three months ended March 31, 2011 was $34.6 million, of which $19.1 million represented our acquisition of patent assets, net and $15.1 million represented our acquisition of investments.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cash provided by financing activities for the three months ended March 31, 2012 was $3.0 million. Net cash provided by financing activities during the three months ended March 31, 2012 was due to $4.5 million excess tax benefit from stock-based compensation, $1.7 million proceeds from exercise of stock options and partially offset by $3.3 million of deferred payment obligations.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used by financing activities for the three months ended March 31, 2011 was $9.8 million, primarily from the repayment of our debt obligations.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generally do not enter into long-term minimum purchase commitments. Our principal commitments consist of obligations under leases for office space. Commitments to settle contractual obligations in cash under operating leases and other obligations have not changed significantly from the “Commitments and Contingencies” table included in our Annual Report on Form 10-K for the fiscal year ended December 31, 2011, except for the following agreement entered into during the three months ended March 31, 2012.</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March 2012, we entered into an amended lease agreement to increase our San Francisco, California office space to approximately 67,000 total square feet from May 2013 through October 2019. The monthly base rent payments pursuant to this lease will initially be approximately $0.3 million per month, increasing to approximately $0.4 million per month. Total future non-cancelable minimum lease payments will be $26.1 million.</w:t>
      </w:r>
    </w:p>
    <w:p>
      <w:pPr>
        <w:spacing w:after="0" w:line="10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March 2012, we entered into a commitment to purchase certain patent assets for total cash consideration of $6.0 million. The purchase commitment is contingent upon several closing conditions which must occur on or before May 30, 2012, and as such, no amount has been recorded in the consolidated balance sheet at March 31,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were no substantial changes to our guarantee and indemnification obligations or other off balance sheet arrangements during the three months ended March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In June 2011, the FASB issued ASU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or ASU 2011-05, which requires companies to present the components of net income and other comprehensive income either in a single continuous statement or in two separate but consecutive statements. ASU 2011-05 eliminates the option to present components of other comprehensive income as part of the statement of changes in stockholders’ equity. ASU 2011-05 does not change the items which must be reported in other comprehensive income, how such items are measured or when they must be reclassified to net income. Additionally, ASU 2011-05 does not affect the calculation or reporting of earnings per share. On January 1, 2012, we adopted this ASU and elected to present the two-statement option. Other than the change in presentation, the adoption of this ASU had no impact on our financial position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other international offices are located. Our results of operations and cash flows are therefore subject to fluctuations due to changes in foreign currency exchange rates, particularly changes in the Japanese Yen relative to the U.S. Dollar. To date, we have not entered into any foreign currency hedging contracts.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had cash, cash equivalents, restricted cash and short-term investments of $252.1 million as of March 31, 2012. Our unrestricted cash balances deposited in U.S. banks are non-interest bearing and insured up to the FDIC limits. Cash equivalents consist of institutional money market funds, U.S. Government and agency securities, municipal bonds and commercial paper denominated primarily in U.S. Dollars. Interest rate fluctuations affect the returns in our invested funds. Unrestricted cash and cash equivalents are held for working capital purposes and restricted cash amounts are held as security against various lease obligations.</w:t>
      </w:r>
    </w:p>
    <w:p>
      <w:pPr>
        <w:spacing w:after="0" w:line="9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March 31, 2012, our short-term investments of $150.5 million were primarily invested in U.S. Government and Agency securities, commercial paper and corporate and municipal bonds maturing between 90 days and 12 months. As of March 31, 2012, our investments were classified as available-for-sale and, consequently, were recorded at fair value in the consolidated balance sheets with unrealized gains or losses reported as a separate component of stockholders’ equity. We review our investments for impairment when events and circumstances indicate that a decline in fair value of such assets below its carrying value is other-than-temporary. As of March 31, 2012, we had not recorded an impairment related to our investments in the consolidated statement of operations.</w:t>
      </w:r>
    </w:p>
    <w:p>
      <w:pPr>
        <w:spacing w:after="0" w:line="1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If overall interest rates had changed by 10% during the three months ended March 31, 2012, the fair value of our investments would not have been materially affected.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believe that inflation has not had a material impact on our consolidated results of operations for the three months ended March 31, 2012. There can be no assurance that future inflation will not have an adverse impact on our consolidated results of operations or financial condition.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We do not have material exposure to market risk with respect to investments, as our investments consist primarily of highly liquid investments that approximate their fair values due to their short period of time to maturity. We do not use derivative financial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Based on the evaluation of our disclosure controls and procedures as of March 31, 2012, our Chief Executive Officer and Chief Financial Officer have concluded that, as of such date, our disclosure controls and procedures were effective at the reasonable assurance level.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as specified above. Our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of our control issues and instances of fraud, if any, have been detected.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quarterly report that has materially affected, or is reasonably likely to materially affect, our internal control over financial reporting.</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240" w:top="459" w:right="6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12 to our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 The risks described below are not the only risks facing us. Risks and uncertainties not currently known to us or that we currently deem to be immaterial also may materially adversely affect our business, financial condition and operating results. When making your investment decision, you should also refer to the other information set forth in this Form 10-Q, including our consolidated financial statements and the related notes, and our Annual Report on Form 10-K filed with the SEC on March 26, 2012.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in the future of our business model. If companies do not continue to subscribe to our solution, our business and operating results will be adversely affected.</w:t>
      </w:r>
    </w:p>
    <w:p>
      <w:pPr>
        <w:spacing w:after="0" w:line="5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were incorporated in July 2008. We acquired our first patent assets in September 2008 and sold our first membership in October 2008. Therefore, we have not only a very limited operating history, but also a very limited track record in executing our business model. Our future success depends on acceptance of our solution by companies we target to become clients. Our efforts to sell our solution to new companies may not continue to be successful. In particular, because we are a relatively new company with a limited operating history, companies may have concerns regarding our viability.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makes our future operating results difficult to predict and could cause our operating results to fall below expectations.</w:t>
      </w:r>
    </w:p>
    <w:p>
      <w:pPr>
        <w:spacing w:after="0" w:line="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and the timing of those acquisitions may result in significant quarterly fluctuations in our capital expenditures,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factors described above, other factors that may affect our operating results include:</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and the costs of new business initiatives;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operating expenses attributable to the formation and management of our risk retention group;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subscription fee rates or the pricing policies of our competitors;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lengthy and unpredictable membership sales cycle, including delays in potential clients’ decisions whether to subscribe to our solution;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lower subscription fees from clients where the annual subscription fee decreases due to declining operating income or revenue of such clients;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5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spacing w:after="0" w:line="4"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our operating results in a particular quarter do not meet the expectations of securities analysts or investors, our stock price could be substantially affected.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particular, if our operating results fall below expectations, our stock price could decline substantially.</w:t>
      </w:r>
    </w:p>
    <w:p>
      <w:pPr>
        <w:spacing w:after="0" w:line="24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market for our patent risk management solution is immature, and if our solution is not widely accepted or is accepted more slowly than we expect, our operating results will be adversely affected.</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new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37"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assertions from NPEs or decreased patent licensing fees owed to NPEs;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113"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 perpetual licenses in all patent assets that they believe are materially relevant to their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sufficient interest by mid- and small-sized companies in our solution;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have limited experience with respect to our subscription pricing model, and if the prices we charge for memberships are unacceptable to our existing or potential clients, our revenue and operating results could experience volatility or decline.</w:t>
      </w:r>
    </w:p>
    <w:p>
      <w:pPr>
        <w:spacing w:after="0" w:line="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have limited experience with respect to determining the appropriate metrics for establishing the annual subscription fees for our patent risk management solution. If the market for our solution fails to develop or develops more slowly than we anticipate, or if competitors introduce new solutions that compete with ours, we may be unable to renew our memberships or attract new clients at favorable prices based on the same pricing model we have historically used. In the future, it is possible that competitive dynamics in our market may require us to change our pricing model or reduce our subscription fee rates, which could harm our operating results. If we introduce a higher fee schedule in the future, it may be more difficult for us to attract new clients. In order to attract clients, in certain cases we have previously offered, and may in the future offer, discounts or other contractual incentives to clients who execute multi-year subscription agreements or who make client referrals.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very limited flexibility to change the pricing of our solution for existing clients and may not be able to respond effectively to changes in our market.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limited flexibility could have an adverse effect on our operating results.</w:t>
      </w:r>
    </w:p>
    <w:p>
      <w:pPr>
        <w:spacing w:after="0" w:line="8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our subscription agreements, our annual subscription fee is based on a published fee schedule applicable to all of our clients that join our network while that fee schedule is in effect. Clients are able to renew their memberships perpetually under the fee schedule in effect at the time that they joined our network with periodic adjustments by us only based on changes in the Consumer Price Index. This means that any increases to our fee schedule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99" w:lineRule="exact"/>
        <w:rPr>
          <w:sz w:val="20"/>
          <w:szCs w:val="20"/>
          <w:color w:val="auto"/>
        </w:rPr>
      </w:pPr>
    </w:p>
    <w:p>
      <w:pPr>
        <w:ind w:right="520"/>
        <w:spacing w:after="0" w:line="35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ind w:firstLine="456"/>
        <w:spacing w:after="0" w:line="291" w:lineRule="auto"/>
        <w:rPr>
          <w:sz w:val="20"/>
          <w:szCs w:val="20"/>
          <w:color w:val="auto"/>
        </w:rPr>
      </w:pPr>
      <w:r>
        <w:rPr>
          <w:rFonts w:ascii="Arial" w:cs="Arial" w:eastAsia="Arial" w:hAnsi="Arial"/>
          <w:sz w:val="16"/>
          <w:szCs w:val="16"/>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20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The success of our business will increasingly depend on clients renewing their subscription agreements, but we do not have an adequate operating history to predict the rate of membership renewals. Any significant decline in our membership renewals could harm our operating results.</w:t>
      </w:r>
    </w:p>
    <w:p>
      <w:pPr>
        <w:spacing w:after="0" w:line="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March 31, 2012 was 2.8 years. As our overall membership base grows, we expect our renewal rate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18"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Upon initial subscription, our clients receive a term license for the period of their membership to the patent assets in our portfolio at the time of subscription. In addition, clients receive term licenses to substantially all of the patent assets we acquire during the period of their membership. Our subscription agreements also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in all patent assets they believe are materially relevant to their businesses.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b w:val="1"/>
          <w:bCs w:val="1"/>
          <w:i w:val="1"/>
          <w:iCs w:val="1"/>
          <w:color w:val="auto"/>
        </w:rPr>
        <w:t>Our subscription agreements generally provide our clients with a right to terminate their membership if we fail to meet certain conditions. If we fail to meet those conditions and clients elect to terminate their subscription agreements, our operating results will be harmed.</w:t>
      </w:r>
    </w:p>
    <w:p>
      <w:pPr>
        <w:spacing w:after="0" w:line="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Until recently, our form of subscription agreement provided that we will use commercially reasonable efforts to spend at least a specified minimum amount each year to acquire patent assets related broadly to information technology. If we fail to meet this standard, the clients whose agreements contain this provision have the right to terminate their memberships. If we fail to meet these provisions and clients elect to terminate their memberships, our operating results will be harmed.</w:t>
      </w:r>
    </w:p>
    <w:p>
      <w:pPr>
        <w:spacing w:after="0" w:line="22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9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client’s subscription fee is reset yearly based on its reported revenue and operating income measured as of the end of its last fiscal year. If a client who is not already paying the minimum due under our fee schedule experiences reduced operating results, its subscription fee for the next year will decline. As a result, our revenue stream is affected by conditions outside of our control that impact the operating results of our clients.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fee schedule is capped for each of our clients. As a result, if one of our clients acquires another client, our future revenue would be reduced as a result of our fee schedule being applied to the combined entity rather than to each entity separately. Any reduction in subscription fees could harm our business and operating results.</w:t>
      </w:r>
    </w:p>
    <w:p>
      <w:pPr>
        <w:spacing w:after="0" w:line="22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51" w:lineRule="exact"/>
        <w:rPr>
          <w:sz w:val="20"/>
          <w:szCs w:val="20"/>
          <w:color w:val="auto"/>
        </w:rPr>
      </w:pPr>
    </w:p>
    <w:p>
      <w:pPr>
        <w:ind w:right="80" w:firstLine="456"/>
        <w:spacing w:after="0" w:line="308" w:lineRule="auto"/>
        <w:rPr>
          <w:sz w:val="20"/>
          <w:szCs w:val="20"/>
          <w:color w:val="auto"/>
        </w:rPr>
      </w:pPr>
      <w:r>
        <w:rPr>
          <w:rFonts w:ascii="Arial" w:cs="Arial" w:eastAsia="Arial" w:hAnsi="Arial"/>
          <w:sz w:val="15"/>
          <w:szCs w:val="15"/>
          <w:color w:val="auto"/>
        </w:rPr>
        <w:t>If Congress, the United States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the number of defendants that can be joined in a single patent litigation action,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to our business and operating results.</w:t>
      </w:r>
    </w:p>
    <w:p>
      <w:pPr>
        <w:spacing w:after="0" w:line="1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5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07"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If clients do not perceive that the patent assets we acquire are relevant to their businesses, we will have difficulty attracting new clients and renewing existing clients, and our operating results will be harmed. Similarly, if clients are not satisfied with the amount we deploy to acquire patent assets, they may choose not to renew their subscriptions. These risks are greater if we elect to invest a significant amount of our capital in only a few acquisitions of patent assets.</w:t>
      </w:r>
    </w:p>
    <w:p>
      <w:pPr>
        <w:spacing w:after="0" w:line="16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include other entities that seek to accumulate patent assets, including NPEs such as Acacia Research, Coller IP, Intellectual Ventures, Millennium Partners and Rembrandt IP Management, along with patent-buying consortiums such as Allied Security Trust. Many of our current or potential competitors have longer operating histories, greater name recognition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current or potential competitors vary widely in size and in the scope and breadth of the products and services they offer. Many of our competitors have greater financial resources and a larger customer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of patent assets are time consuming, complex and costly, which could adversely affect our operating results.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acquisitions of patent assets are time consuming, complex and costly to consummate. We utilize many different transaction structures in our acquisitions and the terms of the acquisition agreements tend to be very heavily negotiated. As a result, we incur significant operating expenses during the negotiations even where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occasionally identify patent assets that cost more than we are prepared to spend with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structured acquisitions are complex and can be large and high profile. We may incur significant costs to organize and negotiate a structured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have to spend considerable time and expense defending our position and we may be unable to successfully defend our accounting or tax treatment, any of which could adversely affect our business and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plan to substantially increase our operating expenses to expand our operations, and those increased expenses may negatively impact our profitability.</w:t>
      </w:r>
    </w:p>
    <w:p>
      <w:pPr>
        <w:spacing w:after="0" w:line="1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expect to significantly increase future expenditures to develop and expand our business, including making substantial expenditures to acquire patent assets and develop new solutions. To further one of those new solutions, we formed a risk retention group which will issue insurance policies to cover the costs of NPE patent claims. Developing and offering this new solution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also plan to incur additional operating expenses as we hire new personnel, including employees for client relations, patent research and analysis, development of reporting systems and general and administrative functions. From January 1 through March 31, 2012, our headcount grew from 110 to 125 employees. Because we intend to continue to hire aggressively, we expect our operating expenses to increase substantially. In addition, as a public company, we incur significant legal, accounting and other expenses that we did not incur as a private company. If we are not successful in generating additional revenue that is sufficient to offset these operating expense increases, our operating results may be harmed.</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mid- and small-size companies, we may not be able to maintain our growth and our business and results of operations may be harmed.</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of our current clients are very large companies. The number of companies of that size is limited, so in order for us to continue our growth, we need to expand our membership base to include mid- and small-size companies. There is no guarantee that we will be successful in those efforts. Those companies often have more limited budgets available for solutions of the type we offer compared to larger companies. Those companies may also request solutions that we do not currently offer. They may also have concerns that we will focus our patent acquisition efforts on patent assets that are of more benefit to our larger clients who pay us higher subscription fees. If we are unable to successfully expand our membership base to include more mid- and small-size companies, our growth may slow, and our business may be harmed.</w:t>
      </w:r>
    </w:p>
    <w:p>
      <w:pPr>
        <w:spacing w:after="0" w:line="20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5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three months ended March 31, 2012, our 10 highest revenue generating clients accounted for approximately 29% of our total revenue. We expect that a significant portion of our revenue will continue to come from a relatively small number of clients for the foreseeable future. If any of these clients chooses not to renew its membership, or if our subscription fees from a client decline, our revenue may correspondingly decrease and our operating results may be adversely affected.</w:t>
      </w:r>
    </w:p>
    <w:p>
      <w:pPr>
        <w:spacing w:after="0" w:line="1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51"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 We have established a risk retention group to offer insurance to our clients to help manage their exposure to patent infringement claims brought by NPEs. We are also currently developing programs to facilitate joint defense agreements and cross-licensing arrangements among clients that pay us additional fees to participate in those arrangements.</w:t>
      </w:r>
    </w:p>
    <w:p>
      <w:pPr>
        <w:spacing w:after="0" w:line="10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b w:val="1"/>
          <w:bCs w:val="1"/>
          <w:i w:val="1"/>
          <w:iCs w:val="1"/>
          <w:color w:val="auto"/>
        </w:rPr>
        <w:t>We are investing significant management time and resources into developing products designed to provide insurance against NPE patent claims. We do not have prior experience in designing or providing insurance products. If we are not successful in launching and selling these insurance products, we will not realize the anticipated benefit of these investments, which could have an adverse effect on our growth prospects and our business may be harmed.</w:t>
      </w:r>
    </w:p>
    <w:p>
      <w:pPr>
        <w:spacing w:after="0" w:line="7"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We are investing a significant amount of management time and financial resources in the development of products designed to provide insurance against NPE patent claims. We have provided capital to develop and initially operate this business. We do not have prior experience in designing insurance products, forming or operating an insurance business, attracting policyholders or establishing the pricing or terms of insurance policies. We cannot assure you that our patent insurance products will appeal to a significant number of our existing clients or attract new clients. If we are unsuccessful in implementing this business, we may not realize the anticipated benefits of our investments of capital and management attention, which could have an adverse effect on our financial performance and growth prospects and our business may be harmed.</w:t>
      </w:r>
    </w:p>
    <w:p>
      <w:pPr>
        <w:spacing w:after="0" w:line="201"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Following the launch of insurance products for NPE patent claims, we now face the risks associated with operating an insurance business. If we fail to manage these risks, our results of operations and financial condition may be adversely affected.</w:t>
      </w:r>
    </w:p>
    <w:p>
      <w:pPr>
        <w:spacing w:after="0" w:line="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now offer insurance products for NPE patent claims, and therefore face new risks associated with the operation of an insurance business. We have no prior experience in operating an insurance business, which includes assuming underwriting risk and setting premiums. There are many estimates and forecasts involved in predicting underwriting risk and setting premiums, many of which are subject to substantial uncertainty. If we do not estimate our underwriting risks and set our premiums successfully, we may incur larger losses on our policies than we expect, which could have an adverse effect on our results of operations and financial condition.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20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We have experienced rapid growth in recent periods, and we plan to continue to grow our operations to support our current solution and the development of new solutions. If we fail to manage our growth effectively, we may be unable to execute our business plan, maintain high levels of service or address competitive challenges adequately.</w:t>
      </w:r>
    </w:p>
    <w:p>
      <w:pPr>
        <w:spacing w:after="0" w:line="5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substantially expanded our overall business, headcount and operations in recent periods. We plan to expand our operations and headcount in the future in order to support our efforts to increase our membership base, continue to acquire valuable patent assets and develop additional solutions. Further, increases in our membership base could challenge our ability to provide satisfactory service and support to our clients. In addition, we will be required to continue to improve our operational, financial and management controls and our reporting procedures. As a result, we may be unable to manage our business effectively in the future, which may negatively impact our operating results.</w:t>
      </w:r>
    </w:p>
    <w:p>
      <w:pPr>
        <w:spacing w:after="0" w:line="22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5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224" w:lineRule="exact"/>
        <w:rPr>
          <w:sz w:val="20"/>
          <w:szCs w:val="20"/>
          <w:color w:val="auto"/>
        </w:rPr>
      </w:pPr>
    </w:p>
    <w:p>
      <w:pPr>
        <w:ind w:right="260"/>
        <w:spacing w:after="0" w:line="357" w:lineRule="auto"/>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 It could also require us to disclose information related to our clients, which could cause such clients not to renew their subscriptions with us.</w:t>
      </w:r>
    </w:p>
    <w:p>
      <w:pPr>
        <w:ind w:right="140" w:firstLine="456"/>
        <w:spacing w:after="0" w:line="286" w:lineRule="auto"/>
        <w:rPr>
          <w:sz w:val="20"/>
          <w:szCs w:val="20"/>
          <w:color w:val="auto"/>
        </w:rPr>
      </w:pPr>
      <w:r>
        <w:rPr>
          <w:rFonts w:ascii="Arial" w:cs="Arial" w:eastAsia="Arial" w:hAnsi="Arial"/>
          <w:sz w:val="16"/>
          <w:szCs w:val="16"/>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For example, on March 7, 2012, a complaint was filed against the Company and some of its clients (the “Defendants”). The complaint alleges that the Defendants violated federal antitrust law, California antitrust law and California unfair competition law. The plaintiff seeks unspecified monetary damages and injunctive relief. Because the case is at a very early stage, the Company is not currently able to determine whether there is a reasonable possibility that a loss will be incurred nor can it estimate the range of the potential loss that may result from this litigation. We may incur significant costs in defending this claim and the result may not be favorable. An unfavorable outcome of this claim could result in proliferation of similar claims against us. The expense and disclosure associated with our involvement in litigation could have an adverse effect on our business, prospects, financial condition and operating results.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2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6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business is dependent on our ability to acquire patent assets that are valuable to our existing and potential clients. Following the acquisition of patent assets, we spend significant time and resources to maintain the effectiveness of those assets by paying maintenance fees and making filings with the United States Patent and Trademark Office. In some cases, the patent assets we acquire include patent applications which require us to spend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9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2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future success depends on our ability to identify, attract, train, integrate and retain highly qualified technical, sales and marketing, managerial and administrative personnel. In particular, our ability to grow our revenue is dependent on our ability to hire personnel that can identify and acquire valuable patent assets and sign up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5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20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may not be able to integrate the acquired personnel, operations and technologies successfully or effectively manage the combined business following the completion of the acquisition.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also not achieve the anticipated benefits from a business acquisition due to a number of factors, including:</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additional legal, financial and accounting challenges and complexities in areas such as tax planning, cash management and financial reporting;</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addition, if an acquired business fails to meet our expectations, our operating results, business and financial condition may suffer.</w:t>
      </w:r>
    </w:p>
    <w:p>
      <w:pPr>
        <w:spacing w:after="0" w:line="24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have incurred significant increased costs as a result of operating as a public company, and our management will be required to devote substantial time to compliance efforts.</w:t>
      </w:r>
    </w:p>
    <w:p>
      <w:pPr>
        <w:spacing w:after="0" w:line="5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As a public company, we have incurred significant legal, accounting, investor relations and other expenses that we did not incur as a private company, including costs associated with public company reporting requirements. The Sarbanes-Oxley Act and the Dodd-Frank Wall Street Reform and Consumer Protection Act, as well as rules subsequently implemented by the SEC and The Nasdaq Stock Market, impose additional requirements on public companies, including enhanced corporate governance practices. For example, the listing requirements for The Nasdaq Stock Market provide that listed companies must satisfy, among other things, certain corporate governance requirements relating to independent directors, audit committees, distribution of annual and interim reports, stockholder meetings, stockholder approvals, solicitation of proxies, conflicts of interest, stockholder voting rights and codes of business conduct. Our management and other personnel devote a substantial amount of time to satisfying these requirements. Moreover, these rules and regulations have increased our legal and financial compliance costs and have made some activities more time consuming and costly.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of December 31, 2012,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need to hire additional accounting and financial staff, improve our existing controls and implement new processes. We cannot be certain that our actions to improve our internal controls over financial reporting will be sufficient, or that we will be able to implement our planned processes and procedures in a timely manner. Moreover, if we are not able to comply with the requirements of Section 404 in a timely manner, or if we or our independent registered public accounting firm identify deficiencies in our internal control over financial reporting that are deemed to be material weaknesses, investors could lose confidence in the reliability of our financial statements, which could cause the market price of our common stock to decline. In addition, a delay in compliance with Section 404 could subject us to sanctions or investigations by The Nasdaq Stock Market, the SEC or other regulatory authorities, make us ineligible for short form registrations or result in the inability of registered broker-dealers to make a market in our common stock, any of which could further reduce our stock price and could harm our business.</w:t>
      </w:r>
    </w:p>
    <w:p>
      <w:pPr>
        <w:spacing w:after="0" w:line="124"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Furthermore, implementing any appropriate changes to our internal control over financial reporting may entail substantial costs in order to modify our existing accounting systems, may take a significant period of time to complete and may distract our officers, directors and employees from the operation of our business. These changes, however, may not be effective in maintaining the adequacy of our internal control over financial reporting, and any failure to maintain that adequacy, or consequent inability to produce accurate financial statements on a timely basis, could increase our operating costs and could materially impair our ability to operate our business. In addition, investors’ perceptions that our internal control over financial reporting is inadequate or that we are unable to produce accurate financial statements may adversely affect our stock price. While neither we nor our independent registered public accounting firm have identified deficiencies in our internal control over financial reporting that are deemed to be material weaknesses, there can be no assurance that material weaknesses will not subsequently be identified.</w:t>
      </w:r>
    </w:p>
    <w:p>
      <w:pPr>
        <w:spacing w:after="0" w:line="19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may have an effect on our reported results of operations.</w:t>
      </w:r>
    </w:p>
    <w:p>
      <w:pPr>
        <w:spacing w:after="0" w:line="51"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A change in accounting standards or practices could have a significant effect on our reported results and may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vary as a result of the methods, estimates and judgments we use in applying our accounting policies.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20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$11.97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62"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three largest stockholders and our directors and executive officers, in the aggregate, own approximately 60% of our outstanding common stock and will be able to exercise substantial control over all matters requiring stockholder approval. This concentration of ownership limits your ability to influence corporate matters.</w:t>
      </w:r>
    </w:p>
    <w:p>
      <w:pPr>
        <w:spacing w:after="0" w:line="5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As of March 31, 2012, affiliates of Index Ventures, affiliates of Charles River Ventures and KPCB Holdings, Inc. each beneficially own approximately 14%, 15% and 15%, respectively, of our outstanding common stock, and our directors and executive officers and their affiliates, in the aggregate, beneficially own an additional 16% of our outstanding common stock. As a result, these stockholders will be able to exercise substantial control over all matters requiring stockholder approval, including the election of directors and approval of significant corporate transactions, such as a merger or other sale of our company or its assets. This concentration of ownership will limit your ability to influence corporate matters and may have the effect of delaying or preventing a third party from acquiring control over us. In addition, each of Index Ventures, Charles River Ventures and KPCB Holdings, Inc. currently has a representative on our Board of Directors.</w:t>
      </w:r>
    </w:p>
    <w:p>
      <w:pPr>
        <w:spacing w:after="0" w:line="22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If securities analysts do not continue to publish research or publish unfavorable research about our business, our stock price and trading volume could decline.</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analysts publish about us or our business. A limited number of securities analysts currently publish research reports on us. If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5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If our existing stockholders, particularly our directors and executive officers and the venture capital funds affiliated with our current directors, sell substantial amounts of our common stock in the public market, or are perceived by the public market as intending to sell substantial amounts of our common stock, the trading price of our common stock could decline.</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As of March 31, 2012, some of our existing stockholders have demand and piggyback rights to require us to register with the SEC approximately 29,100,000 shares of our common stock. If we register these shares of common stock, the stockholders would be able to sell those shares freely in the public market.</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21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5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the past, following periods of volatility in the overall market and the market price of particular companies securities, securities class action litigation has been instituted against these companies. Since our initial public offering, our stock has been volatile and may continue to be volatile. If instituted against us, securities litigation could result in substantial costs and a diversion of our management’s attention and resources.</w:t>
      </w:r>
    </w:p>
    <w:p>
      <w:pPr>
        <w:spacing w:after="0" w:line="18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35"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5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45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exhibits are filed herewith:</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1"/>
        </w:trPr>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820" w:type="dxa"/>
            <w:vAlign w:val="bottom"/>
          </w:tcPr>
          <w:p>
            <w:pPr>
              <w:spacing w:after="0"/>
              <w:rPr>
                <w:sz w:val="14"/>
                <w:szCs w:val="14"/>
                <w:color w:val="auto"/>
              </w:rPr>
            </w:pPr>
          </w:p>
        </w:tc>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Title</w:t>
            </w:r>
          </w:p>
        </w:tc>
      </w:tr>
      <w:tr>
        <w:trPr>
          <w:trHeight w:val="20"/>
        </w:trPr>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29"/>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rPr>
              <w:t>Amended and Restated Certificate of Incorporation of RPX Corporation</w:t>
            </w: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rPr>
              <w:t>Amended and Restated Bylaws of RPX Corporation</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24"/>
                <w:szCs w:val="24"/>
                <w:color w:val="auto"/>
              </w:rPr>
            </w:pP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w w:val="89"/>
              </w:rPr>
              <w:t>Certification of Chief Executive Officer Pursuant to Rule 13-14(a) of the Securities</w:t>
            </w:r>
          </w:p>
        </w:tc>
      </w:tr>
      <w:tr>
        <w:trPr>
          <w:trHeight w:val="216"/>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w w:val="89"/>
              </w:rPr>
              <w:t>Exchange Act of 1934 as Adopted Pursuant to Section 302 of the Sarbanes-Oxley</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rPr>
              <w:t>Act of 2002.</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24"/>
                <w:szCs w:val="24"/>
                <w:color w:val="auto"/>
              </w:rPr>
            </w:pP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w w:val="90"/>
              </w:rPr>
              <w:t>Certification of Chief Financial Officer Pursuant to Rule 13-14(a) of the Securities</w:t>
            </w:r>
          </w:p>
        </w:tc>
      </w:tr>
      <w:tr>
        <w:trPr>
          <w:trHeight w:val="216"/>
        </w:trPr>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w w:val="89"/>
              </w:rPr>
              <w:t>Exchange Act of 1934 as Adopted Pursuant to Section 302 of the Sarbanes-Oxley</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rPr>
              <w:t>Act of 2002.</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24"/>
                <w:szCs w:val="24"/>
                <w:color w:val="auto"/>
              </w:rPr>
            </w:pP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w w:val="93"/>
              </w:rPr>
              <w:t>Certification of Chief Executive Officer Pursuant to 18 U.S.C. Section 1350, as</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32.2</w:t>
            </w:r>
          </w:p>
        </w:tc>
        <w:tc>
          <w:tcPr>
            <w:tcW w:w="520" w:type="dxa"/>
            <w:vAlign w:val="bottom"/>
          </w:tcPr>
          <w:p>
            <w:pPr>
              <w:spacing w:after="0"/>
              <w:rPr>
                <w:sz w:val="24"/>
                <w:szCs w:val="24"/>
                <w:color w:val="auto"/>
              </w:rPr>
            </w:pP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w w:val="94"/>
              </w:rPr>
              <w:t>Certification of Chief Financial Officer Pursuant to 18 U.S.C. Section 1350, as</w:t>
            </w:r>
          </w:p>
        </w:tc>
      </w:tr>
      <w:tr>
        <w:trPr>
          <w:trHeight w:val="222"/>
        </w:trPr>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Instance Document</w:t>
            </w: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1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87"/>
              </w:rPr>
              <w:t>Incorporated by Reference</w:t>
            </w:r>
          </w:p>
        </w:tc>
        <w:tc>
          <w:tcPr>
            <w:tcW w:w="5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Provided</w:t>
            </w: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jc w:val="right"/>
              <w:ind w:right="42"/>
              <w:spacing w:after="0" w:line="129" w:lineRule="exact"/>
              <w:rPr>
                <w:sz w:val="20"/>
                <w:szCs w:val="20"/>
                <w:color w:val="auto"/>
              </w:rPr>
            </w:pPr>
            <w:r>
              <w:rPr>
                <w:rFonts w:ascii="Arial" w:cs="Arial" w:eastAsia="Arial" w:hAnsi="Arial"/>
                <w:sz w:val="14"/>
                <w:szCs w:val="14"/>
                <w:b w:val="1"/>
                <w:bCs w:val="1"/>
                <w:color w:val="auto"/>
              </w:rPr>
              <w:t>Filing</w:t>
            </w:r>
          </w:p>
        </w:tc>
        <w:tc>
          <w:tcPr>
            <w:tcW w:w="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 File No.</w:t>
            </w:r>
          </w:p>
        </w:tc>
        <w:tc>
          <w:tcPr>
            <w:tcW w:w="380" w:type="dxa"/>
            <w:vAlign w:val="bottom"/>
          </w:tcPr>
          <w:p>
            <w:pPr>
              <w:spacing w:after="0"/>
              <w:rPr>
                <w:sz w:val="14"/>
                <w:szCs w:val="14"/>
                <w:color w:val="auto"/>
              </w:rPr>
            </w:pP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No.</w:t>
            </w:r>
          </w:p>
        </w:tc>
        <w:tc>
          <w:tcPr>
            <w:tcW w:w="4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Date</w:t>
            </w:r>
          </w:p>
        </w:tc>
        <w:tc>
          <w:tcPr>
            <w:tcW w:w="4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Herewith</w:t>
            </w:r>
          </w:p>
        </w:tc>
        <w:tc>
          <w:tcPr>
            <w:tcW w:w="0" w:type="dxa"/>
            <w:vAlign w:val="bottom"/>
          </w:tcPr>
          <w:p>
            <w:pPr>
              <w:spacing w:after="0"/>
              <w:rPr>
                <w:sz w:val="1"/>
                <w:szCs w:val="1"/>
                <w:color w:val="auto"/>
              </w:rPr>
            </w:pPr>
          </w:p>
        </w:tc>
      </w:tr>
      <w:tr>
        <w:trPr>
          <w:trHeight w:val="302"/>
        </w:trPr>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S-1</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1/21/11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S-1/A</w:t>
            </w:r>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4/18/11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72"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X</w:t>
      </w:r>
    </w:p>
    <w:p>
      <w:pPr>
        <w:spacing w:after="0" w:line="234" w:lineRule="exact"/>
        <w:rPr>
          <w:sz w:val="20"/>
          <w:szCs w:val="20"/>
          <w:color w:val="auto"/>
        </w:rPr>
      </w:pPr>
    </w:p>
    <w:p>
      <w:pPr>
        <w:sectPr>
          <w:pgSz w:w="11900" w:h="16838" w:orient="portrait"/>
          <w:cols w:equalWidth="0" w:num="2">
            <w:col w:w="7120" w:space="460"/>
            <w:col w:w="3740"/>
          </w:cols>
          <w:pgMar w:left="240" w:top="459" w:right="339" w:bottom="1440" w:gutter="0" w:footer="0" w:header="0"/>
        </w:sectPr>
      </w:pPr>
    </w:p>
    <w:p>
      <w:pPr>
        <w:ind w:left="460" w:right="8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459" w:right="3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7940" w:type="dxa"/>
            <w:vAlign w:val="bottom"/>
            <w:gridSpan w:val="2"/>
          </w:tcPr>
          <w:p>
            <w:pPr>
              <w:ind w:left="2020"/>
              <w:spacing w:after="0"/>
              <w:rPr>
                <w:sz w:val="20"/>
                <w:szCs w:val="20"/>
                <w:color w:val="auto"/>
              </w:rPr>
            </w:pPr>
            <w:r>
              <w:rPr>
                <w:rFonts w:ascii="Arial" w:cs="Arial" w:eastAsia="Arial" w:hAnsi="Arial"/>
                <w:sz w:val="18"/>
                <w:szCs w:val="18"/>
                <w:b w:val="1"/>
                <w:bCs w:val="1"/>
                <w:color w:val="auto"/>
              </w:rPr>
              <w:t>RPX CORPORATION</w:t>
            </w:r>
          </w:p>
        </w:tc>
      </w:tr>
      <w:tr>
        <w:trPr>
          <w:trHeight w:val="228"/>
        </w:trPr>
        <w:tc>
          <w:tcPr>
            <w:tcW w:w="3480" w:type="dxa"/>
            <w:vAlign w:val="bottom"/>
          </w:tcPr>
          <w:p>
            <w:pPr>
              <w:spacing w:after="0"/>
              <w:rPr>
                <w:sz w:val="19"/>
                <w:szCs w:val="19"/>
                <w:color w:val="auto"/>
              </w:rPr>
            </w:pPr>
          </w:p>
        </w:tc>
        <w:tc>
          <w:tcPr>
            <w:tcW w:w="7940" w:type="dxa"/>
            <w:vAlign w:val="bottom"/>
            <w:gridSpan w:val="2"/>
          </w:tcPr>
          <w:p>
            <w:pPr>
              <w:ind w:left="2020"/>
              <w:spacing w:after="0"/>
              <w:rPr>
                <w:sz w:val="20"/>
                <w:szCs w:val="20"/>
                <w:color w:val="auto"/>
              </w:rPr>
            </w:pPr>
            <w:r>
              <w:rPr>
                <w:rFonts w:ascii="Arial" w:cs="Arial" w:eastAsia="Arial" w:hAnsi="Arial"/>
                <w:sz w:val="18"/>
                <w:szCs w:val="18"/>
                <w:b w:val="1"/>
                <w:bCs w:val="1"/>
                <w:color w:val="auto"/>
              </w:rPr>
              <w:t>(Registrant)</w:t>
            </w:r>
          </w:p>
        </w:tc>
      </w:tr>
      <w:tr>
        <w:trPr>
          <w:trHeight w:val="448"/>
        </w:trPr>
        <w:tc>
          <w:tcPr>
            <w:tcW w:w="3480" w:type="dxa"/>
            <w:vAlign w:val="bottom"/>
          </w:tcPr>
          <w:p>
            <w:pPr>
              <w:spacing w:after="0"/>
              <w:rPr>
                <w:sz w:val="20"/>
                <w:szCs w:val="20"/>
                <w:color w:val="auto"/>
              </w:rPr>
            </w:pPr>
            <w:r>
              <w:rPr>
                <w:rFonts w:ascii="Arial" w:cs="Arial" w:eastAsia="Arial" w:hAnsi="Arial"/>
                <w:sz w:val="18"/>
                <w:szCs w:val="18"/>
                <w:color w:val="auto"/>
              </w:rPr>
              <w:t>DATE: May 7, 2012</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AMSTER</w:t>
            </w:r>
          </w:p>
        </w:tc>
      </w:tr>
      <w:tr>
        <w:trPr>
          <w:trHeight w:val="215"/>
        </w:trPr>
        <w:tc>
          <w:tcPr>
            <w:tcW w:w="3480" w:type="dxa"/>
            <w:vAlign w:val="bottom"/>
          </w:tcPr>
          <w:p>
            <w:pPr>
              <w:spacing w:after="0"/>
              <w:rPr>
                <w:sz w:val="18"/>
                <w:szCs w:val="18"/>
                <w:color w:val="auto"/>
              </w:rPr>
            </w:pPr>
          </w:p>
        </w:tc>
        <w:tc>
          <w:tcPr>
            <w:tcW w:w="7940" w:type="dxa"/>
            <w:vAlign w:val="bottom"/>
            <w:gridSpan w:val="2"/>
          </w:tcPr>
          <w:p>
            <w:pPr>
              <w:ind w:left="2020"/>
              <w:spacing w:after="0"/>
              <w:rPr>
                <w:sz w:val="20"/>
                <w:szCs w:val="20"/>
                <w:color w:val="auto"/>
              </w:rPr>
            </w:pPr>
            <w:r>
              <w:rPr>
                <w:rFonts w:ascii="Arial" w:cs="Arial" w:eastAsia="Arial" w:hAnsi="Arial"/>
                <w:sz w:val="18"/>
                <w:szCs w:val="18"/>
                <w:color w:val="auto"/>
              </w:rPr>
              <w:t>John A. Amster</w:t>
            </w:r>
          </w:p>
        </w:tc>
      </w:tr>
      <w:tr>
        <w:trPr>
          <w:trHeight w:val="222"/>
        </w:trPr>
        <w:tc>
          <w:tcPr>
            <w:tcW w:w="3480" w:type="dxa"/>
            <w:vAlign w:val="bottom"/>
          </w:tcPr>
          <w:p>
            <w:pPr>
              <w:spacing w:after="0"/>
              <w:rPr>
                <w:sz w:val="19"/>
                <w:szCs w:val="19"/>
                <w:color w:val="auto"/>
              </w:rPr>
            </w:pPr>
          </w:p>
        </w:tc>
        <w:tc>
          <w:tcPr>
            <w:tcW w:w="7940" w:type="dxa"/>
            <w:vAlign w:val="bottom"/>
            <w:gridSpan w:val="2"/>
          </w:tcPr>
          <w:p>
            <w:pPr>
              <w:ind w:left="2020"/>
              <w:spacing w:after="0"/>
              <w:rPr>
                <w:sz w:val="20"/>
                <w:szCs w:val="20"/>
                <w:color w:val="auto"/>
              </w:rPr>
            </w:pPr>
            <w:r>
              <w:rPr>
                <w:rFonts w:ascii="Arial" w:cs="Arial" w:eastAsia="Arial" w:hAnsi="Arial"/>
                <w:sz w:val="18"/>
                <w:szCs w:val="18"/>
                <w:color w:val="auto"/>
              </w:rPr>
              <w:t>Chief Executive Officer and Director</w:t>
            </w:r>
          </w:p>
        </w:tc>
      </w:tr>
      <w:tr>
        <w:trPr>
          <w:trHeight w:val="434"/>
        </w:trPr>
        <w:tc>
          <w:tcPr>
            <w:tcW w:w="3480" w:type="dxa"/>
            <w:vAlign w:val="bottom"/>
          </w:tcPr>
          <w:p>
            <w:pPr>
              <w:spacing w:after="0"/>
              <w:rPr>
                <w:sz w:val="20"/>
                <w:szCs w:val="20"/>
                <w:color w:val="auto"/>
              </w:rPr>
            </w:pPr>
            <w:r>
              <w:rPr>
                <w:rFonts w:ascii="Arial" w:cs="Arial" w:eastAsia="Arial" w:hAnsi="Arial"/>
                <w:sz w:val="18"/>
                <w:szCs w:val="18"/>
                <w:color w:val="auto"/>
              </w:rPr>
              <w:t>DATE: May 7, 2012</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C. SPIEGEL</w:t>
            </w:r>
          </w:p>
        </w:tc>
      </w:tr>
      <w:tr>
        <w:trPr>
          <w:trHeight w:val="215"/>
        </w:trPr>
        <w:tc>
          <w:tcPr>
            <w:tcW w:w="3480" w:type="dxa"/>
            <w:vAlign w:val="bottom"/>
          </w:tcPr>
          <w:p>
            <w:pPr>
              <w:spacing w:after="0"/>
              <w:rPr>
                <w:sz w:val="18"/>
                <w:szCs w:val="18"/>
                <w:color w:val="auto"/>
              </w:rPr>
            </w:pPr>
          </w:p>
        </w:tc>
        <w:tc>
          <w:tcPr>
            <w:tcW w:w="7940" w:type="dxa"/>
            <w:vAlign w:val="bottom"/>
            <w:gridSpan w:val="2"/>
          </w:tcPr>
          <w:p>
            <w:pPr>
              <w:ind w:left="2020"/>
              <w:spacing w:after="0"/>
              <w:rPr>
                <w:sz w:val="20"/>
                <w:szCs w:val="20"/>
                <w:color w:val="auto"/>
              </w:rPr>
            </w:pPr>
            <w:r>
              <w:rPr>
                <w:rFonts w:ascii="Arial" w:cs="Arial" w:eastAsia="Arial" w:hAnsi="Arial"/>
                <w:sz w:val="18"/>
                <w:szCs w:val="18"/>
                <w:color w:val="auto"/>
              </w:rPr>
              <w:t>Adam C. Spiegel</w:t>
            </w:r>
          </w:p>
        </w:tc>
      </w:tr>
      <w:tr>
        <w:trPr>
          <w:trHeight w:val="222"/>
        </w:trPr>
        <w:tc>
          <w:tcPr>
            <w:tcW w:w="3480" w:type="dxa"/>
            <w:vAlign w:val="bottom"/>
          </w:tcPr>
          <w:p>
            <w:pPr>
              <w:spacing w:after="0"/>
              <w:rPr>
                <w:sz w:val="19"/>
                <w:szCs w:val="19"/>
                <w:color w:val="auto"/>
              </w:rPr>
            </w:pPr>
          </w:p>
        </w:tc>
        <w:tc>
          <w:tcPr>
            <w:tcW w:w="7940" w:type="dxa"/>
            <w:vAlign w:val="bottom"/>
            <w:gridSpan w:val="2"/>
          </w:tcPr>
          <w:p>
            <w:pPr>
              <w:ind w:left="2020"/>
              <w:spacing w:after="0"/>
              <w:rPr>
                <w:sz w:val="20"/>
                <w:szCs w:val="20"/>
                <w:color w:val="auto"/>
              </w:rPr>
            </w:pPr>
            <w:r>
              <w:rPr>
                <w:rFonts w:ascii="Arial" w:cs="Arial" w:eastAsia="Arial" w:hAnsi="Arial"/>
                <w:sz w:val="18"/>
                <w:szCs w:val="18"/>
                <w:color w:val="auto"/>
              </w:rPr>
              <w:t>Chief Financial Officer and Senior Vice President, Finance</w:t>
            </w:r>
          </w:p>
        </w:tc>
      </w:tr>
      <w:tr>
        <w:trPr>
          <w:trHeight w:val="365"/>
        </w:trPr>
        <w:tc>
          <w:tcPr>
            <w:tcW w:w="3480" w:type="dxa"/>
            <w:vAlign w:val="bottom"/>
          </w:tcPr>
          <w:p>
            <w:pPr>
              <w:spacing w:after="0"/>
              <w:rPr>
                <w:sz w:val="24"/>
                <w:szCs w:val="24"/>
                <w:color w:val="auto"/>
              </w:rPr>
            </w:pPr>
          </w:p>
        </w:tc>
        <w:tc>
          <w:tcPr>
            <w:tcW w:w="2580" w:type="dxa"/>
            <w:vAlign w:val="bottom"/>
          </w:tcPr>
          <w:p>
            <w:pPr>
              <w:ind w:left="2140"/>
              <w:spacing w:after="0"/>
              <w:rPr>
                <w:sz w:val="20"/>
                <w:szCs w:val="20"/>
                <w:color w:val="auto"/>
              </w:rPr>
            </w:pPr>
            <w:r>
              <w:rPr>
                <w:rFonts w:ascii="Arial" w:cs="Arial" w:eastAsia="Arial" w:hAnsi="Arial"/>
                <w:sz w:val="18"/>
                <w:szCs w:val="18"/>
                <w:color w:val="auto"/>
              </w:rPr>
              <w:t>39</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40" w:type="dxa"/>
            <w:vAlign w:val="bottom"/>
          </w:tcPr>
          <w:p>
            <w:pPr>
              <w:ind w:left="200"/>
              <w:spacing w:after="0"/>
              <w:rPr>
                <w:sz w:val="20"/>
                <w:szCs w:val="20"/>
                <w:color w:val="auto"/>
              </w:rPr>
            </w:pPr>
            <w:r>
              <w:rPr>
                <w:rFonts w:ascii="Arial" w:cs="Arial" w:eastAsia="Arial" w:hAnsi="Arial"/>
                <w:sz w:val="18"/>
                <w:szCs w:val="18"/>
                <w:b w:val="1"/>
                <w:bCs w:val="1"/>
                <w:color w:val="auto"/>
              </w:rPr>
              <w:t>EXHIBIT INDEX</w:t>
            </w:r>
          </w:p>
        </w:tc>
      </w:tr>
      <w:tr>
        <w:trPr>
          <w:trHeight w:val="475"/>
        </w:trPr>
        <w:tc>
          <w:tcPr>
            <w:tcW w:w="140" w:type="dxa"/>
            <w:vAlign w:val="bottom"/>
          </w:tcPr>
          <w:p>
            <w:pPr>
              <w:spacing w:after="0"/>
              <w:rPr>
                <w:sz w:val="24"/>
                <w:szCs w:val="2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Exhibit</w:t>
            </w:r>
          </w:p>
        </w:tc>
        <w:tc>
          <w:tcPr>
            <w:tcW w:w="3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61"/>
        </w:trPr>
        <w:tc>
          <w:tcPr>
            <w:tcW w:w="1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Exhibit Title</w:t>
            </w:r>
          </w:p>
        </w:tc>
        <w:tc>
          <w:tcPr>
            <w:tcW w:w="2840" w:type="dxa"/>
            <w:vAlign w:val="bottom"/>
          </w:tcPr>
          <w:p>
            <w:pPr>
              <w:spacing w:after="0"/>
              <w:rPr>
                <w:sz w:val="14"/>
                <w:szCs w:val="14"/>
                <w:color w:val="auto"/>
              </w:rPr>
            </w:pPr>
          </w:p>
        </w:tc>
      </w:tr>
      <w:tr>
        <w:trPr>
          <w:trHeight w:val="329"/>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Amended and Restated Certificate of Incorporation of RPX Corporation</w:t>
            </w:r>
          </w:p>
        </w:tc>
      </w:tr>
      <w:tr>
        <w:trPr>
          <w:trHeight w:val="324"/>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of RPX Corporation</w:t>
            </w:r>
          </w:p>
        </w:tc>
      </w:tr>
      <w:tr>
        <w:trPr>
          <w:trHeight w:val="318"/>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w w:val="89"/>
              </w:rPr>
              <w:t>Certification of Chief Executive Officer Pursuant to Rule 13-14(a) of the Securities Exchange</w:t>
            </w:r>
          </w:p>
        </w:tc>
      </w:tr>
      <w:tr>
        <w:trPr>
          <w:trHeight w:val="222"/>
        </w:trPr>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w w:val="98"/>
              </w:rPr>
              <w:t>Act of 1934 as Adopted Pursuant to Section 302 of the Sarbanes-Oxley Act of 2002.</w:t>
            </w:r>
          </w:p>
        </w:tc>
      </w:tr>
      <w:tr>
        <w:trPr>
          <w:trHeight w:val="318"/>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w w:val="90"/>
              </w:rPr>
              <w:t>Certification of Chief Financial Officer Pursuant to Rule 13-14(a) of the Securities Exchange</w:t>
            </w:r>
          </w:p>
        </w:tc>
      </w:tr>
      <w:tr>
        <w:trPr>
          <w:trHeight w:val="222"/>
        </w:trPr>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w w:val="98"/>
              </w:rPr>
              <w:t>Act of 1934 as Adopted Pursuant to Section 302 of the Sarbanes-Oxley Act of 2002.</w:t>
            </w:r>
          </w:p>
        </w:tc>
      </w:tr>
      <w:tr>
        <w:trPr>
          <w:trHeight w:val="318"/>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w w:val="94"/>
              </w:rPr>
              <w:t>Certification of Chief Executive Officer Pursuant to 18 U.S.C. Section 1350, as Adopted</w:t>
            </w:r>
          </w:p>
        </w:tc>
      </w:tr>
      <w:tr>
        <w:trPr>
          <w:trHeight w:val="222"/>
        </w:trPr>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318"/>
        </w:trPr>
        <w:tc>
          <w:tcPr>
            <w:tcW w:w="640" w:type="dxa"/>
            <w:vAlign w:val="bottom"/>
            <w:gridSpan w:val="2"/>
          </w:tcPr>
          <w:p>
            <w:pPr>
              <w:jc w:val="right"/>
              <w:ind w:right="172"/>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w w:val="95"/>
              </w:rPr>
              <w:t>Certification of Chief Financial Officer Pursuant to 18 U.S.C. Section 1350, as Adopted</w:t>
            </w:r>
          </w:p>
        </w:tc>
      </w:tr>
      <w:tr>
        <w:trPr>
          <w:trHeight w:val="222"/>
        </w:trPr>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Pursuant to Section 906 of the Sarbanes-Oxley Act of 2002.</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Instance Document</w:t>
            </w:r>
          </w:p>
        </w:tc>
      </w:tr>
      <w:tr>
        <w:trPr>
          <w:trHeight w:val="324"/>
        </w:trPr>
        <w:tc>
          <w:tcPr>
            <w:tcW w:w="9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101.SCH+</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101.CAL+</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gridSpan w:val="3"/>
          </w:tcPr>
          <w:p>
            <w:pPr>
              <w:jc w:val="center"/>
              <w:ind w:right="160"/>
              <w:spacing w:after="0"/>
              <w:rPr>
                <w:sz w:val="20"/>
                <w:szCs w:val="20"/>
                <w:color w:val="auto"/>
              </w:rPr>
            </w:pPr>
            <w:r>
              <w:rPr>
                <w:rFonts w:ascii="Arial" w:cs="Arial" w:eastAsia="Arial" w:hAnsi="Arial"/>
                <w:sz w:val="18"/>
                <w:szCs w:val="18"/>
                <w:color w:val="auto"/>
                <w:w w:val="95"/>
              </w:rPr>
              <w:t>101.LAB+</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101.PRE+</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300" w:type="dxa"/>
            <w:vAlign w:val="bottom"/>
            <w:gridSpan w:val="7"/>
          </w:tcPr>
          <w:p>
            <w:pPr>
              <w:spacing w:after="0"/>
              <w:rPr>
                <w:sz w:val="20"/>
                <w:szCs w:val="20"/>
                <w:color w:val="auto"/>
              </w:rPr>
            </w:pPr>
            <w:r>
              <w:rPr>
                <w:rFonts w:ascii="Arial" w:cs="Arial" w:eastAsia="Arial" w:hAnsi="Arial"/>
                <w:sz w:val="14"/>
                <w:szCs w:val="14"/>
                <w:b w:val="1"/>
                <w:bCs w:val="1"/>
                <w:color w:val="auto"/>
              </w:rPr>
              <w:t>Incorporated by Reference</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Provided</w:t>
            </w:r>
          </w:p>
        </w:tc>
        <w:tc>
          <w:tcPr>
            <w:tcW w:w="0" w:type="dxa"/>
            <w:vAlign w:val="bottom"/>
          </w:tcPr>
          <w:p>
            <w:pPr>
              <w:spacing w:after="0"/>
              <w:rPr>
                <w:sz w:val="1"/>
                <w:szCs w:val="1"/>
                <w:color w:val="auto"/>
              </w:rPr>
            </w:pPr>
          </w:p>
        </w:tc>
      </w:tr>
      <w:tr>
        <w:trPr>
          <w:trHeight w:val="129"/>
        </w:trPr>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File</w:t>
            </w:r>
          </w:p>
        </w:tc>
        <w:tc>
          <w:tcPr>
            <w:tcW w:w="74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Exhibit</w:t>
            </w:r>
          </w:p>
        </w:tc>
        <w:tc>
          <w:tcPr>
            <w:tcW w:w="60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Filing</w:t>
            </w:r>
          </w:p>
        </w:tc>
        <w:tc>
          <w:tcPr>
            <w:tcW w:w="3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No.</w:t>
            </w:r>
          </w:p>
        </w:tc>
        <w:tc>
          <w:tcPr>
            <w:tcW w:w="220" w:type="dxa"/>
            <w:vAlign w:val="bottom"/>
          </w:tcPr>
          <w:p>
            <w:pPr>
              <w:spacing w:after="0"/>
              <w:rPr>
                <w:sz w:val="14"/>
                <w:szCs w:val="14"/>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320" w:type="dxa"/>
            <w:vAlign w:val="bottom"/>
          </w:tcPr>
          <w:p>
            <w:pPr>
              <w:spacing w:after="0"/>
              <w:rPr>
                <w:sz w:val="14"/>
                <w:szCs w:val="14"/>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Herewith</w:t>
            </w:r>
          </w:p>
        </w:tc>
        <w:tc>
          <w:tcPr>
            <w:tcW w:w="0" w:type="dxa"/>
            <w:vAlign w:val="bottom"/>
          </w:tcPr>
          <w:p>
            <w:pPr>
              <w:spacing w:after="0"/>
              <w:rPr>
                <w:sz w:val="1"/>
                <w:szCs w:val="1"/>
                <w:color w:val="auto"/>
              </w:rPr>
            </w:pPr>
          </w:p>
        </w:tc>
      </w:tr>
      <w:tr>
        <w:trPr>
          <w:trHeight w:val="302"/>
        </w:trPr>
        <w:tc>
          <w:tcPr>
            <w:tcW w:w="4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1/21/11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jc w:val="center"/>
              <w:spacing w:after="0"/>
              <w:rPr>
                <w:sz w:val="20"/>
                <w:szCs w:val="20"/>
                <w:color w:val="auto"/>
              </w:rPr>
            </w:pPr>
            <w:r>
              <w:rPr>
                <w:rFonts w:ascii="Arial" w:cs="Arial" w:eastAsia="Arial" w:hAnsi="Arial"/>
                <w:sz w:val="18"/>
                <w:szCs w:val="18"/>
                <w:color w:val="auto"/>
                <w:w w:val="88"/>
              </w:rPr>
              <w:t>S-1/A</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4/18/11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X</w:t>
      </w:r>
    </w:p>
    <w:p>
      <w:pPr>
        <w:spacing w:after="0" w:line="140"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X</w:t>
      </w:r>
    </w:p>
    <w:p>
      <w:pPr>
        <w:spacing w:after="0" w:line="234" w:lineRule="exact"/>
        <w:rPr>
          <w:sz w:val="20"/>
          <w:szCs w:val="20"/>
          <w:color w:val="auto"/>
        </w:rPr>
      </w:pPr>
    </w:p>
    <w:p>
      <w:pPr>
        <w:sectPr>
          <w:pgSz w:w="11900" w:h="16838" w:orient="portrait"/>
          <w:cols w:equalWidth="0" w:num="2">
            <w:col w:w="7680" w:space="360"/>
            <w:col w:w="3280"/>
          </w:cols>
          <w:pgMar w:left="240" w:top="459" w:right="339" w:bottom="1440" w:gutter="0" w:footer="0" w:header="0"/>
        </w:sectPr>
      </w:pPr>
    </w:p>
    <w:p>
      <w:pPr>
        <w:ind w:left="460" w:right="8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459" w:right="3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9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500" w:right="360" w:hanging="8"/>
        <w:spacing w:after="0" w:line="306" w:lineRule="auto"/>
        <w:tabs>
          <w:tab w:leader="none" w:pos="1739"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500" w:right="220" w:hanging="8"/>
        <w:spacing w:after="0" w:line="357" w:lineRule="auto"/>
        <w:tabs>
          <w:tab w:leader="none" w:pos="1749"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500" w:right="140" w:hanging="8"/>
        <w:spacing w:after="0" w:line="259" w:lineRule="auto"/>
        <w:tabs>
          <w:tab w:leader="none" w:pos="173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500" w:right="440" w:hanging="8"/>
        <w:spacing w:after="0" w:line="332" w:lineRule="auto"/>
        <w:tabs>
          <w:tab w:leader="none" w:pos="1739"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500" w:right="120" w:hanging="8"/>
        <w:spacing w:after="0" w:line="268" w:lineRule="auto"/>
        <w:tabs>
          <w:tab w:leader="none" w:pos="1749"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7,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A. Amster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Adam C. Spiegel, certify that:</w:t>
      </w:r>
    </w:p>
    <w:p>
      <w:pPr>
        <w:spacing w:after="0" w:line="9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500" w:right="360" w:hanging="8"/>
        <w:spacing w:after="0" w:line="306" w:lineRule="auto"/>
        <w:tabs>
          <w:tab w:leader="none" w:pos="1739"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500" w:right="220" w:hanging="8"/>
        <w:spacing w:after="0" w:line="357" w:lineRule="auto"/>
        <w:tabs>
          <w:tab w:leader="none" w:pos="1749"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500" w:right="140" w:hanging="8"/>
        <w:spacing w:after="0" w:line="259" w:lineRule="auto"/>
        <w:tabs>
          <w:tab w:leader="none" w:pos="173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500" w:right="440" w:hanging="8"/>
        <w:spacing w:after="0" w:line="332" w:lineRule="auto"/>
        <w:tabs>
          <w:tab w:leader="none" w:pos="1739"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500" w:right="120" w:hanging="8"/>
        <w:spacing w:after="0" w:line="268" w:lineRule="auto"/>
        <w:tabs>
          <w:tab w:leader="none" w:pos="1749"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7,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C. Spiegel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Senior Vice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Finance</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on Form 10-Q for the fiscal quarter ended March 31, 2012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 May 7,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A. Amster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fiscal quarter ended March 31, 2012 of RPX Corporation (the “Company”) as filed with the Securities and Exchange Commission on the date hereof (the “Report”), I, Adam C. Spiegel, Chief Financial Officer and Senior Vice President, Finance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May 7,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C. Spiegel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Senior Vice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Finance</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3"/>
    </w:lvl>
  </w:abstractNum>
  <w:abstractNum w:abstractNumId="7">
    <w:nsid w:val="628C895D"/>
    <w:multiLevelType w:val="hybridMultilevel"/>
    <w:lvl w:ilvl="0">
      <w:lvlJc w:val="left"/>
      <w:lvlText w:val="%1."/>
      <w:numFmt w:val="decimal"/>
      <w:start w:val="4"/>
    </w:lvl>
  </w:abstractNum>
  <w:abstractNum w:abstractNumId="8">
    <w:nsid w:val="333AB105"/>
    <w:multiLevelType w:val="hybridMultilevel"/>
    <w:lvl w:ilvl="0">
      <w:lvlJc w:val="left"/>
      <w:lvlText w:val="%1."/>
      <w:numFmt w:val="decimal"/>
      <w:start w:val="5"/>
    </w:lvl>
  </w:abstractNum>
  <w:abstractNum w:abstractNumId="9">
    <w:nsid w:val="721DA317"/>
    <w:multiLevelType w:val="hybridMultilevel"/>
    <w:lvl w:ilvl="0">
      <w:lvlJc w:val="left"/>
      <w:lvlText w:val="%1."/>
      <w:numFmt w:val="decimal"/>
      <w:start w:val="6"/>
    </w:lvl>
  </w:abstractNum>
  <w:abstractNum w:abstractNumId="10">
    <w:nsid w:val="2443A858"/>
    <w:multiLevelType w:val="hybridMultilevel"/>
    <w:lvl w:ilvl="0">
      <w:lvlJc w:val="left"/>
      <w:lvlText w:val="%1."/>
      <w:numFmt w:val="decimal"/>
      <w:start w:val="7"/>
    </w:lvl>
  </w:abstractNum>
  <w:abstractNum w:abstractNumId="11">
    <w:nsid w:val="2D1D5AE9"/>
    <w:multiLevelType w:val="hybridMultilevel"/>
    <w:lvl w:ilvl="0">
      <w:lvlJc w:val="left"/>
      <w:lvlText w:val="%1."/>
      <w:numFmt w:val="decimal"/>
      <w:start w:val="8"/>
    </w:lvl>
  </w:abstractNum>
  <w:abstractNum w:abstractNumId="12">
    <w:nsid w:val="6763845E"/>
    <w:multiLevelType w:val="hybridMultilevel"/>
    <w:lvl w:ilvl="0">
      <w:lvlJc w:val="left"/>
      <w:lvlText w:val="%1."/>
      <w:numFmt w:val="decimal"/>
      <w:start w:val="9"/>
    </w:lvl>
  </w:abstractNum>
  <w:abstractNum w:abstractNumId="13">
    <w:nsid w:val="75A2A8D4"/>
    <w:multiLevelType w:val="hybridMultilevel"/>
    <w:lvl w:ilvl="0">
      <w:lvlJc w:val="left"/>
      <w:lvlText w:val="%1."/>
      <w:numFmt w:val="decimal"/>
      <w:start w:val="10"/>
    </w:lvl>
  </w:abstractNum>
  <w:abstractNum w:abstractNumId="14">
    <w:nsid w:val="8EDBDAB"/>
    <w:multiLevelType w:val="hybridMultilevel"/>
    <w:lvl w:ilvl="0">
      <w:lvlJc w:val="left"/>
      <w:lvlText w:val="%1."/>
      <w:numFmt w:val="decimal"/>
      <w:start w:val="11"/>
    </w:lvl>
  </w:abstractNum>
  <w:abstractNum w:abstractNumId="15">
    <w:nsid w:val="79838CB2"/>
    <w:multiLevelType w:val="hybridMultilevel"/>
    <w:lvl w:ilvl="0">
      <w:lvlJc w:val="left"/>
      <w:lvlText w:val="%1."/>
      <w:numFmt w:val="decimal"/>
      <w:start w:val="12"/>
    </w:lvl>
  </w:abstractNum>
  <w:abstractNum w:abstractNumId="16">
    <w:nsid w:val="4353D0CD"/>
    <w:multiLevelType w:val="hybridMultilevel"/>
    <w:lvl w:ilvl="0">
      <w:lvlJc w:val="left"/>
      <w:lvlText w:val="%1."/>
      <w:numFmt w:val="decimal"/>
      <w:start w:val="13"/>
    </w:lvl>
  </w:abstractNum>
  <w:abstractNum w:abstractNumId="17">
    <w:nsid w:val="B03E0C6"/>
    <w:multiLevelType w:val="hybridMultilevel"/>
    <w:lvl w:ilvl="0">
      <w:lvlJc w:val="left"/>
      <w:lvlText w:val="%1."/>
      <w:numFmt w:val="decimal"/>
      <w:start w:val="14"/>
    </w:lvl>
  </w:abstractNum>
  <w:abstractNum w:abstractNumId="18">
    <w:nsid w:val="189A769B"/>
    <w:multiLevelType w:val="hybridMultilevel"/>
    <w:lvl w:ilvl="0">
      <w:lvlJc w:val="left"/>
      <w:lvlText w:val="%1."/>
      <w:numFmt w:val="decimal"/>
      <w:start w:val="15"/>
    </w:lvl>
  </w:abstractNum>
  <w:abstractNum w:abstractNumId="19">
    <w:nsid w:val="54E49EB4"/>
    <w:multiLevelType w:val="hybridMultilevel"/>
    <w:lvl w:ilvl="0">
      <w:lvlJc w:val="left"/>
      <w:lvlText w:val="%1."/>
      <w:numFmt w:val="decimal"/>
      <w:start w:val="16"/>
    </w:lvl>
  </w:abstractNum>
  <w:abstractNum w:abstractNumId="20">
    <w:nsid w:val="71F32454"/>
    <w:multiLevelType w:val="hybridMultilevel"/>
    <w:lvl w:ilvl="0">
      <w:lvlJc w:val="left"/>
      <w:lvlText w:val="%1."/>
      <w:numFmt w:val="decimal"/>
      <w:start w:val="17"/>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2019-12-09T20:52:37Z</dcterms:created>
  <dcterms:modified xsi:type="dcterms:W3CDTF">2019-12-09T20:52:37Z</dcterms:modified>
</cp:coreProperties>
</file>