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9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14A</w:t>
      </w:r>
    </w:p>
    <w:p>
      <w:pPr>
        <w:spacing w:after="0" w:line="126"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5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right="4960" w:firstLine="8"/>
        <w:spacing w:after="0" w:line="403"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3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9"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RPX Corporation</w:t>
      </w:r>
    </w:p>
    <w:p>
      <w:pPr>
        <w:spacing w:after="0" w:line="31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6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15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8" w:lineRule="exact"/>
        <w:rPr>
          <w:sz w:val="24"/>
          <w:szCs w:val="24"/>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7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360" w:hanging="352"/>
        <w:spacing w:after="0"/>
        <w:tabs>
          <w:tab w:leader="none" w:pos="3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660" w:hanging="652"/>
        <w:spacing w:after="0" w:line="357" w:lineRule="auto"/>
        <w:tabs>
          <w:tab w:leader="none" w:pos="6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sz w:val="24"/>
          <w:szCs w:val="24"/>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ectPr>
          <w:pgSz w:w="11900" w:h="16838" w:orient="portrait"/>
          <w:cols w:equalWidth="0" w:num="1">
            <w:col w:w="11180"/>
          </w:cols>
          <w:pgMar w:left="240" w:top="720" w:right="479" w:bottom="1440" w:gutter="0" w:footer="0" w:header="0"/>
        </w:sectPr>
      </w:pPr>
    </w:p>
    <w:bookmarkStart w:id="1" w:name="page2"/>
    <w:bookmarkEnd w:id="1"/>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95" w:lineRule="exact"/>
        <w:rPr>
          <w:sz w:val="20"/>
          <w:szCs w:val="20"/>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88" w:lineRule="exact"/>
        <w:rPr>
          <w:sz w:val="20"/>
          <w:szCs w:val="20"/>
          <w:color w:val="auto"/>
        </w:rPr>
      </w:pPr>
    </w:p>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95"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88" w:lineRule="exact"/>
        <w:rPr>
          <w:sz w:val="20"/>
          <w:szCs w:val="20"/>
          <w:color w:val="auto"/>
        </w:rPr>
      </w:pPr>
    </w:p>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9563"/>
          </w:cols>
          <w:pgMar w:left="896" w:top="596"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3064510</wp:posOffset>
            </wp:positionH>
            <wp:positionV relativeFrom="page">
              <wp:posOffset>380365</wp:posOffset>
            </wp:positionV>
            <wp:extent cx="14408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RPX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9,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266" w:lineRule="exact"/>
        <w:rPr>
          <w:sz w:val="20"/>
          <w:szCs w:val="20"/>
          <w:color w:val="auto"/>
        </w:rPr>
      </w:pPr>
    </w:p>
    <w:p>
      <w:pPr>
        <w:spacing w:after="0" w:line="357" w:lineRule="auto"/>
        <w:rPr>
          <w:sz w:val="20"/>
          <w:szCs w:val="20"/>
          <w:color w:val="auto"/>
        </w:rPr>
      </w:pPr>
      <w:r>
        <w:rPr>
          <w:rFonts w:ascii="Arial" w:cs="Arial" w:eastAsia="Arial" w:hAnsi="Arial"/>
          <w:sz w:val="17"/>
          <w:szCs w:val="17"/>
          <w:color w:val="auto"/>
        </w:rPr>
        <w:t>The annual meeting of stockholders for RPX Corporation (the “Company”) will be held at the offices of the Company at One Market Plaza, Steuart Tower, Suite 800, San Francisco, California 94105, on Tuesday, June 9, 2015, at 10:00 a.m. local time. The purposes of the meeting are:</w:t>
      </w:r>
    </w:p>
    <w:p>
      <w:pPr>
        <w:spacing w:after="0" w:line="148"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the Class I director named in this proxy statement (Proposal 1);</w:t>
      </w:r>
    </w:p>
    <w:p>
      <w:pPr>
        <w:spacing w:after="0" w:line="49" w:lineRule="exact"/>
        <w:rPr>
          <w:rFonts w:ascii="Arial" w:cs="Arial" w:eastAsia="Arial" w:hAnsi="Arial"/>
          <w:sz w:val="18"/>
          <w:szCs w:val="18"/>
          <w:color w:val="auto"/>
        </w:rPr>
      </w:pPr>
    </w:p>
    <w:p>
      <w:pPr>
        <w:ind w:left="420" w:hanging="412"/>
        <w:spacing w:after="0" w:line="29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2015 (Proposal 2);</w:t>
      </w: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vote on an advisory non-binding resolution regarding executive compensation (Proposal 3); and</w:t>
      </w:r>
      <w:r>
        <w:rPr>
          <w:rFonts w:ascii="Arial" w:cs="Arial" w:eastAsia="Arial" w:hAnsi="Arial"/>
          <w:sz w:val="2"/>
          <w:szCs w:val="2"/>
          <w:color w:val="auto"/>
        </w:rPr>
        <w:t>);</w:t>
      </w:r>
    </w:p>
    <w:p>
      <w:pPr>
        <w:spacing w:after="0" w:line="130" w:lineRule="exact"/>
        <w:rPr>
          <w:rFonts w:ascii="Arial" w:cs="Arial" w:eastAsia="Arial" w:hAnsi="Arial"/>
          <w:sz w:val="18"/>
          <w:szCs w:val="18"/>
          <w:color w:val="auto"/>
        </w:rPr>
      </w:pPr>
    </w:p>
    <w:p>
      <w:pPr>
        <w:ind w:left="420" w:hanging="398"/>
        <w:spacing w:after="0"/>
        <w:tabs>
          <w:tab w:leader="none" w:pos="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212"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Our board of directors has fixed the close of business on April 23, 2015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card by mail, by signing and returning the enclosed proxy card. Instructions for your voting options are described on the Notice of Internet Availability of Proxy Materials or proxy card.</w:t>
      </w:r>
    </w:p>
    <w:p>
      <w:pPr>
        <w:spacing w:after="0" w:line="17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9, 2015: The proxy statement and annual report are available at http://ir.rpxcorp.com/annuals-proxies.cfm.</w:t>
      </w:r>
    </w:p>
    <w:p>
      <w:pPr>
        <w:spacing w:after="0" w:line="13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14605</wp:posOffset>
            </wp:positionV>
            <wp:extent cx="155194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317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Martin E. Roberts</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Secretary of the Company</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San Francisco, California</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April 28, 2015</w:t>
      </w:r>
    </w:p>
    <w:p>
      <w:pPr>
        <w:sectPr>
          <w:pgSz w:w="11900" w:h="16838" w:orient="portrait"/>
          <w:cols w:equalWidth="0" w:num="1">
            <w:col w:w="11420"/>
          </w:cols>
          <w:pgMar w:left="240" w:top="1440" w:right="239" w:bottom="1440" w:gutter="0" w:footer="0" w:header="0"/>
        </w:sectPr>
      </w:pPr>
    </w:p>
    <w:bookmarkStart w:id="3" w:name="page4"/>
    <w:bookmarkEnd w:id="3"/>
    <w:p>
      <w:pPr>
        <w:jc w:val="center"/>
        <w:ind w:right="200"/>
        <w:spacing w:after="0"/>
        <w:rPr>
          <w:sz w:val="20"/>
          <w:szCs w:val="20"/>
          <w:color w:val="auto"/>
        </w:rPr>
      </w:pPr>
      <w:r>
        <w:rPr>
          <w:rFonts w:ascii="Arial" w:cs="Arial" w:eastAsia="Arial" w:hAnsi="Arial"/>
          <w:sz w:val="18"/>
          <w:szCs w:val="18"/>
          <w:b w:val="1"/>
          <w:bCs w:val="1"/>
          <w:color w:val="auto"/>
        </w:rPr>
        <w:t>RPX CORPORATION</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Proxy Statement</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To Be Held on June 9, 2015</w:t>
      </w:r>
    </w:p>
    <w:p>
      <w:pPr>
        <w:spacing w:after="0" w:line="30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3"/>
              </w:rPr>
              <w:t>Page</w:t>
            </w:r>
          </w:p>
        </w:tc>
      </w:tr>
      <w:tr>
        <w:trPr>
          <w:trHeight w:val="271"/>
        </w:trPr>
        <w:tc>
          <w:tcPr>
            <w:tcW w:w="10840" w:type="dxa"/>
            <w:vAlign w:val="bottom"/>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QUESTIONS AND ANSWERS ABOUT THIS PROXY MATERIAL AND VOTING</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w:t>
            </w:r>
          </w:p>
        </w:tc>
      </w:tr>
      <w:tr>
        <w:trPr>
          <w:trHeight w:val="257"/>
        </w:trPr>
        <w:tc>
          <w:tcPr>
            <w:tcW w:w="10840" w:type="dxa"/>
            <w:vAlign w:val="bottom"/>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PROPOSAL 1: ELECTION OF DIRECTORS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9</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13">
              <w:r>
                <w:rPr>
                  <w:rFonts w:ascii="Arial" w:cs="Arial" w:eastAsia="Arial" w:hAnsi="Arial"/>
                  <w:sz w:val="16"/>
                  <w:szCs w:val="16"/>
                  <w:color w:val="0000EE"/>
                </w:rPr>
                <w:t>Nominee for Election as Class I Director at the Annual Meeting</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9</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14">
              <w:r>
                <w:rPr>
                  <w:rFonts w:ascii="Arial" w:cs="Arial" w:eastAsia="Arial" w:hAnsi="Arial"/>
                  <w:sz w:val="16"/>
                  <w:szCs w:val="16"/>
                  <w:color w:val="0000EE"/>
                </w:rPr>
                <w:t>Required Vote and Recommendation of the Board for Proposal 1</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10</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14">
              <w:r>
                <w:rPr>
                  <w:rFonts w:ascii="Arial" w:cs="Arial" w:eastAsia="Arial" w:hAnsi="Arial"/>
                  <w:sz w:val="16"/>
                  <w:szCs w:val="16"/>
                  <w:color w:val="0000EE"/>
                </w:rPr>
                <w:t>Continuing Directors Not Standing for Election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10</w:t>
            </w:r>
          </w:p>
        </w:tc>
      </w:tr>
      <w:tr>
        <w:trPr>
          <w:trHeight w:val="257"/>
        </w:trPr>
        <w:tc>
          <w:tcPr>
            <w:tcW w:w="10840" w:type="dxa"/>
            <w:vAlign w:val="bottom"/>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CORPORATE GOVERNANCE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13</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17">
              <w:r>
                <w:rPr>
                  <w:rFonts w:ascii="Arial" w:cs="Arial" w:eastAsia="Arial" w:hAnsi="Arial"/>
                  <w:sz w:val="16"/>
                  <w:szCs w:val="16"/>
                  <w:color w:val="0000EE"/>
                </w:rPr>
                <w:t>Independent Directors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13</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17">
              <w:r>
                <w:rPr>
                  <w:rFonts w:ascii="Arial" w:cs="Arial" w:eastAsia="Arial" w:hAnsi="Arial"/>
                  <w:sz w:val="16"/>
                  <w:szCs w:val="16"/>
                  <w:color w:val="0000EE"/>
                </w:rPr>
                <w:t>Board Committees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13</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0">
              <w:r>
                <w:rPr>
                  <w:rFonts w:ascii="Arial" w:cs="Arial" w:eastAsia="Arial" w:hAnsi="Arial"/>
                  <w:sz w:val="16"/>
                  <w:szCs w:val="16"/>
                  <w:color w:val="0000EE"/>
                </w:rPr>
                <w:t>Compensation Committee Interlocks and Insider Participation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16</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0">
              <w:r>
                <w:rPr>
                  <w:rFonts w:ascii="Arial" w:cs="Arial" w:eastAsia="Arial" w:hAnsi="Arial"/>
                  <w:sz w:val="16"/>
                  <w:szCs w:val="16"/>
                  <w:color w:val="0000EE"/>
                </w:rPr>
                <w:t>Board Meetings and Attendance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16</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0">
              <w:r>
                <w:rPr>
                  <w:rFonts w:ascii="Arial" w:cs="Arial" w:eastAsia="Arial" w:hAnsi="Arial"/>
                  <w:sz w:val="16"/>
                  <w:szCs w:val="16"/>
                  <w:color w:val="0000EE"/>
                </w:rPr>
                <w:t>Director Attendance at Annual Meetings of Stockholders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16</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0">
              <w:r>
                <w:rPr>
                  <w:rFonts w:ascii="Arial" w:cs="Arial" w:eastAsia="Arial" w:hAnsi="Arial"/>
                  <w:sz w:val="16"/>
                  <w:szCs w:val="16"/>
                  <w:color w:val="0000EE"/>
                </w:rPr>
                <w:t>Board Leadership</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16</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0">
              <w:r>
                <w:rPr>
                  <w:rFonts w:ascii="Arial" w:cs="Arial" w:eastAsia="Arial" w:hAnsi="Arial"/>
                  <w:sz w:val="16"/>
                  <w:szCs w:val="16"/>
                  <w:color w:val="0000EE"/>
                </w:rPr>
                <w:t>Risk Oversight</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16</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1">
              <w:r>
                <w:rPr>
                  <w:rFonts w:ascii="Arial" w:cs="Arial" w:eastAsia="Arial" w:hAnsi="Arial"/>
                  <w:sz w:val="16"/>
                  <w:szCs w:val="16"/>
                  <w:color w:val="0000EE"/>
                </w:rPr>
                <w:t>Code of Business Conduct</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17</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1">
              <w:r>
                <w:rPr>
                  <w:rFonts w:ascii="Arial" w:cs="Arial" w:eastAsia="Arial" w:hAnsi="Arial"/>
                  <w:sz w:val="16"/>
                  <w:szCs w:val="16"/>
                  <w:color w:val="0000EE"/>
                </w:rPr>
                <w:t>Communications to the Board of Directors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17</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1">
              <w:r>
                <w:rPr>
                  <w:rFonts w:ascii="Arial" w:cs="Arial" w:eastAsia="Arial" w:hAnsi="Arial"/>
                  <w:sz w:val="16"/>
                  <w:szCs w:val="16"/>
                  <w:color w:val="0000EE"/>
                </w:rPr>
                <w:t>Director Compensation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18</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2">
              <w:r>
                <w:rPr>
                  <w:rFonts w:ascii="Arial" w:cs="Arial" w:eastAsia="Arial" w:hAnsi="Arial"/>
                  <w:sz w:val="16"/>
                  <w:szCs w:val="16"/>
                  <w:color w:val="0000EE"/>
                </w:rPr>
                <w:t>2014 Director Compensation Table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19</w:t>
            </w:r>
          </w:p>
        </w:tc>
      </w:tr>
      <w:tr>
        <w:trPr>
          <w:trHeight w:val="284"/>
        </w:trPr>
        <w:tc>
          <w:tcPr>
            <w:tcW w:w="10840" w:type="dxa"/>
            <w:vAlign w:val="bottom"/>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PROPOSAL 2: RATIFICATION OF SELECTION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20</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4">
              <w:r>
                <w:rPr>
                  <w:rFonts w:ascii="Arial" w:cs="Arial" w:eastAsia="Arial" w:hAnsi="Arial"/>
                  <w:sz w:val="16"/>
                  <w:szCs w:val="16"/>
                  <w:color w:val="0000EE"/>
                </w:rPr>
                <w:t>Independent Registered Public Accounting Firm’s Fees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20</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25">
              <w:r>
                <w:rPr>
                  <w:rFonts w:ascii="Arial" w:cs="Arial" w:eastAsia="Arial" w:hAnsi="Arial"/>
                  <w:sz w:val="16"/>
                  <w:szCs w:val="16"/>
                  <w:color w:val="0000EE"/>
                </w:rPr>
                <w:t>Pre-Approval Policies and Procedures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21</w:t>
            </w:r>
          </w:p>
        </w:tc>
      </w:tr>
      <w:tr>
        <w:trPr>
          <w:trHeight w:val="257"/>
        </w:trPr>
        <w:tc>
          <w:tcPr>
            <w:tcW w:w="10840" w:type="dxa"/>
            <w:vAlign w:val="bottom"/>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REPORT OF THE AUDIT COMMITTEE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22</w:t>
            </w:r>
          </w:p>
        </w:tc>
      </w:tr>
      <w:tr>
        <w:trPr>
          <w:trHeight w:val="257"/>
        </w:trPr>
        <w:tc>
          <w:tcPr>
            <w:tcW w:w="10840" w:type="dxa"/>
            <w:vAlign w:val="bottom"/>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SECURITY OWNERSHIP OF CERTAIN BENEFICIAL OWNERS AND MANAGEMENT</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23</w:t>
            </w:r>
          </w:p>
        </w:tc>
      </w:tr>
      <w:tr>
        <w:trPr>
          <w:trHeight w:val="257"/>
        </w:trPr>
        <w:tc>
          <w:tcPr>
            <w:tcW w:w="10840" w:type="dxa"/>
            <w:vAlign w:val="bottom"/>
          </w:tcPr>
          <w:p>
            <w:pPr>
              <w:ind w:left="380"/>
              <w:spacing w:after="0"/>
              <w:rPr>
                <w:rFonts w:ascii="Arial" w:cs="Arial" w:eastAsia="Arial" w:hAnsi="Arial"/>
                <w:sz w:val="16"/>
                <w:szCs w:val="16"/>
                <w:color w:val="0000EE"/>
              </w:rPr>
            </w:pPr>
            <w:hyperlink w:anchor="page31">
              <w:r>
                <w:rPr>
                  <w:rFonts w:ascii="Arial" w:cs="Arial" w:eastAsia="Arial" w:hAnsi="Arial"/>
                  <w:sz w:val="16"/>
                  <w:szCs w:val="16"/>
                  <w:color w:val="0000EE"/>
                </w:rPr>
                <w:t>Equity Compensation Plan Information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27</w:t>
            </w:r>
          </w:p>
        </w:tc>
      </w:tr>
      <w:tr>
        <w:trPr>
          <w:trHeight w:val="257"/>
        </w:trPr>
        <w:tc>
          <w:tcPr>
            <w:tcW w:w="10840" w:type="dxa"/>
            <w:vAlign w:val="bottom"/>
          </w:tcPr>
          <w:p>
            <w:pPr>
              <w:ind w:left="380"/>
              <w:spacing w:after="0"/>
              <w:rPr>
                <w:rFonts w:ascii="Arial" w:cs="Arial" w:eastAsia="Arial" w:hAnsi="Arial"/>
                <w:sz w:val="16"/>
                <w:szCs w:val="16"/>
                <w:color w:val="0000EE"/>
              </w:rPr>
            </w:pPr>
            <w:hyperlink w:anchor="page31">
              <w:r>
                <w:rPr>
                  <w:rFonts w:ascii="Arial" w:cs="Arial" w:eastAsia="Arial" w:hAnsi="Arial"/>
                  <w:sz w:val="16"/>
                  <w:szCs w:val="16"/>
                  <w:color w:val="0000EE"/>
                </w:rPr>
                <w:t>Section 16(a) Beneficial Ownership Reporting Compliance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27</w:t>
            </w:r>
          </w:p>
        </w:tc>
      </w:tr>
      <w:tr>
        <w:trPr>
          <w:trHeight w:val="257"/>
        </w:trPr>
        <w:tc>
          <w:tcPr>
            <w:tcW w:w="10840" w:type="dxa"/>
            <w:vAlign w:val="bottom"/>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CERTAIN RELATIONSHIPS AND RELATED PERSONS TRANSACTIONS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28</w:t>
            </w:r>
          </w:p>
        </w:tc>
      </w:tr>
      <w:tr>
        <w:trPr>
          <w:trHeight w:val="257"/>
        </w:trPr>
        <w:tc>
          <w:tcPr>
            <w:tcW w:w="10840" w:type="dxa"/>
            <w:vAlign w:val="bottom"/>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EXECUTIVE OFFICERS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29</w:t>
            </w:r>
          </w:p>
        </w:tc>
      </w:tr>
      <w:tr>
        <w:trPr>
          <w:trHeight w:val="257"/>
        </w:trPr>
        <w:tc>
          <w:tcPr>
            <w:tcW w:w="10840" w:type="dxa"/>
            <w:vAlign w:val="bottom"/>
          </w:tcPr>
          <w:p>
            <w:pPr>
              <w:ind w:left="380"/>
              <w:spacing w:after="0"/>
              <w:rPr>
                <w:rFonts w:ascii="Arial" w:cs="Arial" w:eastAsia="Arial" w:hAnsi="Arial"/>
                <w:sz w:val="16"/>
                <w:szCs w:val="16"/>
                <w:color w:val="0000EE"/>
              </w:rPr>
            </w:pPr>
            <w:hyperlink w:anchor="page34">
              <w:r>
                <w:rPr>
                  <w:rFonts w:ascii="Arial" w:cs="Arial" w:eastAsia="Arial" w:hAnsi="Arial"/>
                  <w:sz w:val="16"/>
                  <w:szCs w:val="16"/>
                  <w:color w:val="0000EE"/>
                </w:rPr>
                <w:t>Election of Officers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30</w:t>
            </w:r>
          </w:p>
        </w:tc>
      </w:tr>
      <w:tr>
        <w:trPr>
          <w:trHeight w:val="257"/>
        </w:trPr>
        <w:tc>
          <w:tcPr>
            <w:tcW w:w="1084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31</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35">
              <w:r>
                <w:rPr>
                  <w:rFonts w:ascii="Arial" w:cs="Arial" w:eastAsia="Arial" w:hAnsi="Arial"/>
                  <w:sz w:val="16"/>
                  <w:szCs w:val="16"/>
                  <w:color w:val="0000EE"/>
                </w:rPr>
                <w:t>Compensation Discussion and Analysis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31</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3">
              <w:r>
                <w:rPr>
                  <w:rFonts w:ascii="Arial" w:cs="Arial" w:eastAsia="Arial" w:hAnsi="Arial"/>
                  <w:sz w:val="16"/>
                  <w:szCs w:val="16"/>
                  <w:color w:val="0000EE"/>
                </w:rPr>
                <w:t>Report of the Compensation Committee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39</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3">
              <w:r>
                <w:rPr>
                  <w:rFonts w:ascii="Arial" w:cs="Arial" w:eastAsia="Arial" w:hAnsi="Arial"/>
                  <w:sz w:val="16"/>
                  <w:szCs w:val="16"/>
                  <w:color w:val="0000EE"/>
                </w:rPr>
                <w:t>2014 Summary Compensation Table</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40</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5">
              <w:r>
                <w:rPr>
                  <w:rFonts w:ascii="Arial" w:cs="Arial" w:eastAsia="Arial" w:hAnsi="Arial"/>
                  <w:sz w:val="16"/>
                  <w:szCs w:val="16"/>
                  <w:color w:val="0000EE"/>
                </w:rPr>
                <w:t>2014 Grants of Plan-Based Awards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41</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5">
              <w:r>
                <w:rPr>
                  <w:rFonts w:ascii="Arial" w:cs="Arial" w:eastAsia="Arial" w:hAnsi="Arial"/>
                  <w:sz w:val="16"/>
                  <w:szCs w:val="16"/>
                  <w:color w:val="0000EE"/>
                </w:rPr>
                <w:t>Outstanding Equity Awards at 2014 Fiscal Year-End</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41</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9">
              <w:r>
                <w:rPr>
                  <w:rFonts w:ascii="Arial" w:cs="Arial" w:eastAsia="Arial" w:hAnsi="Arial"/>
                  <w:sz w:val="16"/>
                  <w:szCs w:val="16"/>
                  <w:color w:val="0000EE"/>
                </w:rPr>
                <w:t>2014 Option Exercises and Stock Vested</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45</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9">
              <w:r>
                <w:rPr>
                  <w:rFonts w:ascii="Arial" w:cs="Arial" w:eastAsia="Arial" w:hAnsi="Arial"/>
                  <w:sz w:val="16"/>
                  <w:szCs w:val="16"/>
                  <w:color w:val="0000EE"/>
                </w:rPr>
                <w:t>Pension Benefits and Non-qualified Deferred Compensation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45</w:t>
            </w:r>
          </w:p>
        </w:tc>
      </w:tr>
      <w:tr>
        <w:trPr>
          <w:trHeight w:val="257"/>
        </w:trPr>
        <w:tc>
          <w:tcPr>
            <w:tcW w:w="10840" w:type="dxa"/>
            <w:vAlign w:val="bottom"/>
          </w:tcPr>
          <w:p>
            <w:pPr>
              <w:ind w:left="360"/>
              <w:spacing w:after="0"/>
              <w:rPr>
                <w:rFonts w:ascii="Arial" w:cs="Arial" w:eastAsia="Arial" w:hAnsi="Arial"/>
                <w:sz w:val="16"/>
                <w:szCs w:val="16"/>
                <w:color w:val="0000EE"/>
              </w:rPr>
            </w:pPr>
            <w:hyperlink w:anchor="page49">
              <w:r>
                <w:rPr>
                  <w:rFonts w:ascii="Arial" w:cs="Arial" w:eastAsia="Arial" w:hAnsi="Arial"/>
                  <w:sz w:val="16"/>
                  <w:szCs w:val="16"/>
                  <w:color w:val="0000EE"/>
                </w:rPr>
                <w:t>2014 Potential Payments Upon Termination or Change in Control</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45</w:t>
            </w:r>
          </w:p>
        </w:tc>
      </w:tr>
      <w:tr>
        <w:trPr>
          <w:trHeight w:val="257"/>
        </w:trPr>
        <w:tc>
          <w:tcPr>
            <w:tcW w:w="10840" w:type="dxa"/>
            <w:vAlign w:val="bottom"/>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PROPOSAL NO. 3: ADVISORY NON-BINDING RESOLUTION REGARDING EXECUTIVE COMPENSATION</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51</w:t>
            </w:r>
          </w:p>
        </w:tc>
      </w:tr>
      <w:tr>
        <w:trPr>
          <w:trHeight w:val="257"/>
        </w:trPr>
        <w:tc>
          <w:tcPr>
            <w:tcW w:w="10840" w:type="dxa"/>
            <w:vAlign w:val="bottom"/>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OTHER MATTERS</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52</w:t>
            </w:r>
          </w:p>
        </w:tc>
      </w:tr>
      <w:tr>
        <w:trPr>
          <w:trHeight w:val="257"/>
        </w:trPr>
        <w:tc>
          <w:tcPr>
            <w:tcW w:w="10840" w:type="dxa"/>
            <w:vAlign w:val="bottom"/>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CONTACT FOR QUESTIONS AND ASSISTANCE WITH VOTING</w:t>
              </w:r>
            </w:hyperlink>
          </w:p>
        </w:tc>
        <w:tc>
          <w:tcPr>
            <w:tcW w:w="340" w:type="dxa"/>
            <w:vAlign w:val="bottom"/>
          </w:tcPr>
          <w:p>
            <w:pPr>
              <w:jc w:val="right"/>
              <w:spacing w:after="0"/>
              <w:rPr>
                <w:sz w:val="20"/>
                <w:szCs w:val="20"/>
                <w:color w:val="auto"/>
              </w:rPr>
            </w:pPr>
            <w:r>
              <w:rPr>
                <w:rFonts w:ascii="Arial" w:cs="Arial" w:eastAsia="Arial" w:hAnsi="Arial"/>
                <w:sz w:val="16"/>
                <w:szCs w:val="16"/>
                <w:color w:val="1E1ABA"/>
              </w:rPr>
              <w:t>53</w:t>
            </w:r>
          </w:p>
        </w:tc>
      </w:tr>
    </w:tbl>
    <w:p>
      <w:pPr>
        <w:sectPr>
          <w:pgSz w:w="11900" w:h="16838" w:orient="portrait"/>
          <w:cols w:equalWidth="0" w:num="1">
            <w:col w:w="11180"/>
          </w:cols>
          <w:pgMar w:left="460" w:top="607"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ANNUAL MEETING OF STOCKHOLDERS</w:t>
      </w:r>
    </w:p>
    <w:p>
      <w:pPr>
        <w:spacing w:after="0" w:line="2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This proxy statement and proxy card are furnished in connection with the solicitation of proxies to be voted at the 2015 annual meeting of stockholders (the “Annual Meeting”) of RPX Corporation (sometimes referred to as “we”, the “Company” or “RPX”), which will be held at the offices of the Company at One Market Plaza, Steuart Tower, Suite 800, San Francisco, California 94105, on Tuesday, June 9, 2015 at 10:00 a.m. local time. Directions to the Company’s offices are available on the “About RPX” section of our website located at http://www.rpxcorp.com.</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We are making this proxy statement and our annual report available to stockholders at http://ir.rpxcorp.com/annuals-proxies.cfm. On April 30, 2015,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 a Notice and would like to receive a printed copy of our proxy materials, you should follow the instructions for requesting those materials included in the Notice.</w:t>
      </w:r>
    </w:p>
    <w:p>
      <w:pPr>
        <w:spacing w:after="0" w:line="18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121"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You have received these proxy materials because you owned shares of RPX common stock as of April 23, 2015,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a Notice in the mail. The Notice instructs stockholders on how to access and review the proxy statement and annual report over the Internet at www.proxyvote.com. 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a printed set of materials, you may also vote by mail by signing, dating and returning the proxy card.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7" w:right="239" w:bottom="1440" w:gutter="0" w:footer="0" w:header="0"/>
        </w:sectPr>
      </w:pPr>
    </w:p>
    <w:bookmarkStart w:id="5" w:name="page6"/>
    <w:bookmarkEnd w:id="5"/>
    <w:p>
      <w:pPr>
        <w:jc w:val="both"/>
        <w:ind w:firstLine="648"/>
        <w:spacing w:after="0" w:line="306" w:lineRule="auto"/>
        <w:rPr>
          <w:sz w:val="20"/>
          <w:szCs w:val="20"/>
          <w:color w:val="auto"/>
        </w:rPr>
      </w:pPr>
      <w:r>
        <w:rPr>
          <w:rFonts w:ascii="Arial" w:cs="Arial" w:eastAsia="Arial" w:hAnsi="Arial"/>
          <w:sz w:val="18"/>
          <w:szCs w:val="18"/>
          <w:color w:val="auto"/>
        </w:rPr>
        <w:t>When you vote by using the Internet, by telephone or by signing and returning the proxy card, you appoint Robert H. Heath and Martin E. Roberts as your representatives (or proxy holders) at the Annual Meeting. They will vote your shares at the Annual Meeting as you have instructed them or, if an issue that is not on the proxy card comes up for vote, in accordance with their best judgment. This way, your shares will be voted whether or not you attend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Only stockholders of record at the close of business on April 23, 2015, the record date for the Annual Meeting, will be entitled to vote at the Annual Meeting. On the record date, there were 54,257,325 shares of the Company’s common stock outstanding. All of these outstanding shares are entitled to vote at the Annual Meeting (one vote per share of common stock) in connection with the matters set forth in this proxy statement.</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June 9, 2015 and will be accessible for ten days prior to the meeting at our principal place of business, One Market Plaza, Suite 800, San Francisco, California 94105, weekdays between the hours of 9:00 a.m. and 5:00 p.m. local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—If your shares are registered directly in your name with our transfer agent, Computershare, you are considered,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those shares, the “stockholder of record.” If you are a stockholder of record, these proxy materials have been sent directly to you by RPX.</w:t>
      </w:r>
    </w:p>
    <w:p>
      <w:pPr>
        <w:spacing w:after="0" w:line="14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—Many of our stockholders hold their shares through a broker, trustee or nominee, rather than directly in their own name.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a brokerage account or by a trustee or nominee, you are considered the “beneficial owner” of shares held in “street name.” If you hold your shares in street name, these proxy materials have been forwarded to you by your broker, trustee or nominee who is considered, with respect to those shares, the stockholder of record.</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As the beneficial owner, you have the right to direct your broker, trustee or nominee on how to vote your shares. Since a beneficial owner is not the stockholder of record, you may not vote these shares in person at the Annual Meeting unless you obtain a “legal proxy” from the broker, trustee or nominee that holds your shares, giving you the right to vote the shares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—Stockholders of record may vote by using the Internet, by telephone or (if you received a proxy card by mail) by mail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Stockholders of record also may attend the meeting and vote in person.</w:t>
      </w:r>
    </w:p>
    <w:p>
      <w:pPr>
        <w:spacing w:after="0" w:line="170" w:lineRule="exact"/>
        <w:rPr>
          <w:sz w:val="20"/>
          <w:szCs w:val="20"/>
          <w:color w:val="auto"/>
        </w:rPr>
      </w:pPr>
    </w:p>
    <w:p>
      <w:pPr>
        <w:jc w:val="both"/>
        <w:ind w:left="980" w:right="120" w:hanging="324"/>
        <w:spacing w:after="0" w:line="31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www.investorvote.com/RPXC. Internet voting is available 24 hours a day and will be accessible until 11:59 p.m. Eastern Time on June 8, 2015. Easy-to-follow instructions allow you to vote your shares and confirm that your instructions have been properly recorded;</w:t>
      </w:r>
    </w:p>
    <w:p>
      <w:pPr>
        <w:spacing w:after="0" w:line="32" w:lineRule="exact"/>
        <w:rPr>
          <w:rFonts w:ascii="Arial" w:cs="Arial" w:eastAsia="Arial" w:hAnsi="Arial"/>
          <w:sz w:val="18"/>
          <w:szCs w:val="18"/>
          <w:color w:val="auto"/>
        </w:rPr>
      </w:pPr>
    </w:p>
    <w:p>
      <w:pPr>
        <w:ind w:left="980" w:right="180" w:hanging="324"/>
        <w:spacing w:after="0" w:line="324"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June 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6" w:name="page7"/>
    <w:bookmarkEnd w:id="6"/>
    <w:p>
      <w:pPr>
        <w:ind w:left="980"/>
        <w:spacing w:after="0"/>
        <w:rPr>
          <w:sz w:val="20"/>
          <w:szCs w:val="20"/>
          <w:color w:val="auto"/>
        </w:rPr>
      </w:pPr>
      <w:r>
        <w:rPr>
          <w:rFonts w:ascii="Arial" w:cs="Arial" w:eastAsia="Arial" w:hAnsi="Arial"/>
          <w:sz w:val="17"/>
          <w:szCs w:val="17"/>
          <w:color w:val="auto"/>
        </w:rPr>
        <w:t>2015. Easy-to-follow voice prompts allow you to vote your shares and confirm that your instructions have been properly recorded; or</w:t>
      </w:r>
    </w:p>
    <w:p>
      <w:pPr>
        <w:spacing w:after="0" w:line="156" w:lineRule="exact"/>
        <w:rPr>
          <w:sz w:val="20"/>
          <w:szCs w:val="20"/>
          <w:color w:val="auto"/>
        </w:rPr>
      </w:pPr>
    </w:p>
    <w:p>
      <w:pPr>
        <w:ind w:left="980" w:right="440" w:hanging="324"/>
        <w:spacing w:after="0" w:line="324"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 provided.</w:t>
      </w:r>
    </w:p>
    <w:p>
      <w:pPr>
        <w:spacing w:after="0" w:line="130"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—If you hold shares through a broker, trustee or nominee, please refer to your Notice or other information forwarded by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trustee or nominee to see which voting options are available to you.</w:t>
      </w:r>
    </w:p>
    <w:p>
      <w:pPr>
        <w:spacing w:after="0" w:line="17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The method you use to vote will not limit your right to vote at the Annual Meeting if you decide to attend in person. Written ballots will be passed out to anyone who wants to vote at the Annual Meeting. If you hold your shares through a broker, trustee or nominee, you must obtain a “legal proxy,” executed in your favor, from the holder of record to be able to vote in person at the Annual Meeting.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card or follow the voting instructions described above so that your vote will be counted if you later decide not to attend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You can revoke your proxy at any time before the final vote at the Annual Meeting.</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in any one of these ways:</w:t>
      </w:r>
    </w:p>
    <w:p>
      <w:pPr>
        <w:spacing w:after="0" w:line="11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You may submit a subsequent proxy by using the Internet, by telephone or by mail with a later date;</w:t>
      </w:r>
    </w:p>
    <w:p>
      <w:pPr>
        <w:spacing w:after="0" w:line="117" w:lineRule="exact"/>
        <w:rPr>
          <w:rFonts w:ascii="Arial" w:cs="Arial" w:eastAsia="Arial" w:hAnsi="Arial"/>
          <w:sz w:val="16"/>
          <w:szCs w:val="16"/>
          <w:color w:val="auto"/>
        </w:rPr>
      </w:pPr>
    </w:p>
    <w:p>
      <w:pPr>
        <w:ind w:left="980" w:right="640" w:hanging="324"/>
        <w:spacing w:after="0" w:line="32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w:t>
      </w:r>
    </w:p>
    <w:p>
      <w:pPr>
        <w:spacing w:after="0" w:line="21"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You may sign another proxy card with a later date and return it to us prior to the Annual Meeting; or</w:t>
      </w:r>
    </w:p>
    <w:p>
      <w:pPr>
        <w:spacing w:after="0" w:line="117" w:lineRule="exact"/>
        <w:rPr>
          <w:rFonts w:ascii="Arial" w:cs="Arial" w:eastAsia="Arial" w:hAnsi="Arial"/>
          <w:sz w:val="16"/>
          <w:szCs w:val="16"/>
          <w:color w:val="auto"/>
        </w:rPr>
      </w:pPr>
    </w:p>
    <w:p>
      <w:pPr>
        <w:ind w:left="980" w:right="40" w:hanging="324"/>
        <w:spacing w:after="0" w:line="32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the shares,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does RPX need to hold the Annual Meeting?</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54,257,325 shares of common stock outstanding and entitled to vote. Thus, 27,128,663 shares must be represented in person or by proxy at the Annual Meeting to have a quorum.</w:t>
      </w:r>
    </w:p>
    <w:p>
      <w:pPr>
        <w:spacing w:after="0" w:line="1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trustee or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117" w:lineRule="exact"/>
        <w:rPr>
          <w:sz w:val="20"/>
          <w:szCs w:val="20"/>
          <w:color w:val="auto"/>
        </w:rPr>
      </w:pPr>
    </w:p>
    <w:p>
      <w:pPr>
        <w:ind w:left="980" w:hanging="324"/>
        <w:spacing w:after="0" w:line="32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Proposal 1: To elect a Class I director nominated by our board of directors and named in this proxy statement to serve a term of three years until our 2018 annual meeting of stockholders;</w:t>
      </w:r>
    </w:p>
    <w:p>
      <w:pPr>
        <w:spacing w:after="0" w:line="21"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2015; and</w:t>
      </w: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Proposal 3: To vote on an advisory non-binding resolution regarding executive compensation.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b w:val="1"/>
          <w:bCs w:val="1"/>
          <w:i w:val="1"/>
          <w:iCs w:val="1"/>
          <w:color w:val="auto"/>
        </w:rPr>
        <w:t xml:space="preserve">Stockholder of Record: Shares Registered in Your Name. </w:t>
      </w:r>
      <w:r>
        <w:rPr>
          <w:rFonts w:ascii="Arial" w:cs="Arial" w:eastAsia="Arial" w:hAnsi="Arial"/>
          <w:sz w:val="18"/>
          <w:szCs w:val="18"/>
          <w:color w:val="auto"/>
        </w:rPr>
        <w:t>If you are the stockholder of record of your shares and you do not vote by proxy card,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via the Internet or in person at the Annual Meeting, your shares will not be voted at the Annual Meeting.</w:t>
      </w:r>
    </w:p>
    <w:p>
      <w:pPr>
        <w:spacing w:after="0" w:line="170"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7"/>
          <w:szCs w:val="17"/>
          <w:b w:val="1"/>
          <w:bCs w:val="1"/>
          <w:i w:val="1"/>
          <w:iCs w:val="1"/>
          <w:color w:val="auto"/>
        </w:rPr>
        <w:t xml:space="preserve">Beneficial Owner: Shares Registered in the Name of Broker, Trustee or Nominee. </w:t>
      </w:r>
      <w:r>
        <w:rPr>
          <w:rFonts w:ascii="Arial" w:cs="Arial" w:eastAsia="Arial" w:hAnsi="Arial"/>
          <w:sz w:val="17"/>
          <w:szCs w:val="17"/>
          <w:color w:val="auto"/>
        </w:rPr>
        <w:t>Brokers, trustees or nominees who hold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for a beneficial owner have the discretion to vote on routine proposals when they have not received voting instructions from the beneficial owner at least ten days prior to the Annual Meeting. A broker non-vote occurs when a broker, trustee or nominee does not receive voting instructions from the beneficial owner and does not have the discretion to direct the voting of the shares. Under the rules that govern brokers, trustees or nominees who are voting shares held for a beneficial owner, brokers, trustees or nominees have the discretion to vote those shares on routine matters but not on non-routine matters. Proposal 2 is the only routine matter in this proxy statement. As such, your broker, trustee or nominee does not have discretion to vote your shares on Proposals 1 and 3, but does have discretion to vote your shares on Proposal 2.</w:t>
      </w:r>
    </w:p>
    <w:p>
      <w:pPr>
        <w:spacing w:after="0" w:line="17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We encourage you to provide instructions to your broker, trustee or nominee by voting your proxy. This action ensures your shares will be voted at the meeting in accordance with your wishes.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1: Election of one Class I director.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election of the nominee for director, you may:</w:t>
      </w:r>
    </w:p>
    <w:p>
      <w:pPr>
        <w:spacing w:after="0" w:line="11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 for director; or</w:t>
      </w:r>
    </w:p>
    <w:p>
      <w:pPr>
        <w:spacing w:after="0" w:line="117"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w:t>
      </w:r>
      <w:r>
        <w:rPr>
          <w:rFonts w:ascii="Arial" w:cs="Arial" w:eastAsia="Arial" w:hAnsi="Arial"/>
          <w:sz w:val="18"/>
          <w:szCs w:val="18"/>
          <w:color w:val="auto"/>
        </w:rPr>
        <w:t>” your vote for the nominee.</w:t>
      </w:r>
    </w:p>
    <w:p>
      <w:pPr>
        <w:spacing w:after="0" w:line="270"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Directors will be elected by a plurality of the votes cast at the Annual Meeting, meaning the nominee who is properly nominated in accordance with our bylaws and receives the most “</w:t>
      </w:r>
      <w:r>
        <w:rPr>
          <w:rFonts w:ascii="Arial" w:cs="Arial" w:eastAsia="Arial" w:hAnsi="Arial"/>
          <w:sz w:val="17"/>
          <w:szCs w:val="17"/>
          <w:b w:val="1"/>
          <w:bCs w:val="1"/>
          <w:color w:val="auto"/>
        </w:rPr>
        <w:t>FOR</w:t>
      </w:r>
      <w:r>
        <w:rPr>
          <w:rFonts w:ascii="Arial" w:cs="Arial" w:eastAsia="Arial" w:hAnsi="Arial"/>
          <w:sz w:val="17"/>
          <w:szCs w:val="17"/>
          <w:color w:val="auto"/>
        </w:rPr>
        <w:t>” votes will be elected. Only votes cast “</w:t>
      </w:r>
      <w:r>
        <w:rPr>
          <w:rFonts w:ascii="Arial" w:cs="Arial" w:eastAsia="Arial" w:hAnsi="Arial"/>
          <w:sz w:val="17"/>
          <w:szCs w:val="17"/>
          <w:b w:val="1"/>
          <w:bCs w:val="1"/>
          <w:color w:val="auto"/>
        </w:rPr>
        <w:t>FOR</w:t>
      </w:r>
      <w:r>
        <w:rPr>
          <w:rFonts w:ascii="Arial" w:cs="Arial" w:eastAsia="Arial" w:hAnsi="Arial"/>
          <w:sz w:val="17"/>
          <w:szCs w:val="17"/>
          <w:color w:val="auto"/>
        </w:rPr>
        <w:t>” the nominee will be counted. An instruction to “</w:t>
      </w:r>
      <w:r>
        <w:rPr>
          <w:rFonts w:ascii="Arial" w:cs="Arial" w:eastAsia="Arial" w:hAnsi="Arial"/>
          <w:sz w:val="17"/>
          <w:szCs w:val="17"/>
          <w:b w:val="1"/>
          <w:bCs w:val="1"/>
          <w:color w:val="auto"/>
        </w:rPr>
        <w:t>WITHHOLD</w:t>
      </w:r>
      <w:r>
        <w:rPr>
          <w:rFonts w:ascii="Arial" w:cs="Arial" w:eastAsia="Arial" w:hAnsi="Arial"/>
          <w:sz w:val="17"/>
          <w:szCs w:val="17"/>
          <w:color w:val="auto"/>
        </w:rPr>
        <w:t>” authority to vote for the nominee will result in the nominee receiving fewer votes, but will not count as a vote against the nominee. Abstentions and broker non-votes will have no effect on the outcome of the election of directors. Because the election of directors is not 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7"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matter on which a broker, trustee or nominee is generally empowered to vote, broker non-votes are expected to exist in connection with this matter.</w:t>
      </w:r>
    </w:p>
    <w:p>
      <w:pPr>
        <w:spacing w:after="0" w:line="27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2015.</w:t>
      </w:r>
    </w:p>
    <w:p>
      <w:pPr>
        <w:spacing w:after="0" w:line="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ratify the selection by the audit committee of our board of directors of PricewaterhouseCoopers LLP as the independent registered public accounting firm of the Company for the fiscal year ending December 31, 2015,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 all those outstanding shares that are represented in person or by proxy and that are entitled to vote on Proposal 2 at the Annual Meeting.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3: Advisory non-binding resolution regarding executive compensation.</w:t>
      </w:r>
    </w:p>
    <w:p>
      <w:pPr>
        <w:spacing w:after="0" w:line="20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approve, by non-binding vote, the compensation of the Company’s named executive officers,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 all those outstanding shares that are represented in person or by proxy and that are entitled to vote on Proposal 3 at the Annual Meeting.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The result of Proposal 3 shall be non-binding on the Company and advisory in nature.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Proposal 3 is a non-routine matter, broker non-votes are expected to exist in connection with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11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reduce the number of directors that serve on the board; or</w:t>
      </w:r>
    </w:p>
    <w:p>
      <w:pPr>
        <w:spacing w:after="0" w:line="117"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designate a substitute nominee.</w:t>
      </w:r>
    </w:p>
    <w:p>
      <w:pPr>
        <w:spacing w:after="0" w:line="26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unanimously recommends a vote:</w:t>
      </w:r>
    </w:p>
    <w:p>
      <w:pPr>
        <w:spacing w:after="0" w:line="113" w:lineRule="exact"/>
        <w:rPr>
          <w:sz w:val="20"/>
          <w:szCs w:val="20"/>
          <w:color w:val="auto"/>
        </w:rPr>
      </w:pPr>
    </w:p>
    <w:p>
      <w:pPr>
        <w:ind w:left="980" w:hanging="324"/>
        <w:spacing w:after="0" w:line="329"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Frank E. Dangeard </w:t>
      </w:r>
      <w:r>
        <w:rPr>
          <w:rFonts w:ascii="Arial" w:cs="Arial" w:eastAsia="Arial" w:hAnsi="Arial"/>
          <w:sz w:val="18"/>
          <w:szCs w:val="18"/>
          <w:color w:val="181818"/>
        </w:rPr>
        <w:t>as a</w:t>
      </w:r>
      <w:r>
        <w:rPr>
          <w:rFonts w:ascii="Arial" w:cs="Arial" w:eastAsia="Arial" w:hAnsi="Arial"/>
          <w:sz w:val="18"/>
          <w:szCs w:val="18"/>
          <w:color w:val="auto"/>
        </w:rPr>
        <w:t xml:space="preserve"> Class I director to serve a term of three years until our 2018 annual meeting of stockholders;</w:t>
      </w:r>
    </w:p>
    <w:p>
      <w:pPr>
        <w:spacing w:after="0" w:line="13" w:lineRule="exact"/>
        <w:rPr>
          <w:rFonts w:ascii="Arial" w:cs="Arial" w:eastAsia="Arial" w:hAnsi="Arial"/>
          <w:sz w:val="16"/>
          <w:szCs w:val="16"/>
          <w:color w:val="auto"/>
        </w:rPr>
      </w:pPr>
    </w:p>
    <w:p>
      <w:pPr>
        <w:ind w:left="980" w:hanging="324"/>
        <w:spacing w:after="0" w:line="329"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2015; and</w:t>
      </w:r>
    </w:p>
    <w:p>
      <w:pPr>
        <w:spacing w:after="0" w:line="53"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3: “</w:t>
      </w:r>
      <w:r>
        <w:rPr>
          <w:rFonts w:ascii="Arial" w:cs="Arial" w:eastAsia="Arial" w:hAnsi="Arial"/>
          <w:sz w:val="18"/>
          <w:szCs w:val="18"/>
          <w:b w:val="1"/>
          <w:bCs w:val="1"/>
          <w:color w:val="auto"/>
        </w:rPr>
        <w:t>FOR</w:t>
      </w:r>
      <w:r>
        <w:rPr>
          <w:rFonts w:ascii="Arial" w:cs="Arial" w:eastAsia="Arial" w:hAnsi="Arial"/>
          <w:sz w:val="18"/>
          <w:szCs w:val="18"/>
          <w:color w:val="auto"/>
        </w:rPr>
        <w:t>” the approval, in an advisory non-binding manner,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11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Frank E. Dangeard </w:t>
      </w:r>
      <w:r>
        <w:rPr>
          <w:rFonts w:ascii="Arial" w:cs="Arial" w:eastAsia="Arial" w:hAnsi="Arial"/>
          <w:sz w:val="18"/>
          <w:szCs w:val="18"/>
          <w:color w:val="181818"/>
        </w:rPr>
        <w:t>as a</w:t>
      </w:r>
      <w:r>
        <w:rPr>
          <w:rFonts w:ascii="Arial" w:cs="Arial" w:eastAsia="Arial" w:hAnsi="Arial"/>
          <w:sz w:val="18"/>
          <w:szCs w:val="18"/>
          <w:color w:val="auto"/>
        </w:rPr>
        <w:t xml:space="preserve"> Class I director;</w:t>
      </w:r>
    </w:p>
    <w:p>
      <w:pPr>
        <w:spacing w:after="0" w:line="117" w:lineRule="exact"/>
        <w:rPr>
          <w:rFonts w:ascii="Arial" w:cs="Arial" w:eastAsia="Arial" w:hAnsi="Arial"/>
          <w:sz w:val="16"/>
          <w:szCs w:val="16"/>
          <w:color w:val="auto"/>
        </w:rPr>
      </w:pPr>
    </w:p>
    <w:p>
      <w:pPr>
        <w:ind w:left="980" w:hanging="324"/>
        <w:spacing w:after="0" w:line="329"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2015; and</w:t>
      </w:r>
    </w:p>
    <w:p>
      <w:pPr>
        <w:spacing w:after="0" w:line="13"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Proposal 3: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in an advisory non-binding manner, of the compensation of our named executive officers.</w:t>
      </w:r>
    </w:p>
    <w:p>
      <w:pPr>
        <w:spacing w:after="0" w:line="121" w:lineRule="exact"/>
        <w:rPr>
          <w:rFonts w:ascii="Arial" w:cs="Arial" w:eastAsia="Arial" w:hAnsi="Arial"/>
          <w:sz w:val="16"/>
          <w:szCs w:val="16"/>
          <w:color w:val="auto"/>
        </w:rPr>
      </w:pPr>
    </w:p>
    <w:p>
      <w:pPr>
        <w:ind w:left="980" w:hanging="324"/>
        <w:spacing w:after="0" w:line="324"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If any other matter is properly presented at the Annual Meeting, the proxy holders for shares voted on the proxy card (i.e., one of the individuals named as proxies on your proxy card) will vote your shares using his or her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121"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April 23, 2015)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The board of directors of the Company is soliciting the accompanying proxy.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are expected to be reported on a Current Report on Form 8-K filed with the SEC no later than June 15,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This proxy statement and the 2014 annual report are available at our corporate website at http://ir.rpxcorp.com/annuals-proxies.cfm, which, in accordance with SEC rules, does not have “cookies” that identify visitors to the site. You can also obtain copies without charge at the SEC’s website at www.sec.gov.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0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jc w:val="both"/>
        <w:ind w:right="20" w:firstLine="648"/>
        <w:spacing w:after="0" w:line="395"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and annual reports electronically?</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Yes. This proxy statement and the 2014 annual report are available on the investor relations section of our website located at http://ir.rpxcorp.com/annuals-proxies.cfm.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The inclusion of our website address in this proxy statement does not include or incorporate by reference the information on our website into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12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consideration at the 2016 annual meeting of stockholders?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Stockholders of the Company may submit proper proposals for consideration at our 2016 annual meeting of stockholders by submitting their proposals in writing to the Secretary of the Company in a timely manner.</w:t>
      </w:r>
    </w:p>
    <w:p>
      <w:pPr>
        <w:spacing w:after="0" w:line="1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i w:val="1"/>
          <w:iCs w:val="1"/>
          <w:color w:val="auto"/>
        </w:rPr>
        <w:t>Requirements for stockholder proposals to be considered for inclusion in our proxy material</w:t>
      </w:r>
      <w:r>
        <w:rPr>
          <w:rFonts w:ascii="Arial" w:cs="Arial" w:eastAsia="Arial" w:hAnsi="Arial"/>
          <w:sz w:val="18"/>
          <w:szCs w:val="18"/>
          <w:color w:val="auto"/>
        </w:rPr>
        <w:t>—In order to be considered for inclusion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for the 2016 annual meeting of stockholders, stockholder proposals must:</w:t>
      </w:r>
    </w:p>
    <w:p>
      <w:pPr>
        <w:spacing w:after="0" w:line="2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be received by the Secretary of the Company no later than the close of business on January 1, 2016; and</w:t>
      </w:r>
    </w:p>
    <w:p>
      <w:pPr>
        <w:spacing w:after="0" w:line="117" w:lineRule="exact"/>
        <w:rPr>
          <w:rFonts w:ascii="Arial" w:cs="Arial" w:eastAsia="Arial" w:hAnsi="Arial"/>
          <w:sz w:val="16"/>
          <w:szCs w:val="16"/>
          <w:color w:val="auto"/>
        </w:rPr>
      </w:pPr>
    </w:p>
    <w:p>
      <w:pPr>
        <w:ind w:left="980" w:hanging="324"/>
        <w:spacing w:after="0" w:line="324"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70" w:lineRule="exact"/>
        <w:rPr>
          <w:sz w:val="20"/>
          <w:szCs w:val="20"/>
          <w:color w:val="auto"/>
        </w:rPr>
      </w:pPr>
    </w:p>
    <w:p>
      <w:pPr>
        <w:ind w:firstLine="648"/>
        <w:spacing w:after="0" w:line="334" w:lineRule="auto"/>
        <w:rPr>
          <w:sz w:val="20"/>
          <w:szCs w:val="20"/>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wish to present certain matters before an annual meeting of stockholders. In general, nominations for the election of directors may be made</w:t>
      </w:r>
    </w:p>
    <w:p>
      <w:pPr>
        <w:spacing w:after="0" w:line="1" w:lineRule="exact"/>
        <w:rPr>
          <w:sz w:val="20"/>
          <w:szCs w:val="20"/>
          <w:color w:val="auto"/>
        </w:rPr>
      </w:pPr>
    </w:p>
    <w:p>
      <w:pPr>
        <w:jc w:val="both"/>
        <w:ind w:firstLine="8"/>
        <w:spacing w:after="0" w:line="306"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(2) by any stockholder entitled to vote who has timely delivered written notice to the Secretary of the Company during the Notice Period (as defined below), which notice must contain specified information concerning the nominees and concerning the stockholder proposing such nominations. However, if a stockholder wishes only to recommend a candidate for consideration by the nominating and corporate governance committee as a potential nominee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for director, see the procedures discussed below in “Corporate Governance—Board Committees—Nominating and Corporate Governance Committee.”</w:t>
      </w:r>
    </w:p>
    <w:p>
      <w:pPr>
        <w:spacing w:after="0" w:line="277"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The bylaws also provide that the only business that may be conducted at an annual meeting is business that is brought (1) pursuant to the notice of meeting (or any supplement thereto), (2) by or at the direction of the board of directors, or (3) by a stockholder who has timely delivered written notice which sets forth all information required by the bylaws to the Secretary of the Company during the Notice Period (as defined below).</w:t>
      </w:r>
    </w:p>
    <w:p>
      <w:pPr>
        <w:spacing w:after="0" w:line="16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The “Notice Period” is defined as the period commencing on the date 75 days prior to the one year anniversary of the date on which RPX first mailed its proxy materials to stockholders for the previous year’s annual meeting of stockholders and terminating on the date 45 days prior to the one year anniversary of the date on which RPX first mailed its proxy materials to stockholders for the previous year’s annual meeting of stockholders. As a result, the Notice Period for our 2016 annual meeting of stockholders will be from February 15, 2016 to March 16, 2016.</w:t>
      </w:r>
    </w:p>
    <w:p>
      <w:pPr>
        <w:spacing w:after="0" w:line="17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If a stockholder who has notified RPX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A copy of our bylaw provisions governing the notice requirements set forth above may be obtained by writing to the Secretary of the Company. A current copy of our bylaws is also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18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for the Annual Meeting to be Held on Tuesday, June 9, 2015</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our annual report are available on-line at http://ir.rpxcorp.com/annuals-proxies.cfm.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Our board of directors currently comprises eight directors divided into three classes with staggered three-year terms. There are currently two directors in Class I, three directors in Class II and three directors in Class III. The term of office of our Class I directors, Frank E. Dangeard and Randy Komisar, will expire at this year’s Annual Meeting. The term of office of our Class II directors, John A. Amster, Geoffrey T. Barker and Steven L. Fingerhood, will expire at the 2016 annual meeting of stockholders. The term of office of our Class III directors, Shelby W. Bonnie, Sanford R. Robertson and Thomas O. Ryder, will expire at the 2017 annual meeting of stockholders. There are no family relationships among any of our directors or executive officers. It is our policy to encourage nominees for director to attend the Annual Meeting. Izhar Armony resigned from the board of directors effective June 18, 2014, and Mr. Komisar has notified the board of directors that he will resign from the board of directors effective June 9, 2015, the date of the Company's 2015 Annual Meeting of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Election as Class I Director at the Annual Meeting</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This year’s nominee for election to the board as our Class I director to serve for a term of three years expiring at the 2018 annual meeting of stockholders, or until his successor has been duly elected and qualified or until his earlier death, resignation or removal, is provided below. The age of the director as of April 23, 2015 is set forth below. The nominee has agreed to serve as a director if elected, and we have no reason to believe that the nominee will be unable to serve if elected.</w:t>
      </w: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44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Positions and Offices Held with Company</w:t>
            </w:r>
          </w:p>
        </w:tc>
        <w:tc>
          <w:tcPr>
            <w:tcW w:w="10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43"/>
        </w:trPr>
        <w:tc>
          <w:tcPr>
            <w:tcW w:w="3200" w:type="dxa"/>
            <w:vAlign w:val="bottom"/>
            <w:gridSpan w:val="2"/>
          </w:tcPr>
          <w:p>
            <w:pPr>
              <w:ind w:left="80"/>
              <w:spacing w:after="0"/>
              <w:rPr>
                <w:sz w:val="20"/>
                <w:szCs w:val="20"/>
                <w:color w:val="auto"/>
              </w:rPr>
            </w:pPr>
            <w:r>
              <w:rPr>
                <w:rFonts w:ascii="Arial" w:cs="Arial" w:eastAsia="Arial" w:hAnsi="Arial"/>
                <w:sz w:val="18"/>
                <w:szCs w:val="18"/>
                <w:color w:val="auto"/>
              </w:rPr>
              <w:t>Frank E. Dangeard</w:t>
            </w:r>
          </w:p>
        </w:tc>
        <w:tc>
          <w:tcPr>
            <w:tcW w:w="1020" w:type="dxa"/>
            <w:vAlign w:val="bottom"/>
          </w:tcPr>
          <w:p>
            <w:pPr>
              <w:jc w:val="right"/>
              <w:ind w:right="299"/>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5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500" w:type="dxa"/>
            <w:vAlign w:val="bottom"/>
          </w:tcPr>
          <w:p>
            <w:pPr>
              <w:jc w:val="right"/>
              <w:ind w:right="959"/>
              <w:spacing w:after="0"/>
              <w:rPr>
                <w:sz w:val="20"/>
                <w:szCs w:val="20"/>
                <w:color w:val="auto"/>
              </w:rPr>
            </w:pPr>
            <w:r>
              <w:rPr>
                <w:rFonts w:ascii="Arial" w:cs="Arial" w:eastAsia="Arial" w:hAnsi="Arial"/>
                <w:sz w:val="18"/>
                <w:szCs w:val="18"/>
                <w:color w:val="auto"/>
              </w:rPr>
              <w:t>2014</w:t>
            </w:r>
          </w:p>
        </w:tc>
      </w:tr>
    </w:tbl>
    <w:p>
      <w:pPr>
        <w:spacing w:after="0" w:line="32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The following is additional information about the nominee as of the date of this proxy statement, including his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18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Frank E. Dangeard, age 57, has been a director of the Company since April 2014. He has been the Managing Partner of Harcourt, an advisory and investment firm, since March 2008. Mr. Dangeard was Chairman and Chief Executive Officer of Thomson, a provider of digital video technologies, solutions and services, from September 2004 to February 2008. From September 2002 to September 2004, he was Deputy CEO of France Telecom, a global telecommunications operator. From 1997 to 2002, Mr. Dangeard was Deputy CEO of Thomson Multimedia and Thomson S.A. and was appointed Deputy Chairman of Thomson Multimedia in 1999. Prior to joining Thomson Multimedia and Thomson S.A., Mr. Dangeard was Managing Director of SG Warburg from 1988 to 1997. Mr. Dangeard also serves on the boards of directors of Atari S.A., Symantec Corporation, and Telenor Group, as well as a number of privately held companies. He graduated from the École des Hautes Études Commerciales, the Paris Institut d’Études Politiques and holds an L.L.M from Harvard Law School. Our board of directors determined that Mr. Dangeard should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13" w:name="page14"/>
    <w:bookmarkEnd w:id="13"/>
    <w:p>
      <w:pPr>
        <w:jc w:val="both"/>
        <w:spacing w:after="0" w:line="324" w:lineRule="auto"/>
        <w:rPr>
          <w:sz w:val="20"/>
          <w:szCs w:val="20"/>
          <w:color w:val="auto"/>
        </w:rPr>
      </w:pPr>
      <w:r>
        <w:rPr>
          <w:rFonts w:ascii="Arial" w:cs="Arial" w:eastAsia="Arial" w:hAnsi="Arial"/>
          <w:sz w:val="18"/>
          <w:szCs w:val="18"/>
          <w:color w:val="auto"/>
        </w:rPr>
        <w:t>serve as a director based on his extensive experience as a senior executive and investor in the technology industry as well as his skills relating to financial statements and accounting matters.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The affirmative vote of a plurality of the votes cast at the Annual Meeting is required for the election of our Class I director. The nominee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among votes properly cast in person or by proxy will be elected to the board as Class I directors.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your vote on the nominee for election as director. Shares represented by signed proxy cards will be voted on 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Mr. Dangeard to the board of directors at the Annual Meeting, unless otherwise marked on the card. A broker non-vote or a properly executed proxy marked “</w:t>
      </w:r>
      <w:r>
        <w:rPr>
          <w:rFonts w:ascii="Arial" w:cs="Arial" w:eastAsia="Arial" w:hAnsi="Arial"/>
          <w:sz w:val="18"/>
          <w:szCs w:val="18"/>
          <w:b w:val="1"/>
          <w:bCs w:val="1"/>
          <w:color w:val="auto"/>
        </w:rPr>
        <w:t>WITHHOLD</w:t>
      </w:r>
      <w:r>
        <w:rPr>
          <w:rFonts w:ascii="Arial" w:cs="Arial" w:eastAsia="Arial" w:hAnsi="Arial"/>
          <w:sz w:val="18"/>
          <w:szCs w:val="18"/>
          <w:color w:val="auto"/>
        </w:rPr>
        <w:t>” with respect to the election of the Class I director will not be voted with respect to the director, although it will be counted for purposes of determining whether there is a quorum.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FRANK E. DANGEARD.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12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April 23, 2015 is set forth below.</w:t>
      </w: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50"/>
        </w:trPr>
        <w:tc>
          <w:tcPr>
            <w:tcW w:w="2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John A. Amster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Chief Executive Officer; President; 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740" w:type="dxa"/>
            <w:vAlign w:val="bottom"/>
            <w:gridSpan w:val="2"/>
          </w:tcPr>
          <w:p>
            <w:pPr>
              <w:ind w:left="80"/>
              <w:spacing w:after="0"/>
              <w:rPr>
                <w:sz w:val="20"/>
                <w:szCs w:val="20"/>
                <w:color w:val="auto"/>
              </w:rPr>
            </w:pPr>
            <w:r>
              <w:rPr>
                <w:rFonts w:ascii="Arial" w:cs="Arial" w:eastAsia="Arial" w:hAnsi="Arial"/>
                <w:sz w:val="18"/>
                <w:szCs w:val="18"/>
                <w:color w:val="auto"/>
              </w:rPr>
              <w:t>Geoffrey T. Barker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49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Executive Director;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Shelby W. Bonnie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43"/>
        </w:trPr>
        <w:tc>
          <w:tcPr>
            <w:tcW w:w="2740" w:type="dxa"/>
            <w:vAlign w:val="bottom"/>
            <w:gridSpan w:val="2"/>
          </w:tcPr>
          <w:p>
            <w:pPr>
              <w:ind w:left="80"/>
              <w:spacing w:after="0"/>
              <w:rPr>
                <w:sz w:val="20"/>
                <w:szCs w:val="20"/>
                <w:color w:val="auto"/>
              </w:rPr>
            </w:pPr>
            <w:r>
              <w:rPr>
                <w:rFonts w:ascii="Arial" w:cs="Arial" w:eastAsia="Arial" w:hAnsi="Arial"/>
                <w:sz w:val="18"/>
                <w:szCs w:val="18"/>
                <w:color w:val="auto"/>
              </w:rPr>
              <w:t>Steven L. Fingerhood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49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Sanford R. Robertson</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43"/>
        </w:trPr>
        <w:tc>
          <w:tcPr>
            <w:tcW w:w="2740" w:type="dxa"/>
            <w:vAlign w:val="bottom"/>
            <w:gridSpan w:val="2"/>
          </w:tcPr>
          <w:p>
            <w:pPr>
              <w:ind w:left="80"/>
              <w:spacing w:after="0"/>
              <w:rPr>
                <w:sz w:val="20"/>
                <w:szCs w:val="20"/>
                <w:color w:val="auto"/>
              </w:rPr>
            </w:pPr>
            <w:r>
              <w:rPr>
                <w:rFonts w:ascii="Arial" w:cs="Arial" w:eastAsia="Arial" w:hAnsi="Arial"/>
                <w:sz w:val="18"/>
                <w:szCs w:val="18"/>
                <w:color w:val="auto"/>
              </w:rPr>
              <w:t>Thomas O. Ryder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1"/>
                <w:szCs w:val="21"/>
                <w:color w:val="auto"/>
              </w:rPr>
            </w:pPr>
          </w:p>
        </w:tc>
        <w:tc>
          <w:tcPr>
            <w:tcW w:w="49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2009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(Terms Expire in 2016)</w:t>
      </w:r>
    </w:p>
    <w:p>
      <w:pPr>
        <w:spacing w:after="0" w:line="11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John A. Amster, age 46, has served as our Chief Executive Officer since March 2010, our Co-Chief Executive Officer from our inception until March 2010, and a director since our inception. Prior to founding our company, Mr. Amster served as the General Manager of Strategic Acquisitions and Vice President of Licensing at Intellectual Ventures, a patent licensing firm, where he was responsible for strategic acquisitions of patent portfolios as well as developing the software and e-commerce licensing programs, from 2005 to 2008. From 2003 to 2004, Mr. Amster served as Managing Director and founded the M&amp;A Advisory practice for Ocean Tomo, an intellectual property and brokerage firm. From 1998 to 2003, Mr. Amster served in various positions, most recently as Vice President and Secretary, at InterTrust Technologies, where he worked on intellectual property transactions, merger and acquisition activities and late-stage financing activities. Mr. Amster received a J.D. from Benjamin N. Cardozo School of Law and a B.A. from Middlebury College. Our board of directors determined that Mr. Amster should serve as a director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4" w:name="page15"/>
    <w:bookmarkEnd w:id="14"/>
    <w:p>
      <w:pPr>
        <w:jc w:val="both"/>
        <w:spacing w:after="0" w:line="324" w:lineRule="auto"/>
        <w:rPr>
          <w:sz w:val="20"/>
          <w:szCs w:val="20"/>
          <w:color w:val="auto"/>
        </w:rPr>
      </w:pPr>
      <w:r>
        <w:rPr>
          <w:rFonts w:ascii="Arial" w:cs="Arial" w:eastAsia="Arial" w:hAnsi="Arial"/>
          <w:sz w:val="18"/>
          <w:szCs w:val="18"/>
          <w:color w:val="auto"/>
        </w:rPr>
        <w:t>based on his position as an officer of our company, his history as one of our founders and largest stockholders and his experience in the fields of intellectual property and law.</w:t>
      </w:r>
    </w:p>
    <w:p>
      <w:pPr>
        <w:spacing w:after="0" w:line="17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Geoffrey T. Barker, age 53 and a founder of our company, has served as our Executive Director since September 2012, our Chief Operating Officer from March 2010 until September 2012, our Co-Chief Executive Officer from our inception until March 2010 and a director since our inception. Prior to founding our company, Mr. Barker served as Vice President of Licensing at Intellectual Ventures, where he was responsible for the portfolio development and licensing strategy of its software patent portfolio from 2006 to 2008. From 2000 to 2006, Mr. Barker served as founder, Chairman and CEO of Vigilos, Inc., which provided a platform for controlling and managing the physical security systems of large enterprises. Prior to founding Vigilos, Mr. Barker was co-founder and co-CEO of The Cobalt Group from 1995 to 2000. Prior to that, Mr. Barker held positions in trading, research and investment banking with Kidder, Peabody &amp; Company, Salomon Brothers Inc. and Piper Jaffray Incorporated. Mr. Barker has also served as a director of a number of privately held companies. Mr. Barker received an M.B.A. from Columbia University and a B.A. from Tufts University. Our board of directors determined that Mr. Barker should serve as a director based on his position as an officer of our company, his history as one of our founders and largest stockholders and his experience in the fields of technology, finance and intellectual property.</w:t>
      </w:r>
    </w:p>
    <w:p>
      <w:pPr>
        <w:spacing w:after="0" w:line="22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Steven L. Fingerhood, age 57,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 Fingerhood also served as the lead independent director of the board of directors of Harris Interactive Inc. until its acquisition by Nielsen Holdings N.V. in February 2014. Mr. Fingerhood received a J.D. from Harvard Law School and an A.B. from Harvard University.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(Terms Expire in 2017)</w:t>
      </w:r>
    </w:p>
    <w:p>
      <w:pPr>
        <w:spacing w:after="0" w:line="11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Shelby W. Bonnie, age 50, has been a director of our company since January 2011. Mr. Bonnie is a Managing Director of Allen &amp; Company, an investment firm, a position he has held since September of 2012. Previously, Mr. Bonnie was the CEO of Whiskey Media LLC, an online media company, a position he held from June 2007 until February 2012. Mr. Bonnie was a co-founder of CNET Networks, Inc. and was at CNET Networks, Inc. as both an executive and member of the board of directors from 1993 to 2006, including as Chief Executive Officer from March 2000 until October 2006. Prior to joining CNET Networks, Inc., Mr. Bonnie held positions at Tiger Management Corporation, a New York-based investment management firm, Lynx Capital, a private equity fund, and Morgan Stanley &amp; Co. Inc. Mr. Bonnie served as a member of the board of directors of Warner Music Group Corp., a global record company, from November 2005 until July 2011. Mr. Bonnie received a B.S.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80"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Sanford R. Robertson, age 83, has been a director of our company since May 2011. Mr. Robertson has been a partner of Francisco Partners, a technology buyout fund, since 1999. Prior to founding Francisco Partners,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8"/>
          <w:szCs w:val="18"/>
          <w:color w:val="auto"/>
        </w:rPr>
        <w:t>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Pain Therapeutics, Inc. and salesforce.com, inc. He served on the board of directors of Dolby Laboratories, Inc. from 2003 to 2015. Mr. Robertson received a B.B.A. and an M.B.A. from the University of Michigan. Our board of directors determined that Mr. Robertson should serve as a director based on his extensive experience in investment banking, private equity and capital markets transactions in the technology industry, as well as his service on the boards of other publicly held companies.</w:t>
      </w:r>
    </w:p>
    <w:p>
      <w:pPr>
        <w:spacing w:after="0" w:line="189"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Thomas O. Ryder, age 70, has been a director of our company since December 2009. Mr. Ryder has been a director of Starwood Hotels &amp; Resorts Worldwide, Inc. since April 2001, Amazon.com, Inc. since November 2002 and Quad/Graphics, Inc. since July 2010, and was Chairman of the board of directors at Virgin Mobile USA, Inc. from October 2007 to November 2009. Mr. Ryder was Chairman of the Reader’s Digest Association, Inc. from April 1998 to December 2007 and was its Chief Executive Officer from April 1998 to December 2005. Mr. Ryder received a B.A. from Louisiana State University. Our board of directors determined that Mr. Ryder should serve as a director based on his experience as a senior executive of a large company, including experience with intellectual property, as well as his customer experience skills and skills relating to financial statement and accounting matters.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believe our corporate governance initiatives comply with the rules and regulations of the SEC and with the rules of The Nasdaq Stock Market, or Nasdaq. Our board of directors evaluates our corporate governance principles and policies on an ongoing basis.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Each of our directors other than John A. Amster and Geoffrey T. Barker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has the composition and responsibilities described below.</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Committee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Members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Meetings in 2014</w:t>
            </w:r>
          </w:p>
        </w:tc>
      </w:tr>
      <w:tr>
        <w:trPr>
          <w:trHeight w:val="229"/>
        </w:trPr>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Audit Committee</w:t>
            </w: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shd w:val="clear" w:color="auto" w:fill="CCEEFF"/>
              </w:rPr>
              <w:t>Shelby W. Bonnie</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Frank E. Dangeard(1)</w:t>
            </w:r>
          </w:p>
        </w:tc>
        <w:tc>
          <w:tcPr>
            <w:tcW w:w="1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Steven L. Fingerhood(2)</w:t>
            </w:r>
          </w:p>
        </w:tc>
        <w:tc>
          <w:tcPr>
            <w:tcW w:w="1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Thomas O. Ryder(3)</w:t>
            </w:r>
          </w:p>
        </w:tc>
        <w:tc>
          <w:tcPr>
            <w:tcW w:w="10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shd w:val="clear" w:color="auto" w:fill="CCEEFF"/>
          </w:tcPr>
          <w:p>
            <w:pPr>
              <w:spacing w:after="0"/>
              <w:rPr>
                <w:sz w:val="20"/>
                <w:szCs w:val="20"/>
                <w:color w:val="auto"/>
              </w:rPr>
            </w:pPr>
          </w:p>
        </w:tc>
      </w:tr>
      <w:tr>
        <w:trPr>
          <w:trHeight w:val="229"/>
        </w:trPr>
        <w:tc>
          <w:tcPr>
            <w:tcW w:w="3780" w:type="dxa"/>
            <w:vAlign w:val="bottom"/>
            <w:gridSpan w:val="2"/>
          </w:tcPr>
          <w:p>
            <w:pPr>
              <w:ind w:left="80"/>
              <w:spacing w:after="0"/>
              <w:rPr>
                <w:sz w:val="20"/>
                <w:szCs w:val="20"/>
                <w:color w:val="auto"/>
              </w:rPr>
            </w:pPr>
            <w:r>
              <w:rPr>
                <w:rFonts w:ascii="Arial" w:cs="Arial" w:eastAsia="Arial" w:hAnsi="Arial"/>
                <w:sz w:val="18"/>
                <w:szCs w:val="18"/>
                <w:color w:val="auto"/>
              </w:rPr>
              <w:t>Compensation Committee</w:t>
            </w: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Shelby W. Bonnie(2)</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Sanford R. Robertson</w:t>
            </w:r>
          </w:p>
        </w:tc>
        <w:tc>
          <w:tcPr>
            <w:tcW w:w="3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Thomas O. Ryder</w:t>
            </w:r>
          </w:p>
        </w:tc>
        <w:tc>
          <w:tcPr>
            <w:tcW w:w="3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30"/>
        </w:trPr>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Nominating and Corporate Governance</w:t>
            </w: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shd w:val="clear" w:color="auto" w:fill="CCEEFF"/>
              </w:rPr>
              <w:t>Izhar Armony(2)(4)</w:t>
            </w:r>
          </w:p>
        </w:tc>
        <w:tc>
          <w:tcPr>
            <w:tcW w:w="2240" w:type="dxa"/>
            <w:vAlign w:val="bottom"/>
            <w:gridSpan w:val="2"/>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Committee</w:t>
            </w: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Steven L. Fingerhood(5)</w:t>
            </w:r>
          </w:p>
        </w:tc>
        <w:tc>
          <w:tcPr>
            <w:tcW w:w="1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shd w:val="clear" w:color="auto" w:fill="CCEEFF"/>
              </w:rPr>
              <w:t>Randy Komisar(2)</w:t>
            </w:r>
          </w:p>
        </w:tc>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shd w:val="clear" w:color="auto" w:fill="CCEEFF"/>
          </w:tcPr>
          <w:p>
            <w:pPr>
              <w:spacing w:after="0"/>
              <w:rPr>
                <w:sz w:val="20"/>
                <w:szCs w:val="20"/>
                <w:color w:val="auto"/>
              </w:rPr>
            </w:pPr>
          </w:p>
        </w:tc>
      </w:tr>
      <w:tr>
        <w:trPr>
          <w:trHeight w:val="86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2"/>
          </w:tcPr>
          <w:p>
            <w:pPr>
              <w:ind w:left="18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1420"/>
          </w:cols>
          <w:pgMar w:left="240" w:top="10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Appointed as a member of the audit committee on April 24, 2014.</w:t>
      </w:r>
    </w:p>
    <w:p>
      <w:pPr>
        <w:spacing w:after="0" w:line="49"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49"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Resigned as a member of the audit committee on April 24, 2014.</w:t>
      </w:r>
    </w:p>
    <w:p>
      <w:pPr>
        <w:spacing w:after="0" w:line="49"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Resigned as a member of the board of directors on June 18, 2014.</w:t>
      </w:r>
    </w:p>
    <w:p>
      <w:pPr>
        <w:spacing w:after="0" w:line="49"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Appointed as a member of the nominating and corporate governance committee on July 24, 2014.</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each committee are described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At the beginning of 2014, Messrs. Bonnie, Fingerhood and Ryder served on the audit committee, and Mr. Fingerhood served as its chairman. Effective April 24, 2014, Messrs. Bonnie, Dangeard and Fingerhood serve on the audit committee, and Mr. Fingerhood continued to serve as its chairman. Our board of directors annually reviews the Nasdaq listing standards definition of independence for audit committee members and has determined that Messrs. Bonnie, Dangeard and Fingerhood are independent (as independence is currently defined in applicable Nasdaq listing standards for audit committees and Rule 10A-3 promulgated under the Exchange Act).</w:t>
      </w:r>
    </w:p>
    <w:p>
      <w:pPr>
        <w:spacing w:after="0" w:line="188"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6"/>
          <w:szCs w:val="16"/>
          <w:color w:val="auto"/>
        </w:rPr>
        <w:t>Our board of directors has determined that Mr. Bonnie is an audit committee financial expert, as defined by the rules promulgated by the SEC. The designation of Mr. Bonnie as an audit committee financial expert does not impose on him any duties, obligations or liability that are greater than those that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1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 statements and our compliance with legal and regulatory requirements as they relate to financial statements or accounting matters.</w:t>
      </w:r>
    </w:p>
    <w:p>
      <w:pPr>
        <w:spacing w:after="0" w:line="19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Messrs. Bonnie, Robertson and Ryder serve on the compensation committee, and Mr. Bonnie serves as its chairman. Our board of directors has determined that Messrs. Bonnie,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7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364" w:lineRule="auto"/>
        <w:rPr>
          <w:sz w:val="20"/>
          <w:szCs w:val="20"/>
          <w:color w:val="auto"/>
        </w:rPr>
      </w:pPr>
      <w:r>
        <w:rPr>
          <w:rFonts w:ascii="Arial" w:cs="Arial" w:eastAsia="Arial" w:hAnsi="Arial"/>
          <w:sz w:val="16"/>
          <w:szCs w:val="16"/>
          <w:color w:val="auto"/>
        </w:rPr>
        <w:t>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6"/>
          <w:szCs w:val="16"/>
          <w:color w:val="auto"/>
        </w:rPr>
        <w:t>At the beginning of 2014, Messrs. Armony and Komisar served on the nominating and corporate governance committee, and Mr. Armony served as its chairman. Effective July 24, 2014, Messrs. Fingerhood and Komisar serve on the nominating and corporate governance committee, and Mr. Komisar serves as its chairman. Our board of directors has determined that Messrs. Fingerhood and Komisar satisfy the applicable Nasdaq listing standards and SEC rules and regulations for directors. Mr. Komisar has notified the board of directors that he will resign from the board of directors effective June 9, 2015.</w:t>
      </w:r>
    </w:p>
    <w:p>
      <w:pPr>
        <w:spacing w:after="0" w:line="15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corporate governance matters.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nominating and corporate governance committee is also responsible for reviewing with our board of directors from time to time the appropriate skills and guidelines required of directors in the context of the current make-up of the board. These guidelines and skills of the board, as a whole, may include (i) various and relevant career experience, (ii) relevant skills, such as an understanding of the Company’s business, (iii) financial expertise, (iv) diversity and (v) local and community ties. The minimum qualifications and skills that each director should possess include (i) the highest professional and personal ethics and values, (ii) broad experience at the policy-making level in business, government, education, technology or public interest, (iii) a commitment to enhancing stockholder value and (iv) sufficient time to carry out his or her duties and to provide insight and practical wisdom based on experience. The nominating and corporate governance committee evaluates the foregoing factors, among others, and does not assign any particular weighting or priority to any of these factors.</w:t>
      </w:r>
    </w:p>
    <w:p>
      <w:pPr>
        <w:spacing w:after="0" w:line="19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The nominating and corporate governance committee also considers director candidates recommended by our stockholders. To recommend a candidate for election to our board of directors, a stockholder must notify the nominating and corporate governance committee by writing to: RPX Corporation, One Market Plaza, Steuart Tower, Suite 800, San Francisco, CA 94105, Attention: Secretary of the Company. Such stockholder’s notice shall set forth the following information:</w:t>
      </w:r>
    </w:p>
    <w:p>
      <w:pPr>
        <w:spacing w:after="0" w:line="187" w:lineRule="exact"/>
        <w:rPr>
          <w:sz w:val="20"/>
          <w:szCs w:val="20"/>
          <w:color w:val="auto"/>
        </w:rPr>
      </w:pPr>
    </w:p>
    <w:p>
      <w:pPr>
        <w:jc w:val="both"/>
        <w:ind w:left="980" w:hanging="324"/>
        <w:spacing w:after="0" w:line="31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reasonably available, information relating to such director candidate that would be required to be disclosed in a proxy statement pursuant to Regulation 14A under the Securities Exchange Act of 1934, as amended, in which such individual is a nominee for election to our board of directors;</w:t>
      </w:r>
    </w:p>
    <w:p>
      <w:pPr>
        <w:spacing w:after="0" w:line="32" w:lineRule="exact"/>
        <w:rPr>
          <w:rFonts w:ascii="Arial" w:cs="Arial" w:eastAsia="Arial" w:hAnsi="Arial"/>
          <w:sz w:val="18"/>
          <w:szCs w:val="18"/>
          <w:color w:val="auto"/>
        </w:rPr>
      </w:pPr>
    </w:p>
    <w:p>
      <w:pPr>
        <w:ind w:left="980" w:hanging="324"/>
        <w:spacing w:after="0" w:line="32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 candidate’s written consent to (A) if selected, be named in the Company’s proxy statement and proxy and (B) if elected, to serve on our board of directors; and</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information that such stockholder believes is relevant in considering the director candidate.</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The nominating and corporate governance committee considers bona fide candidates from all relevant sources, including current board members, professional search firms, stockholders and other persons. The committee evaluates director candidates in light of the board membership criteria described above, based on all relevant information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11" w:right="239" w:bottom="1440" w:gutter="0" w:footer="0" w:header="0"/>
        </w:sectPr>
      </w:pPr>
    </w:p>
    <w:bookmarkStart w:id="19" w:name="page20"/>
    <w:bookmarkEnd w:id="19"/>
    <w:p>
      <w:pPr>
        <w:jc w:val="both"/>
        <w:ind w:right="20"/>
        <w:spacing w:after="0" w:line="324" w:lineRule="auto"/>
        <w:rPr>
          <w:sz w:val="20"/>
          <w:szCs w:val="20"/>
          <w:color w:val="auto"/>
        </w:rPr>
      </w:pPr>
      <w:r>
        <w:rPr>
          <w:rFonts w:ascii="Arial" w:cs="Arial" w:eastAsia="Arial" w:hAnsi="Arial"/>
          <w:sz w:val="18"/>
          <w:szCs w:val="18"/>
          <w:color w:val="auto"/>
        </w:rPr>
        <w:t>materials available to the committee. This includes information and materials provided by stockholders recommending director candidates, professional search firms and other parties.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In 2014, Messrs. Bonnie, Robertson and Ryder served as members of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Our board of directors held seven meetings in 2014. Each incumbent member of the board attended 75% or more of the aggregate of (i) the total number of board meetings held during the period of such member’s service and (ii) the total number of meetings of committees on which such member served, during the period of such member’s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Directors are encouraged, but not required, to attend our annual stockholder meetings. One member of our board of directors attended our 2014 annual meeting of stockholders.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Mr. Ryder served as the lead independent director until February 4, 2015. Effective February 5, 2015, Mr. Bonnie serves as the lead independent director. Our board of directors does not have a chairman. The chief executive officer chairs all board meetings. The lead independent director acts as liaison between the independent directors and management, approves board meeting schedules and oversees the information distributed in advance of board meetings, is available to our in-house and outside corporate counsel to discuss and, as necessary, respond to stockholder communications to our board of directors, and calls meetings of the independent directors. We believe that having the lead independent director play a significant role in the leadership and administration of the board, yet having the chief executive officer chair board meetings, provides an efficient and effective division of responsibility and organizational structure for our Company. This arrangement enables the chief executive officer to focus his efforts on running the Company’s business while simultaneously directing the board’s attention to those matters most important to the business, while allowing the lead independent director to lead the board of directors in its fundamental role of providing advice to and independent oversight of management.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 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risks associated with director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20" w:name="page21"/>
    <w:bookmarkEnd w:id="20"/>
    <w:p>
      <w:pPr>
        <w:spacing w:after="0" w:line="324" w:lineRule="auto"/>
        <w:rPr>
          <w:sz w:val="20"/>
          <w:szCs w:val="20"/>
          <w:color w:val="auto"/>
        </w:rPr>
      </w:pPr>
      <w:r>
        <w:rPr>
          <w:rFonts w:ascii="Arial" w:cs="Arial" w:eastAsia="Arial" w:hAnsi="Arial"/>
          <w:sz w:val="18"/>
          <w:szCs w:val="18"/>
          <w:color w:val="auto"/>
        </w:rPr>
        <w:t>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460" w:firstLine="648"/>
        <w:spacing w:after="0" w:line="324"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2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gifts;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26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1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Any waiver of the code of business conduct for an executive officer or director may be granted only by our board of directors or a committee thereof and must be timely disclosed as required by applicable law. We have also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Attention: Secretary of the Company. The Secretary of the Company has the authority to disregard any inappropriate 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Pursuant to our compensation program for non-employee directors, we do not compensate our non-employee directors for their service in cash, instead providing compensation in the form of initial and annual equity awards as described below. These equity awards currently consist of restricted stock units, with each unit representing the right to receive one share of our common stock. We also reimburse our non-employee directors for their reasonable out-of-pocket expenses incurred in attending board and committee meetings.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Each new non-employee director is granted an initial restricted stock unit with a target value of $175,000 upon such director’s election to our board of directors, which vests in equal annual installments over 3 years of service. In addition, non-employee directors (including a non-employee director who previously was our employee) who continue to serve on our board of directors receive annual restricted stock unit awards in connection with each annual meeting of stockholders, with a target value based on board and committee service as set forth in the table below. Each annual restricted stock unit award will vest in full on the earlier of the one-year anniversary of the date of grant or on the date of the following year’s annual meeting of stockholders, provided the director remains in continuous service through the applicable vesting date. The annual restricted stock unit award to a non-employee director who joined the board within 12 months prior to an annual meeting will be pro-rated, with the target value determined based on the number of whole months of board service provided during the prior 12-month period.</w:t>
      </w:r>
    </w:p>
    <w:p>
      <w:pPr>
        <w:spacing w:after="0" w:line="233"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Board service</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97"/>
        </w:trPr>
        <w:tc>
          <w:tcPr>
            <w:tcW w:w="4820" w:type="dxa"/>
            <w:vAlign w:val="bottom"/>
          </w:tcPr>
          <w:p>
            <w:pPr>
              <w:ind w:left="500"/>
              <w:spacing w:after="0"/>
              <w:rPr>
                <w:sz w:val="20"/>
                <w:szCs w:val="20"/>
                <w:color w:val="auto"/>
              </w:rPr>
            </w:pPr>
            <w:r>
              <w:rPr>
                <w:rFonts w:ascii="Arial" w:cs="Arial" w:eastAsia="Arial" w:hAnsi="Arial"/>
                <w:sz w:val="18"/>
                <w:szCs w:val="18"/>
                <w:i w:val="1"/>
                <w:iCs w:val="1"/>
                <w:color w:val="auto"/>
              </w:rPr>
              <w:t>plus (as applicable):</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Audit Committee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Compensation Committee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Nominating &amp; Corporate Governance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Nominating &amp; Corporate Governance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377"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Both the initial and annual restricted stock unit awards are granted under our 2011 Equity Incentive Plan and are subject to full vesting acceleration in the event we undergo a change in control while the director is serving on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employees, Messrs. Amster and Barker do not receive any additional compensation for their service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2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2014 Director Compensation Table</w:t>
      </w:r>
    </w:p>
    <w:p>
      <w:pPr>
        <w:spacing w:after="0" w:line="121"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2014, other than a director who is also a named executive officer.</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4"/>
                <w:szCs w:val="14"/>
                <w:color w:val="auto"/>
              </w:rPr>
            </w:pPr>
          </w:p>
        </w:tc>
        <w:tc>
          <w:tcPr>
            <w:tcW w:w="128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9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w w:val="99"/>
              </w:rPr>
              <w:t>Fees earned or paid in cash</w:t>
            </w:r>
          </w:p>
        </w:tc>
        <w:tc>
          <w:tcPr>
            <w:tcW w:w="360" w:type="dxa"/>
            <w:vAlign w:val="bottom"/>
          </w:tcPr>
          <w:p>
            <w:pPr>
              <w:spacing w:after="0"/>
              <w:rPr>
                <w:sz w:val="13"/>
                <w:szCs w:val="13"/>
                <w:color w:val="auto"/>
              </w:rPr>
            </w:pP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7"/>
              </w:rPr>
              <w:t>(1)(2)($)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Izhar Armony(3)</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Geoffrey T. Barker(4)</w:t>
            </w:r>
          </w:p>
        </w:tc>
        <w:tc>
          <w:tcPr>
            <w:tcW w:w="48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Shelby W. Bonnie</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184,975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184,975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Frank E. Dangeard</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205,657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205,657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Fingerhood</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178,273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178,273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Randy Komisar</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166,215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166,215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Sanford R. Robertson</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167,283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167,283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Thomas O. Ryder</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205,345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205,345</w:t>
            </w:r>
          </w:p>
        </w:tc>
        <w:tc>
          <w:tcPr>
            <w:tcW w:w="0" w:type="dxa"/>
            <w:vAlign w:val="bottom"/>
          </w:tcPr>
          <w:p>
            <w:pPr>
              <w:spacing w:after="0"/>
              <w:rPr>
                <w:sz w:val="1"/>
                <w:szCs w:val="1"/>
                <w:color w:val="auto"/>
              </w:rPr>
            </w:pPr>
          </w:p>
        </w:tc>
      </w:tr>
      <w:tr>
        <w:trPr>
          <w:trHeight w:val="324"/>
        </w:trPr>
        <w:tc>
          <w:tcPr>
            <w:tcW w:w="5800" w:type="dxa"/>
            <w:vAlign w:val="bottom"/>
            <w:gridSpan w:val="2"/>
          </w:tcPr>
          <w:p>
            <w:pPr>
              <w:jc w:val="right"/>
              <w:ind w:right="3992"/>
              <w:spacing w:after="0"/>
              <w:rPr>
                <w:sz w:val="20"/>
                <w:szCs w:val="20"/>
                <w:color w:val="auto"/>
              </w:rPr>
            </w:pPr>
            <w:r>
              <w:rPr>
                <w:rFonts w:ascii="Arial" w:cs="Arial" w:eastAsia="Arial" w:hAnsi="Arial"/>
                <w:sz w:val="18"/>
                <w:szCs w:val="18"/>
                <w:color w:val="auto"/>
                <w:w w:val="89"/>
              </w:rPr>
              <w:t>___________________</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00" w:hanging="492"/>
        <w:spacing w:after="0" w:line="29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director in the applicable fiscal year computed in accordance with FASB ASC Topic 718. See Note 13 of the notes to our consolidated financial statements for the fiscal year ended December 31, 2014 in our annual report on Form 10-K for fiscal year 2014 filed on March 2, 2015,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jc w:val="both"/>
        <w:ind w:left="500" w:hanging="492"/>
        <w:spacing w:after="0" w:line="315"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our compensation program for our non-employee directors, in connection with our 2014 annual meeting of stockholders, each director received an award of restricted stock units in the following amounts: Mr. Armony (0), Mr. Bonnie (10,570), Mr. Dangeard (1,425), Mr. Fingerhood (10,187), Mr. Komisar (9,498), Mr. Robertson (9,559) and Mr. Ryder (11,734). Also pursuant to the program, Mr. Dangeard received an award of 8,272 restricted stock units on April 24, 2014, and an award of 2,451 restricted stock units on July 24, 2014. Each restricted stock unit represents a contingent right to receive one share of our common stock. As of December 31, 2014, the above listed directors held outstanding restricted stock units in the following amounts: Mr. Armony (0), Mr. Bonnie (10,570), Mr. Dangeard (12,148), Mr. Fingerhood (10,187), Mr. Komisar (9,498), Mr. Robertson (9,559) and Mr. Ryder (11,734). As of December 31, 2014, the above-listed directors also held outstanding options to purchase the following number of shares of our common stock: Mr. Armony (0), Mr. Barker (358,462), Mr. Bonnie (67,500), Mr. Fingerhood (60,625), Mr. Komisar (67,500), Mr. Robertson (67,500) and Mr. Ryder (7,500).</w:t>
      </w: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Armony resigned from our board of directors effective June 18, 2014.</w:t>
      </w:r>
    </w:p>
    <w:p>
      <w:pPr>
        <w:spacing w:after="0" w:line="49" w:lineRule="exact"/>
        <w:rPr>
          <w:rFonts w:ascii="Arial" w:cs="Arial" w:eastAsia="Arial" w:hAnsi="Arial"/>
          <w:sz w:val="18"/>
          <w:szCs w:val="18"/>
          <w:color w:val="auto"/>
        </w:rPr>
      </w:pPr>
    </w:p>
    <w:p>
      <w:pPr>
        <w:ind w:left="500" w:hanging="492"/>
        <w:spacing w:after="0" w:line="32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amounts earned as salary as our employee. As an employee, Mr. Barker does not receive any additional compensation for his service on the board of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07" w:right="2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70"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color w:val="auto"/>
        </w:rPr>
        <w:t>The audit committee has selected PricewaterhouseCoopers LLP, an independent registered public accounting firm, as our independent auditors for the fiscal year ending December 31, 2015,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1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ratification of the selection of PricewaterhouseCoopers LLP as the Company’s independent registered public accounting firm, or you may abstain from voting on this matter. In order for Proposal 2 to pass, a majority of all those outstanding shares that are represented in person or by proxy and that are entitled to vote on Proposal 2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the proposal. Abstentions and broker non-votes will be counted towards a quorum.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2014, and December 31, 2013, by PricewaterhouseCoopers LLP.</w:t>
      </w: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Year Ended December 31,</w:t>
            </w:r>
          </w:p>
        </w:tc>
      </w:tr>
      <w:tr>
        <w:trPr>
          <w:trHeight w:val="80"/>
        </w:trPr>
        <w:tc>
          <w:tcPr>
            <w:tcW w:w="78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84"/>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54"/>
              <w:spacing w:after="0"/>
              <w:rPr>
                <w:sz w:val="20"/>
                <w:szCs w:val="20"/>
                <w:color w:val="auto"/>
              </w:rPr>
            </w:pPr>
            <w:r>
              <w:rPr>
                <w:rFonts w:ascii="Arial" w:cs="Arial" w:eastAsia="Arial" w:hAnsi="Arial"/>
                <w:sz w:val="14"/>
                <w:szCs w:val="14"/>
                <w:b w:val="1"/>
                <w:bCs w:val="1"/>
                <w:color w:val="auto"/>
              </w:rPr>
              <w:t>2013</w:t>
            </w:r>
          </w:p>
        </w:tc>
      </w:tr>
      <w:tr>
        <w:trPr>
          <w:trHeight w:val="80"/>
        </w:trPr>
        <w:tc>
          <w:tcPr>
            <w:tcW w:w="78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44"/>
        </w:trPr>
        <w:tc>
          <w:tcPr>
            <w:tcW w:w="7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Audit fees(1)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1,377,727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1,242,679</w:t>
            </w:r>
          </w:p>
        </w:tc>
      </w:tr>
      <w:tr>
        <w:trPr>
          <w:trHeight w:val="243"/>
        </w:trPr>
        <w:tc>
          <w:tcPr>
            <w:tcW w:w="7840" w:type="dxa"/>
            <w:vAlign w:val="bottom"/>
          </w:tcPr>
          <w:p>
            <w:pPr>
              <w:ind w:left="80"/>
              <w:spacing w:after="0"/>
              <w:rPr>
                <w:sz w:val="20"/>
                <w:szCs w:val="20"/>
                <w:color w:val="auto"/>
              </w:rPr>
            </w:pPr>
            <w:r>
              <w:rPr>
                <w:rFonts w:ascii="Arial" w:cs="Arial" w:eastAsia="Arial" w:hAnsi="Arial"/>
                <w:sz w:val="18"/>
                <w:szCs w:val="18"/>
                <w:color w:val="auto"/>
              </w:rPr>
              <w:t>Tax fees(2)</w:t>
            </w:r>
          </w:p>
        </w:tc>
        <w:tc>
          <w:tcPr>
            <w:tcW w:w="400" w:type="dxa"/>
            <w:vAlign w:val="bottom"/>
          </w:tcPr>
          <w:p>
            <w:pPr>
              <w:spacing w:after="0"/>
              <w:rPr>
                <w:sz w:val="21"/>
                <w:szCs w:val="21"/>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174,874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233,178</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All other fees(3)</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1,800</w:t>
            </w:r>
          </w:p>
        </w:tc>
      </w:tr>
      <w:tr>
        <w:trPr>
          <w:trHeight w:val="237"/>
        </w:trPr>
        <w:tc>
          <w:tcPr>
            <w:tcW w:w="7840" w:type="dxa"/>
            <w:vAlign w:val="bottom"/>
          </w:tcPr>
          <w:p>
            <w:pPr>
              <w:ind w:left="80"/>
              <w:spacing w:after="0"/>
              <w:rPr>
                <w:sz w:val="20"/>
                <w:szCs w:val="20"/>
                <w:color w:val="auto"/>
              </w:rPr>
            </w:pPr>
            <w:r>
              <w:rPr>
                <w:rFonts w:ascii="Arial" w:cs="Arial" w:eastAsia="Arial" w:hAnsi="Arial"/>
                <w:sz w:val="18"/>
                <w:szCs w:val="18"/>
                <w:color w:val="auto"/>
              </w:rPr>
              <w:t>Total fees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1,554,401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1,477,657</w:t>
            </w:r>
          </w:p>
        </w:tc>
      </w:tr>
      <w:tr>
        <w:trPr>
          <w:trHeight w:val="27"/>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ind w:left="660" w:hanging="328"/>
        <w:spacing w:after="0" w:line="32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fees billed or incurred by PricewaterhouseCoopers LLP for professional services rendered in connection with the annual audit of our consolidated financial statements for the year ended December 31, 2014 and 2013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0" w:right="239" w:bottom="1440" w:gutter="0" w:footer="0" w:header="0"/>
        </w:sectPr>
      </w:pPr>
    </w:p>
    <w:bookmarkStart w:id="24" w:name="page25"/>
    <w:bookmarkEnd w:id="24"/>
    <w:p>
      <w:pPr>
        <w:ind w:left="660"/>
        <w:spacing w:after="0" w:line="344" w:lineRule="auto"/>
        <w:rPr>
          <w:sz w:val="20"/>
          <w:szCs w:val="20"/>
          <w:color w:val="auto"/>
        </w:rPr>
      </w:pPr>
      <w:r>
        <w:rPr>
          <w:rFonts w:ascii="Arial" w:cs="Arial" w:eastAsia="Arial" w:hAnsi="Arial"/>
          <w:sz w:val="18"/>
          <w:szCs w:val="18"/>
          <w:color w:val="auto"/>
        </w:rPr>
        <w:t>include the review of quarterly financial statements included in our quarterly reports on Form 10-Q and the review and consent issued for our registration statement on Form S-8.</w:t>
      </w:r>
    </w:p>
    <w:p>
      <w:pPr>
        <w:spacing w:after="0" w:line="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49"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year ended December 31, 2014 and 2013, other fees consisted of on-line subscription fees and other miscellaneous services. No other consulting services were provided.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All fees described above were pre-approved by the audit committee in accordance with the requirements of Regulation S-X under the Exchange Act.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60"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OUR BOARD OF DIRECTORS UNANIMOUSLY RECOMMENDS YOU VOTE “FOR” THE RATIFICATION OF THE SELECTION OF PRICEWATERHOUSECOOPERS LLP AS OUR INDEPENDENT REGISTERED PUBLIC ACCOUNTING FIRM FOR THE FISCAL YEAR ENDING DECEMBER 31, 2015.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standards adopted by the Public Company Accounting Oversight Board (“PCAOB”),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2014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Frank E. Dangeard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Steven L. Fingerhood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concerning beneficial ownership of our common stock as of April 23, 2015, by:</w:t>
      </w:r>
    </w:p>
    <w:p>
      <w:pPr>
        <w:spacing w:after="0" w:line="11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5"/>
          <w:szCs w:val="15"/>
          <w:color w:val="auto"/>
        </w:rPr>
      </w:pPr>
      <w:r>
        <w:rPr>
          <w:rFonts w:ascii="Arial" w:cs="Arial" w:eastAsia="Arial" w:hAnsi="Arial"/>
          <w:sz w:val="17"/>
          <w:szCs w:val="17"/>
          <w:color w:val="auto"/>
        </w:rPr>
        <w:t>each stockholder, or group of affiliated stockholders, known to us to beneficially own more than 5% of our outstanding common stock;</w:t>
      </w:r>
    </w:p>
    <w:p>
      <w:pPr>
        <w:spacing w:after="0" w:line="128" w:lineRule="exact"/>
        <w:rPr>
          <w:rFonts w:ascii="Arial" w:cs="Arial" w:eastAsia="Arial" w:hAnsi="Arial"/>
          <w:sz w:val="15"/>
          <w:szCs w:val="15"/>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each of our current directors; and</w:t>
      </w:r>
    </w:p>
    <w:p>
      <w:pPr>
        <w:spacing w:after="0" w:line="117"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all of our executive officers and directors as a group.</w:t>
      </w:r>
    </w:p>
    <w:p>
      <w:pPr>
        <w:spacing w:after="0" w:line="26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filed with the SEC through April 23,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ownership is based upon 54,257,325 shares of common stock outstanding as of April 23, 2015.</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For purposes of the table below, we deem shares of common stock subject to options or warrants that are currently exercisable or exercisable within 60 days of April 23, 2015 and restricted stock units that vest within 60 days of April 23, 2015 to be outstanding and to be beneficially owned by the person holding the options, warrants or restricted stock units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Steuart Tower, Suite 800, San Francisco, California 94105.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0" w:right="2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161"/>
        </w:trPr>
        <w:tc>
          <w:tcPr>
            <w:tcW w:w="7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 shares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Percentage of shares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beneficially owned</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5% Stockholders (other than our executive officers and directors)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BlackRock, Inc.(1)</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5,433,237</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10.01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Cadian Capital Management, LP(2)</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4,473,366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Columbia Wanger Asset Management, LLC(3)</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2,973,300</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5.48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Fiduciary Management, Inc.(4)</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4,673,055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The Vanguard Group(5)</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2,829,292</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5.21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40" w:type="dxa"/>
            <w:vAlign w:val="bottom"/>
            <w:gridSpan w:val="2"/>
          </w:tcPr>
          <w:p>
            <w:pPr>
              <w:ind w:left="80"/>
              <w:spacing w:after="0"/>
              <w:rPr>
                <w:sz w:val="20"/>
                <w:szCs w:val="20"/>
                <w:color w:val="auto"/>
              </w:rPr>
            </w:pPr>
            <w:r>
              <w:rPr>
                <w:rFonts w:ascii="Arial" w:cs="Arial" w:eastAsia="Arial" w:hAnsi="Arial"/>
                <w:sz w:val="18"/>
                <w:szCs w:val="18"/>
                <w:b w:val="1"/>
                <w:bCs w:val="1"/>
                <w:color w:val="auto"/>
              </w:rPr>
              <w:t>Directors and Named Executive Officers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A. Amster(6)</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1,661,560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Geoffrey T. Barker(7)</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369,876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Ned D. Segal(8)</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Martin E. Roberts(9)</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113,867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S. Swank(10)</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26,233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Mallun Yen(11)</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533,310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Shelby W. Bonnie(12)</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162,589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Frank E. Dangeard(13)</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Fingerhood(14)</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99,735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Randy Komisar(15)</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85,947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Sanford R. Robertson(16)</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267,948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Thomas O. Ryder(17)</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85,086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All directors and executive officers as a group (14 persons) </w:t>
            </w:r>
            <w:r>
              <w:rPr>
                <w:rFonts w:ascii="Arial" w:cs="Arial" w:eastAsia="Arial" w:hAnsi="Arial"/>
                <w:sz w:val="18"/>
                <w:szCs w:val="18"/>
                <w:color w:val="auto"/>
              </w:rPr>
              <w:t>(18)</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3,670,762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  Represents beneficial ownership of less than one percent of our outstanding common stock.</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480" w:hanging="472"/>
        <w:spacing w:after="0" w:line="29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upon a Schedule 13G/A filed with the SEC on April 10, 2015, BlackRock, Inc. is a parent holding company/control person who has sole voting power over 5,235,739 shares and sole dispositive power over 5,433,237 shares</w:t>
      </w:r>
      <w:r>
        <w:rPr>
          <w:rFonts w:ascii="Arial" w:cs="Arial" w:eastAsia="Arial" w:hAnsi="Arial"/>
          <w:sz w:val="18"/>
          <w:szCs w:val="18"/>
          <w:color w:val="FF0000"/>
        </w:rPr>
        <w:t>.</w:t>
      </w:r>
      <w:r>
        <w:rPr>
          <w:rFonts w:ascii="Arial" w:cs="Arial" w:eastAsia="Arial" w:hAnsi="Arial"/>
          <w:sz w:val="18"/>
          <w:szCs w:val="18"/>
          <w:color w:val="auto"/>
        </w:rPr>
        <w:t xml:space="preserve"> Various persons have the right to receive or the power to direct the receipt of dividends from, or the proceeds from the sale of, the shares; no one person’s interest in the shares is more than five percent of the total outstanding common shares. The subsidiaries holding the shares are BlackRock Advisors, LLC, BlackRock Asset Management Canada Limited, BlackRock Asset Management Ireland Limited, BlackRock Asset Management Schweiz AG, BlackRock Fund Advisors, BlackRock Institutional Trust Company, N.A., BlackRock International Limited, BlackRock Investment Management, LLC, and BlackRock Japan Co Ltd. BlackRock Institutional Trust Company, N.A. beneficially owns 5% or greater of the shares. The address of BlackRock, Inc. is 55 East 52nd Street, New York, New York 10055.</w:t>
      </w:r>
    </w:p>
    <w:p>
      <w:pPr>
        <w:spacing w:after="0" w:line="3" w:lineRule="exact"/>
        <w:rPr>
          <w:rFonts w:ascii="Arial" w:cs="Arial" w:eastAsia="Arial" w:hAnsi="Arial"/>
          <w:sz w:val="18"/>
          <w:szCs w:val="18"/>
          <w:color w:val="auto"/>
        </w:rPr>
      </w:pPr>
    </w:p>
    <w:p>
      <w:pPr>
        <w:jc w:val="both"/>
        <w:ind w:left="480" w:hanging="472"/>
        <w:spacing w:after="0" w:line="321"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upon a Schedule 13G/A filed with the SEC on February 17, 2015, Cadian Capital Management, LP is an investment adviser who has shared voting and dispositive control over the shares with Eric Bannasch. The shares are owned by advisory clients of Cadian Capital Management, LP. None of the advisory clients individually owns more than 5% of the Common Stock. Cadian Capital Management, LP and Eric Bannasch disclaim beneficial ownership in the common stock except to the extent of their pecuniary interest therein. The address of Cadian Capital Management, LP and Eric Bannasch is 535 Madison Avenue, 36th Floor, New York, New York 10022.</w:t>
      </w:r>
    </w:p>
    <w:p>
      <w:pPr>
        <w:spacing w:after="0" w:line="2" w:lineRule="exact"/>
        <w:rPr>
          <w:rFonts w:ascii="Arial" w:cs="Arial" w:eastAsia="Arial" w:hAnsi="Arial"/>
          <w:sz w:val="17"/>
          <w:szCs w:val="17"/>
          <w:color w:val="auto"/>
        </w:rPr>
      </w:pPr>
    </w:p>
    <w:p>
      <w:pPr>
        <w:jc w:val="both"/>
        <w:ind w:left="480" w:hanging="472"/>
        <w:spacing w:after="0" w:line="354"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upon a Schedule 13G/A filed with the SEC on February 11, 2015, Columbia Wanger Asset Management, LLC is an investment adviser who has sole voting power over 2,842,300 shares and sole dispositive power over 2,973,300 shares. Columbia Wanger Asset Management, LLC does not directly own any shares. As the investment adviser of various unregistered and registered investment companies and managed accounts, Columbia Wanger Asset Management, LLC may be deemed to beneficially own the shares; however, Columbia Wanger Asset Management,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6" w:right="239" w:bottom="1440" w:gutter="0" w:footer="0" w:header="0"/>
        </w:sectPr>
      </w:pPr>
    </w:p>
    <w:bookmarkStart w:id="28" w:name="page29"/>
    <w:bookmarkEnd w:id="28"/>
    <w:p>
      <w:pPr>
        <w:jc w:val="both"/>
        <w:ind w:left="500"/>
        <w:spacing w:after="0" w:line="352" w:lineRule="auto"/>
        <w:rPr>
          <w:sz w:val="20"/>
          <w:szCs w:val="20"/>
          <w:color w:val="auto"/>
        </w:rPr>
      </w:pPr>
      <w:r>
        <w:rPr>
          <w:rFonts w:ascii="Arial" w:cs="Arial" w:eastAsia="Arial" w:hAnsi="Arial"/>
          <w:sz w:val="18"/>
          <w:szCs w:val="18"/>
          <w:color w:val="auto"/>
        </w:rPr>
        <w:t>LLC disclaims beneficial ownership of the shares. To the knowledge of Columbia Wanger Asset Management, LLC, no other persons besides those persons whose shares of common stock it reports beneficial ownership have the right to receive or the power to direct the receipt of dividends from or the proceeds from the sale of the shares. The address of Columbia Wanger Asset Management, LLC is 227 West Monroe Street, Suite 3000, Chicago, Illinois 60606.</w:t>
      </w:r>
    </w:p>
    <w:p>
      <w:pPr>
        <w:spacing w:after="0" w:line="1" w:lineRule="exact"/>
        <w:rPr>
          <w:sz w:val="20"/>
          <w:szCs w:val="20"/>
          <w:color w:val="auto"/>
        </w:rPr>
      </w:pPr>
    </w:p>
    <w:p>
      <w:pPr>
        <w:jc w:val="both"/>
        <w:ind w:left="220" w:hanging="215"/>
        <w:spacing w:after="0" w:line="297" w:lineRule="auto"/>
        <w:rPr>
          <w:sz w:val="20"/>
          <w:szCs w:val="20"/>
          <w:color w:val="auto"/>
        </w:rPr>
      </w:pPr>
      <w:r>
        <w:rPr>
          <w:rFonts w:ascii="Arial" w:cs="Arial" w:eastAsia="Arial" w:hAnsi="Arial"/>
          <w:sz w:val="18"/>
          <w:szCs w:val="18"/>
          <w:color w:val="auto"/>
        </w:rPr>
        <w:t>(4)Based upon a Schedule 13G filed with the SEC on February 10, 2015, Fiduciary Management, Inc. is an investment adviser who has sole voting and dispositive power over the shares. The shares are owned directly by various accounts managed by Fiduciary Management, Inc. Such accounts have the right to receive dividends from, and the proceeds from the sale of, the shares. The address of Fiduciary Management, Inc. is 100 East Wisconsin Avenue, Suite 2200, Milwaukee, Wisconsin 53202.</w:t>
      </w:r>
    </w:p>
    <w:p>
      <w:pPr>
        <w:spacing w:after="0" w:line="2" w:lineRule="exact"/>
        <w:rPr>
          <w:sz w:val="20"/>
          <w:szCs w:val="20"/>
          <w:color w:val="auto"/>
        </w:rPr>
      </w:pPr>
    </w:p>
    <w:p>
      <w:pPr>
        <w:jc w:val="both"/>
        <w:ind w:left="220" w:hanging="215"/>
        <w:spacing w:after="0" w:line="297" w:lineRule="auto"/>
        <w:rPr>
          <w:sz w:val="20"/>
          <w:szCs w:val="20"/>
          <w:color w:val="auto"/>
        </w:rPr>
      </w:pPr>
      <w:r>
        <w:rPr>
          <w:rFonts w:ascii="Arial" w:cs="Arial" w:eastAsia="Arial" w:hAnsi="Arial"/>
          <w:sz w:val="18"/>
          <w:szCs w:val="18"/>
          <w:color w:val="auto"/>
        </w:rPr>
        <w:t>(5)Based upon a Schedule 13G filed with the SEC on February 10, 2015, The Vanguard Group is an investment advisor who has sole voting power over 67,585 shares, sole dispositive power over 2,766,407 shares, and shared dispositive power over 62,885 shares. Vanguard Fiduciary Trust Company, a wholly-owned subsidiary of The Vanguard Group, Inc., is the beneficial owner of 62,885 shares as a result of its serving as investment manager of collective trust accounts. Vanguard Investments Australia, Ltd., a wholly-owned subsidiary of The Vanguard Group, Inc., is the beneficial owner of 4,700 shares as a result of its serving as investment manager of Australian investment offerings. The address of The Vanguard Group is 100 Vanguard Boulevard, Malvern, Pennsylvania 19355.</w:t>
      </w:r>
    </w:p>
    <w:p>
      <w:pPr>
        <w:spacing w:after="0" w:line="3" w:lineRule="exact"/>
        <w:rPr>
          <w:sz w:val="20"/>
          <w:szCs w:val="20"/>
          <w:color w:val="auto"/>
        </w:rPr>
      </w:pPr>
    </w:p>
    <w:p>
      <w:pPr>
        <w:jc w:val="both"/>
        <w:ind w:left="220" w:hanging="215"/>
        <w:spacing w:after="0" w:line="334" w:lineRule="auto"/>
        <w:rPr>
          <w:sz w:val="20"/>
          <w:szCs w:val="20"/>
          <w:color w:val="auto"/>
        </w:rPr>
      </w:pPr>
      <w:r>
        <w:rPr>
          <w:rFonts w:ascii="Arial" w:cs="Arial" w:eastAsia="Arial" w:hAnsi="Arial"/>
          <w:sz w:val="16"/>
          <w:szCs w:val="16"/>
          <w:color w:val="auto"/>
        </w:rPr>
        <w:t>(6)Includes 973,674 shares held by John Amster and Colleen Amster, Trustees of the John and Colleen Amster Living Trust dated March 2, 2000, 299,209 shares held by JCA, LLC, options to purchase 380,865 shares of common stock that may be exercised within 60 days of April 23, 2015 by Mr. Amster, and 7,812 shares of common stock that may vest within 60 days of April 23. 2015 from a restricted stock unit award granted to Mr. Amster. Voting and investment power over the shares beneficially owned by the John and Colleen Amster Living Trust dated March 2, 2000 is held by Mr. Amster and Colleen Quinn Amster, Mr. Amster’s wife. Voting and investment power over the shares beneficially owned by JCA, LLC is held by Mr. and Ms. Amster. Excludes options to purchase 156,827 shares of common stock that may not be exercised within 60 days of April 23, 2015, and 54,688 shares of common stock from a restricted stock unit award and 243,750 shares of common stock from performance-based restricted stock unit awards that will not vest within 60 days of April 23, 2015. Each restricted stock unit represents a contingent right to receive one share of our common stock.</w:t>
      </w:r>
    </w:p>
    <w:p>
      <w:pPr>
        <w:spacing w:after="0" w:line="4" w:lineRule="exact"/>
        <w:rPr>
          <w:sz w:val="20"/>
          <w:szCs w:val="20"/>
          <w:color w:val="auto"/>
        </w:rPr>
      </w:pPr>
    </w:p>
    <w:p>
      <w:pPr>
        <w:jc w:val="both"/>
        <w:ind w:left="220" w:hanging="215"/>
        <w:spacing w:after="0" w:line="315" w:lineRule="auto"/>
        <w:rPr>
          <w:sz w:val="20"/>
          <w:szCs w:val="20"/>
          <w:color w:val="auto"/>
        </w:rPr>
      </w:pPr>
      <w:r>
        <w:rPr>
          <w:rFonts w:ascii="Arial" w:cs="Arial" w:eastAsia="Arial" w:hAnsi="Arial"/>
          <w:sz w:val="17"/>
          <w:szCs w:val="17"/>
          <w:color w:val="auto"/>
        </w:rPr>
        <w:t>(7)Includes 3,284 shares held by Barker 2010 Children’s Trust FBO Alexander Payne Barker, 3,283 shares held by Barker 2010 Children’s Trust FBO Katherine Eryl Barker, and options to purchase 253,910 shares of common stock that may be exercised within 60 days of April 23, 2015 by Mr. Barker. Excludes options to purchase 104,552 shares of common stock that may not be exercised within 60 days of April 23, 2015.</w:t>
      </w:r>
    </w:p>
    <w:p>
      <w:pPr>
        <w:spacing w:after="0"/>
        <w:rPr>
          <w:sz w:val="20"/>
          <w:szCs w:val="20"/>
          <w:color w:val="auto"/>
        </w:rPr>
      </w:pPr>
      <w:r>
        <w:rPr>
          <w:rFonts w:ascii="Arial" w:cs="Arial" w:eastAsia="Arial" w:hAnsi="Arial"/>
          <w:sz w:val="18"/>
          <w:szCs w:val="18"/>
          <w:color w:val="auto"/>
        </w:rPr>
        <w:t>(8)Mr. Segal terminated his employment with the Company on January 16, 2015.</w:t>
      </w:r>
    </w:p>
    <w:p>
      <w:pPr>
        <w:spacing w:after="0" w:line="50" w:lineRule="exact"/>
        <w:rPr>
          <w:sz w:val="20"/>
          <w:szCs w:val="20"/>
          <w:color w:val="auto"/>
        </w:rPr>
      </w:pPr>
    </w:p>
    <w:p>
      <w:pPr>
        <w:jc w:val="both"/>
        <w:ind w:left="220" w:hanging="215"/>
        <w:spacing w:after="0" w:line="334" w:lineRule="auto"/>
        <w:rPr>
          <w:sz w:val="20"/>
          <w:szCs w:val="20"/>
          <w:color w:val="auto"/>
        </w:rPr>
      </w:pPr>
      <w:r>
        <w:rPr>
          <w:rFonts w:ascii="Arial" w:cs="Arial" w:eastAsia="Arial" w:hAnsi="Arial"/>
          <w:sz w:val="16"/>
          <w:szCs w:val="16"/>
          <w:color w:val="auto"/>
        </w:rPr>
        <w:t>(9)Includes options to purchase 31,525 shares of common stock that may be exercised within 60 days of April 23, 2015 by Mr. Roberts, and 17,968 shares of common stock that may vest within 60 days of April 23, 2015 from restricted stock unit awards granted to Mr. Roberts. Excludes options to purchase 4,167 shares of common stock that may not be exercised within 60 days of April 23, 2015, and 72,657 shares of common stock that will not vest within 60 days of April 23, 2015 from restricted stock unit awards. Each restricted stock unit represents a contingent right to receive one share of our common stock.</w:t>
      </w:r>
    </w:p>
    <w:p>
      <w:pPr>
        <w:spacing w:after="0" w:line="2" w:lineRule="exact"/>
        <w:rPr>
          <w:sz w:val="20"/>
          <w:szCs w:val="20"/>
          <w:color w:val="auto"/>
        </w:rPr>
      </w:pPr>
    </w:p>
    <w:p>
      <w:pPr>
        <w:jc w:val="both"/>
        <w:ind w:left="320" w:hanging="312"/>
        <w:spacing w:after="0" w:line="325"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options to purchase 16,666 shares of common stock that may be exercised within 60 days of April 23, 2015 by Mr. Swank, and 8,592 shares of common stock that may vest within 60 days of April 23, 2015 from restricted stock unit awards granted to Mr. Swank. Excludes options to purchase 3,334 shares of common stock that may not be exercised within 60 days of April 23, 2015, and 80,783 shares of common stock that will not vest within 60 days of April 23, 2015 from restricted stock unit awards. Each restricted stock unit represents a contingent right to receive one share of our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38" w:right="239" w:bottom="1440" w:gutter="0" w:footer="0" w:header="0"/>
        </w:sectPr>
      </w:pPr>
    </w:p>
    <w:bookmarkStart w:id="29" w:name="page30"/>
    <w:bookmarkEnd w:id="29"/>
    <w:p>
      <w:pPr>
        <w:jc w:val="both"/>
        <w:ind w:left="300" w:hanging="296"/>
        <w:spacing w:after="0" w:line="315" w:lineRule="auto"/>
        <w:rPr>
          <w:sz w:val="20"/>
          <w:szCs w:val="20"/>
          <w:color w:val="auto"/>
        </w:rPr>
      </w:pPr>
      <w:r>
        <w:rPr>
          <w:rFonts w:ascii="Arial" w:cs="Arial" w:eastAsia="Arial" w:hAnsi="Arial"/>
          <w:sz w:val="17"/>
          <w:szCs w:val="17"/>
          <w:color w:val="auto"/>
        </w:rPr>
        <w:t>(11)Includes options to purchase 493,851 shares of common stock that may be exercised within 60 days from April 23, 2015 by Ms. Yen, and 7,812 shares of common stock that may vest within 60 days of April 23, 2015 from restricted stock unit awards granted to Ms. Yen. Excludes options to purchase 45,834 shares of common stock that may not be exercised within 60 days of April 23, 2015, and 98,438 shares of common stock from restricted stock unit awards and 50,000 shares of common stock from a performance-based restricted stock unit award that will not vest within 60 days of April 23, 2015. Each restricted stock unit represents a contingent right to receive one share of our common stock.</w:t>
      </w:r>
    </w:p>
    <w:p>
      <w:pPr>
        <w:jc w:val="both"/>
        <w:ind w:left="320" w:hanging="312"/>
        <w:spacing w:after="0" w:line="31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35,236 shares of common stock held by MHV Partners LLC. Voting and investment power over the shares beneficially owned by MHV Partners LLC is held by Mr. Bonnie. Includes 1,700 shares held by Merlin Investments LLC. Mr. Bonnie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 Revocable Trust, of which Mr. Bonnie is a beneficiary, 1,700 shares held by Edward Bonnie Revocable Trust, of which Mr. Bonnie is a beneficiary, 5,500 shares held by Shelby Bonnie Trust DTD 12/20/1968, of which Mr. Bonnie is a beneficiary, 4,600 shares held by Shelby Bonnie Trust DTD 3/27/1959, of which Mr. Bonnie is a beneficiary, 6,100 shares held by Shelby Bonnie Trust DTD 10/20/1964, of which Mr. Bonnie is a beneficiary, 11,300 shares held by Cornelia Bonnie Trust DTD 11/10/1970, of which Mr. Bonnie is a beneficiary, and 2,400 shares held by Edward Bonnie Trust DTD 8/15/1966, of which Mr. Bonnie is a co-trustee and beneficiary. Includes options to purchase 67,500 shares of common stock that may be exercised within 60 days of April 23, 2015 by Mr. Bonnie, and 10,570 shares of common stock that may vest within 60 days of April 23, 2015 from a restricted stock unit award granted to Mr. Bonnie. Each restricted stock unit represents a contingent right to receive one share of our common stock.</w:t>
      </w:r>
    </w:p>
    <w:p>
      <w:pPr>
        <w:jc w:val="both"/>
        <w:ind w:left="320" w:hanging="312"/>
        <w:spacing w:after="0" w:line="31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4,971 shares of common stock that may vest within 60 days of April 23, 2015 from restricted stock unit awards granted to Mr. Dangeard. Excludes 7,177 shares of common stock that will not vest within 60 days of April 23, 2015 from restricted stock unit awards granted to Mr. Dangeard. Each restricted stock unit represents a contingent right to receive one share of our common stock.</w:t>
      </w:r>
    </w:p>
    <w:p>
      <w:pPr>
        <w:jc w:val="both"/>
        <w:ind w:left="320" w:hanging="312"/>
        <w:spacing w:after="0" w:line="31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options to purchase 60,625 shares of common stock that may be exercised within 60 days of April 23, 2015 by Mr. Fingerhood, and 10,187 shares of common stock that may vest within 60 days of April 23, 2015 from a restricted stock unit award granted to Mr. Fingerhood. Each restricted stock unit represents a contingent right to receive one share of our common stock.</w:t>
      </w:r>
    </w:p>
    <w:p>
      <w:pPr>
        <w:jc w:val="both"/>
        <w:ind w:left="320" w:hanging="312"/>
        <w:spacing w:after="0" w:line="31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of 8,949 shares held by Randy Komisar and Debra Dunn, Trustees of the Komisar Dunn Family Trust, UAD 10/20/1990, options to purchase 67,500 shares of common stock that may be exercised within 60 days of April 23, 2015 by Mr. Komisar, and 9,498 shares of common stock that may vest within 60 days of April 23, 2015 from a restricted stock unit award granted to Mr. Komisar. Each restricted stock unit represents a contingent right to receive one share of our common stock.</w:t>
      </w:r>
    </w:p>
    <w:p>
      <w:pPr>
        <w:jc w:val="both"/>
        <w:ind w:left="320" w:hanging="312"/>
        <w:spacing w:after="0" w:line="315"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options to purchase 67,500 shares of common stock that may be exercised within 60 days of April 23, 2015 by Mr. Robertson, and 9,559 shares of common stock that may vest within 60 days of April 23, 2015 from a restricted stock unit award granted to Mr. Robertson. Each restricted stock unit represents a contingent right to receive one share of our common stock.</w:t>
      </w:r>
    </w:p>
    <w:p>
      <w:pPr>
        <w:jc w:val="both"/>
        <w:ind w:left="320" w:hanging="312"/>
        <w:spacing w:after="0" w:line="336"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options to purchase 7,500 shares of common stock that may be exercised within 60 days of April 23, 2015 by Mr. Ryder, and 11,734 shares of common stock that may vest within 60 days of April 23, 2015 from a restricted stock unit award granted to Mr. Ryder. Each restricted stock unit represents a contingent right to receive one share of our common stock.</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30" w:name="page31"/>
    <w:bookmarkEnd w:id="30"/>
    <w:p>
      <w:pPr>
        <w:jc w:val="both"/>
        <w:ind w:left="320" w:hanging="312"/>
        <w:spacing w:after="0" w:line="343"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options to purchase 1,447,442 shares of common stock that may be exercised within 60 days of April 23, 2015, and 98,703 shares of common stock that may vest within 60 days of April 23, 2015 from restricted stock unit awards or performance-based restricted stock unit awards beneficially owned by our directors and named executive officers as reflected in footnotes 6 through 17 and (ii) 17,357 shares of common stock, options to purchase 217,442 shares of common stock that may be exercised within 60 days of April 23, 2015 and 24,841 shares of common stock that may vest within 60 days of April 23, 2015 from restricted stock unit awards or performance-based restricted stock unit awards beneficially owned by our executive officers who are not named executive officers. Excludes options to purchase 323,048 shares of common stock that may not be exercised within 60 days of April 23, 2015, and 823,277 shares of common stock that may not vest within 60 days of April 23, 2015 from restricted stock unit awards or performance-based restricted stock unit awards. Each restricted stock unit represents a contingent right to receive one share of our common stock.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2014:</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Number of Securities to be Issued</w:t>
            </w:r>
          </w:p>
        </w:tc>
        <w:tc>
          <w:tcPr>
            <w:tcW w:w="23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Weighted-Average Exercise Price of</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Issuance Under Equity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140" w:type="dxa"/>
            <w:vAlign w:val="bottom"/>
          </w:tcPr>
          <w:p>
            <w:pPr>
              <w:spacing w:after="0"/>
              <w:rPr>
                <w:sz w:val="12"/>
                <w:szCs w:val="12"/>
                <w:color w:val="auto"/>
              </w:rPr>
            </w:pPr>
          </w:p>
        </w:tc>
        <w:tc>
          <w:tcPr>
            <w:tcW w:w="2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 Options, Warrants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Options, Warrants and Rights</w:t>
            </w:r>
          </w:p>
        </w:tc>
        <w:tc>
          <w:tcPr>
            <w:tcW w:w="140" w:type="dxa"/>
            <w:vAlign w:val="bottom"/>
          </w:tcPr>
          <w:p>
            <w:pPr>
              <w:spacing w:after="0"/>
              <w:rPr>
                <w:sz w:val="15"/>
                <w:szCs w:val="15"/>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Securities Reflected in Column (a))</w:t>
            </w:r>
          </w:p>
        </w:tc>
        <w:tc>
          <w:tcPr>
            <w:tcW w:w="0" w:type="dxa"/>
            <w:vAlign w:val="bottom"/>
          </w:tcPr>
          <w:p>
            <w:pPr>
              <w:spacing w:after="0"/>
              <w:rPr>
                <w:sz w:val="1"/>
                <w:szCs w:val="1"/>
                <w:color w:val="auto"/>
              </w:rPr>
            </w:pPr>
          </w:p>
        </w:tc>
      </w:tr>
      <w:tr>
        <w:trPr>
          <w:trHeight w:val="186"/>
        </w:trPr>
        <w:tc>
          <w:tcPr>
            <w:tcW w:w="424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 Category</w:t>
            </w: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39"/>
        </w:trPr>
        <w:tc>
          <w:tcPr>
            <w:tcW w:w="4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5,723,670(1)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2,685,154</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5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5,723,670(1)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2,685,154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20" w:hanging="488"/>
        <w:spacing w:after="0" w:line="297" w:lineRule="auto"/>
        <w:tabs>
          <w:tab w:leader="none" w:pos="6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3,263,854 shares issuable upon exercise of outstanding options and 2,459,816 shares issuable upon vesting of outstanding restricted stock units.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units as these awards have no exercise price.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2014, our directors, executive officers, and greater than 10% stockholders complied with all applicable Section 16(a) filing requirements with the exception of the following: Mr. Scola failed to file timely one Form 4 following the sale of 2,951 shares on February 24, 2014.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31" w:name="page32"/>
    <w:bookmarkEnd w:id="31"/>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In approving or disapproving any proposed related person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 To identify related-person transactions in advance, we rely on information supplied by our executive officers and directors. We did not enter any related-person transactions during 2014.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Set forth below is the name, age, and position of each of our executive officers as of April 23, 2015 and certain biographical information for each executive officer.</w:t>
      </w: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8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John A. Amster</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Chief Executive Officer; President; Director</w:t>
            </w:r>
          </w:p>
        </w:tc>
      </w:tr>
      <w:tr>
        <w:trPr>
          <w:trHeight w:val="243"/>
        </w:trPr>
        <w:tc>
          <w:tcPr>
            <w:tcW w:w="3780" w:type="dxa"/>
            <w:vAlign w:val="bottom"/>
            <w:gridSpan w:val="2"/>
          </w:tcPr>
          <w:p>
            <w:pPr>
              <w:ind w:left="80"/>
              <w:spacing w:after="0"/>
              <w:rPr>
                <w:sz w:val="20"/>
                <w:szCs w:val="20"/>
                <w:color w:val="auto"/>
              </w:rPr>
            </w:pPr>
            <w:r>
              <w:rPr>
                <w:rFonts w:ascii="Arial" w:cs="Arial" w:eastAsia="Arial" w:hAnsi="Arial"/>
                <w:sz w:val="18"/>
                <w:szCs w:val="18"/>
                <w:color w:val="auto"/>
              </w:rPr>
              <w:t>Geoffrey T. Barker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Executive Director; Director</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Robert H. Heath</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Chief Financial Officer; Senior Vice President, Finance; Treasurer</w:t>
            </w:r>
          </w:p>
        </w:tc>
      </w:tr>
      <w:tr>
        <w:trPr>
          <w:trHeight w:val="243"/>
        </w:trPr>
        <w:tc>
          <w:tcPr>
            <w:tcW w:w="3780" w:type="dxa"/>
            <w:vAlign w:val="bottom"/>
            <w:gridSpan w:val="2"/>
          </w:tcPr>
          <w:p>
            <w:pPr>
              <w:ind w:left="80"/>
              <w:spacing w:after="0"/>
              <w:rPr>
                <w:sz w:val="20"/>
                <w:szCs w:val="20"/>
                <w:color w:val="auto"/>
              </w:rPr>
            </w:pPr>
            <w:r>
              <w:rPr>
                <w:rFonts w:ascii="Arial" w:cs="Arial" w:eastAsia="Arial" w:hAnsi="Arial"/>
                <w:sz w:val="18"/>
                <w:szCs w:val="18"/>
                <w:color w:val="auto"/>
              </w:rPr>
              <w:t>Mallun Yen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Executive Vice President</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Martin E. Roberts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Vice President; General Counsel; Secretary</w:t>
            </w:r>
          </w:p>
        </w:tc>
      </w:tr>
      <w:tr>
        <w:trPr>
          <w:trHeight w:val="243"/>
        </w:trPr>
        <w:tc>
          <w:tcPr>
            <w:tcW w:w="3780" w:type="dxa"/>
            <w:vAlign w:val="bottom"/>
            <w:gridSpan w:val="2"/>
          </w:tcPr>
          <w:p>
            <w:pPr>
              <w:ind w:left="80"/>
              <w:spacing w:after="0"/>
              <w:rPr>
                <w:sz w:val="20"/>
                <w:szCs w:val="20"/>
                <w:color w:val="auto"/>
              </w:rPr>
            </w:pPr>
            <w:r>
              <w:rPr>
                <w:rFonts w:ascii="Arial" w:cs="Arial" w:eastAsia="Arial" w:hAnsi="Arial"/>
                <w:sz w:val="18"/>
                <w:szCs w:val="18"/>
                <w:color w:val="auto"/>
              </w:rPr>
              <w:t>Paul E. Scola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Senior Vice President</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Steven S. Swank</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21"/>
                <w:szCs w:val="21"/>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Vice President, Head of Client Development and Relations</w:t>
            </w:r>
          </w:p>
        </w:tc>
      </w:tr>
      <w:tr>
        <w:trPr>
          <w:trHeight w:val="27"/>
        </w:trPr>
        <w:tc>
          <w:tcPr>
            <w:tcW w:w="3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John A. Amster’s biographical information may be found in this proxy statement under the heading “Continuing Directors Not Standing for Election” and subheading “Class II Directors (Terms Expire in 2016).”</w:t>
      </w:r>
    </w:p>
    <w:p>
      <w:pPr>
        <w:spacing w:after="0" w:line="1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Geoffrey T. Barker’s biographical information may be found in this proxy statement under the heading “Continuing Directors Not Standing for Election” and subheading “Class II Directors (Terms Expire in 2016).”</w:t>
      </w:r>
    </w:p>
    <w:p>
      <w:pPr>
        <w:spacing w:after="0" w:line="17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Robert H. Heath, age 55, has served as our Chief Financial Officer, Senior Vice President, Finance and Treasurer since January 2015, as our Senior Vice President, Corporate Development since February 2013, and as our Vice President, Corporate Development since March 2011. Prior to joining RPX, Mr. Heath served as Head of Strategy and Acquisitions for Technicolor, a leading supplier of technology and services to media companies, and as Chief Operating Officer and Chief Financial Officer at iBahn, an Internet service provider to the hospitality industry. Earlier in his career, Mr. Heath worked as an investment banker, focusing on technology and growth companies at Kidder Peabody, SG Warburg and Robertson Stephens. Mr. Heath received his A.B. from Harvard University and his M.B.A. from the University of Chicago Booth School of Business.</w:t>
      </w:r>
    </w:p>
    <w:p>
      <w:pPr>
        <w:spacing w:after="0" w:line="17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Mallun Yen, age 44, has served as our Executive Vice President since November 2010. Prior to joining RPX, Ms. Yen served as Vice President of Worldwide Intellectual Property and Deputy General Counsel from 2002 to 2010 at Cisco Systems, Inc. where she was responsible for developing and implementing the company’s strategy to protect, enhance, defend and capture the value of its intellectual property. Ms. Yen received her B.S. from California Polytechnic State University, San Luis Obispo and her J.D. from UC Berkeley School of Law, Boalt Hall.</w:t>
      </w:r>
    </w:p>
    <w:p>
      <w:pPr>
        <w:spacing w:after="0" w:line="17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Martin E. Roberts, age 54, has served as our Senior Vice President, General Counsel and Secretary since February 2013, and our Vice President, General Counsel and Secretary from October 2010 to February 2013. From July 2007 until October 2010, Mr. Roberts was the Vice President, General Counsel &amp; Secretary of Linden Research, Inc. From January 2006 to July 2007, Mr. Roberts served as Deputy General Counsel of eBay Inc., and from March 2004 to January 2006, he served as Vice President, General Counsel and Secretary of Shopping.com Ltd. Mr. Roberts holds a B.A. from the University of Virginia and a J.D. from the University of Alabama School of Law.</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80" w:right="239" w:bottom="1440" w:gutter="0" w:footer="0" w:header="0"/>
        </w:sectPr>
      </w:pPr>
    </w:p>
    <w:bookmarkStart w:id="33" w:name="page34"/>
    <w:bookmarkEnd w:id="33"/>
    <w:p>
      <w:pPr>
        <w:jc w:val="both"/>
        <w:ind w:firstLine="648"/>
        <w:spacing w:after="0" w:line="306" w:lineRule="auto"/>
        <w:rPr>
          <w:sz w:val="20"/>
          <w:szCs w:val="20"/>
          <w:color w:val="auto"/>
        </w:rPr>
      </w:pPr>
      <w:r>
        <w:rPr>
          <w:rFonts w:ascii="Arial" w:cs="Arial" w:eastAsia="Arial" w:hAnsi="Arial"/>
          <w:sz w:val="18"/>
          <w:szCs w:val="18"/>
          <w:color w:val="auto"/>
        </w:rPr>
        <w:t>Paul E. Scola, age 45, has served as our Senior Vice President since February 2013, and our Vice President, Corporate Development from October 2010 to February 2013. From August 2008 to September 2010, Mr. Scola served as Vice President, Account Management of Support.com, and from November 2006 until August 2008, he served as its Senior Director, Business Development. At Support.com, Mr. Scola was responsible for consumer services revenue and strategy. Mr. Scola has a B.A. from Middlebury College.</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Steven S. Swank, age 45, has served as our Senior Vice President, Head of Client Development and Relations since February 2013, as our Vice President, Head of Client Development and Relations from February 2012 to February 2013, and as our Vice President, Client Relations from July 2010 to February 2012. From May 2006 until June 2010, Mr. Swank served as Vice President of National Account Sales at Comdata Corporation, where he was responsible for maintaining client relationships and developing new business opportunities. Mr. Swank received his B.A. from Bucknell University and his M.B.A. from the University of Chicago Booth School of Business, Singapore.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This compensation discussion and analysis reviews and discusses our compensation programs and policies for our executive officers who are required to be named in the 2014 Summary Compensation Table under the rules of the SEC. For 2014, these “named executive officers” are John A. Amster, Chief Executive Officer, Ned D. Segal, Chief Financial Officer (whose employment with us terminated on January 16, 2015), Martin E. Roberts, Senior Vice President, Steven S. Swank, Senior Vice President, and Mallun Yen, Executive Vice President. This compensation discussion and analysis should be read together with the compensation tables and related disclosures set forth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11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6"/>
          <w:szCs w:val="16"/>
          <w:color w:val="auto"/>
        </w:rPr>
        <w:t>We help companies reduce patent-related risk and expense by facilitating a more efficient exchange of value in the patent market.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attract and retain talented and experienced executives whose knowledge, skills and performance ensure our continued success;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promote teamwork while also recognizing the role each executive officer plays in our success.</w:t>
      </w:r>
    </w:p>
    <w:p>
      <w:pPr>
        <w:spacing w:after="0" w:line="26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executive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Compensation Consultant</w:t>
      </w:r>
    </w:p>
    <w:p>
      <w:pPr>
        <w:spacing w:after="0" w:line="117"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color w:val="auto"/>
        </w:rPr>
        <w:t>Since our initial public offering in 2011, our compensation committee has administered our executive compensation programs and determined the compensation of our executive officers. For more information about our compensation committee, see “Corporate Governance—Board Committees— Compensation Committee.” The compensation committee has primary responsibility for reviewing and approving the compensation that may become payable to our executive officers, and provides strategic direction to management to enable management to implement the compensation committee’s decisions. The compensation committee made all the decisions regarding the 2014 compensation of our named executive officers.</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Our chief executive officer, as the manager of our executive team, makes recommendations to the compensation committee about the compensation of each of our executive officers other than him. While our compensation committee considers his recommendations, it need not adopt them and may adjust them as it determines appropriate.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0" w:right="239" w:bottom="1440" w:gutter="0" w:footer="0" w:header="0"/>
        </w:sectPr>
      </w:pPr>
    </w:p>
    <w:bookmarkStart w:id="35" w:name="page36"/>
    <w:bookmarkEnd w:id="35"/>
    <w:p>
      <w:pPr>
        <w:jc w:val="both"/>
        <w:ind w:firstLine="648"/>
        <w:spacing w:after="0" w:line="300" w:lineRule="auto"/>
        <w:rPr>
          <w:sz w:val="20"/>
          <w:szCs w:val="20"/>
          <w:color w:val="auto"/>
        </w:rPr>
      </w:pPr>
      <w:r>
        <w:rPr>
          <w:rFonts w:ascii="Arial" w:cs="Arial" w:eastAsia="Arial" w:hAnsi="Arial"/>
          <w:sz w:val="18"/>
          <w:szCs w:val="18"/>
          <w:color w:val="auto"/>
        </w:rPr>
        <w:t>Compensia, Inc. (“Compensia”) serves as our compensation committee’s independent compensation consultant. Compensia provides the compensation committee with advice and resources to help develop and execute our overall compensation strategy. Compensia reports directly to the compensation committee, and the compensation committee has the sole power to terminate or replace Compensia at any time. As part of its engagement, the compensation committee has directed Compensia to work with members of management to obtain information necessary for Compensia to form recommendations and evaluate management’s recommendations. When requested by the committee, Compensia attends meetings of the compensation committee and provides information and responds to questions from committee members. As part of its engagement in 2014, Compensia reviewed compensation levels at the peer group companies described below, assessed compensation for the Company’s chief executive officer, advised on the design of the Company’s performance-based restricted stock units, and evaluated performance-based retention strategies. Compensia does not provide any other services to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22"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In setting compensation levels for individual named executive officers, the members of our compensation committee apply their judgment in determining the amount and mix of compensation elements for each named executive officer and the appropriate level of each element. The appropriate use and weight of each of these components has generally not been dictated by any particular formula. We view each component of executive compensation as related but distinct, and we also review total compensation of our named executive officers to ensure that our overall compensation objectives are met. The specific mix of components has been within the discretion and business judgment of our compensation committee. These components of our compensation programs together provide compensation packages that our board of directors believes have enabled us to successfully retain and motivate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1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6"/>
          <w:szCs w:val="16"/>
          <w:color w:val="auto"/>
        </w:rPr>
        <w:t>Our compensation committee generally reviews and modifies the compensation of our named executive officers annually at the end of each fiscal year in connection with a review of each officer’s performance. Our compensation committee also acts at other times based on the recommendations of our chief executive officer and as the compensation committee determines appropriate, such as in connection with a promotion or as necessary to retain an officer.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11" w:right="239" w:bottom="1440" w:gutter="0" w:footer="0" w:header="0"/>
        </w:sectPr>
      </w:pPr>
    </w:p>
    <w:bookmarkStart w:id="36" w:name="page37"/>
    <w:bookmarkEnd w:id="36"/>
    <w:p>
      <w:pPr>
        <w:jc w:val="both"/>
        <w:ind w:firstLine="648"/>
        <w:spacing w:after="0" w:line="311" w:lineRule="auto"/>
        <w:rPr>
          <w:sz w:val="20"/>
          <w:szCs w:val="20"/>
          <w:color w:val="auto"/>
        </w:rPr>
      </w:pPr>
      <w:r>
        <w:rPr>
          <w:rFonts w:ascii="Arial" w:cs="Arial" w:eastAsia="Arial" w:hAnsi="Arial"/>
          <w:sz w:val="18"/>
          <w:szCs w:val="18"/>
          <w:color w:val="auto"/>
        </w:rPr>
        <w:t>In April 2012, at the request of the compensation committee, Compensia prepared an analysis of the compensation of our chief executive officer relative to the compensation paid by a peer group of companies consisting of financial services, technology and patent licensing companies with revenue less than $350 million at the time of such review. The peer group included the following companies: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Cohen &amp; Steers,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Cowen Group,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Engines,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Greenhill &amp; Co.,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Hercules Technology Growth Capital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HFF,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MarketAxess Holdings,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Virtus Investment Partners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Aspen Technology,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Dice Holdings,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Ebix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Epiq Systems,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RealPage,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SolarWinds,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Acacia Research Corporation</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CEVA,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InterDigital,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Rambus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RealD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Tessera Technologies, Inc.</w:t>
      </w:r>
    </w:p>
    <w:p>
      <w:pPr>
        <w:spacing w:after="0" w:line="30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 the case of our other named executive officers, the compensation committee considers data from the Radford High-Tech Executive Compensation Survey, as the publicly available information for the peer companies does not include sufficient data with respect all of their specific positions.</w:t>
      </w:r>
    </w:p>
    <w:p>
      <w:pPr>
        <w:spacing w:after="0" w:line="16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7"/>
          <w:szCs w:val="17"/>
          <w:color w:val="auto"/>
        </w:rPr>
        <w:t>We believe that this comparative data is valuable in that it provides insight into ranges and components of compensation at similarly-situated companies and helps to confirm both the competitiveness and reasonableness of our compensation decisions. Accordingly, the compensation committee used the peer group and Radford data as one of a number of factors it considered when making 2014 compensation decisions. In general, the compensation committee did not set the compensation of our named executive officers at any particular benchmark, and considerations related to our company and individual named executive officers were prioritized in making compensation decisions. However, in the case of our chief executive officer’s 2014 cash and equity compensation, the compensation committee generally targeted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compared to the peer company CEO data, which reflected the compensation committee’s subjective assessment of what was necessary to retain Mr. Amster.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30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At our 2012 annual meeting of stockholders, 98% of the voting power of shares voted were cast in favor of the advisory vote on executive compensation. The compensation committee viewed the results of this vote as broad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1" w:right="239" w:bottom="1440" w:gutter="0" w:footer="0" w:header="0"/>
        </w:sectPr>
      </w:pPr>
    </w:p>
    <w:bookmarkStart w:id="37" w:name="page38"/>
    <w:bookmarkEnd w:id="37"/>
    <w:p>
      <w:pPr>
        <w:jc w:val="both"/>
        <w:ind w:right="20"/>
        <w:spacing w:after="0" w:line="324" w:lineRule="auto"/>
        <w:rPr>
          <w:sz w:val="20"/>
          <w:szCs w:val="20"/>
          <w:color w:val="auto"/>
        </w:rPr>
      </w:pPr>
      <w:r>
        <w:rPr>
          <w:rFonts w:ascii="Arial" w:cs="Arial" w:eastAsia="Arial" w:hAnsi="Arial"/>
          <w:sz w:val="18"/>
          <w:szCs w:val="18"/>
          <w:color w:val="auto"/>
        </w:rPr>
        <w:t>stockholder support for our executive compensation program and did not implement any changes to our executive compensation programs as a result of the vote.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In general, base salaries for our named executive officers are initially established through arm’s-length negotiation at the time the executive is hired or promoted, taking into account such executive’s qualifications, experience and prior salary. Adjustments to base salaries are discretionary and are based on such factors as the scope of a named executive officer’s responsibilities, individual contribution, prior experience and sustained performance. Decisions regarding salary increases may also take into account the named executive officer’s current salary, equity ownership and the amounts paid to a named executive officer’s peers inside our company by conducting an internal analysis, which compares the pay of each named executive officer to other members of the management team and the market compensation data. Base salaries are also reviewed and adjusted when necessary to reflect changes in individual roles and responsibilities as well as our compensation committee’s subjective assessment of market conditions.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its annual review of our named executive officer’s compensation, the compensation committee approved the increases in our named executive officer’s base salaries set forth below. Mr. Amster’s salary was increased to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peer company CEO salaries. Ms. Yen’s salary increase was based on a recommendation from our chief executive officer and was primarily intended to address internal pay equity among our executive officers. No change was made in the salaries of Mr. Roberts, Mr. Segal or Mr. Swank due to our compensation committee’s and CEO’s assessment that their existing salaries were adequate.</w:t>
      </w:r>
    </w:p>
    <w:p>
      <w:pPr>
        <w:sectPr>
          <w:pgSz w:w="11900" w:h="16838" w:orient="portrait"/>
          <w:cols w:equalWidth="0" w:num="1">
            <w:col w:w="11420"/>
          </w:cols>
          <w:pgMar w:left="240" w:top="611" w:right="239" w:bottom="1440" w:gutter="0" w:footer="0" w:header="0"/>
        </w:sectPr>
      </w:pPr>
    </w:p>
    <w:p>
      <w:pPr>
        <w:spacing w:after="0" w:line="6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Mr. Amster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$500,000 to $600,000 per year;</w:t>
      </w:r>
    </w:p>
    <w:p>
      <w:pPr>
        <w:spacing w:after="0" w:line="140" w:lineRule="exact"/>
        <w:rPr>
          <w:sz w:val="20"/>
          <w:szCs w:val="20"/>
          <w:color w:val="auto"/>
        </w:rPr>
      </w:pPr>
    </w:p>
    <w:p>
      <w:pPr>
        <w:sectPr>
          <w:pgSz w:w="11900" w:h="16838" w:orient="portrait"/>
          <w:cols w:equalWidth="0" w:num="3">
            <w:col w:w="1040" w:space="260"/>
            <w:col w:w="840" w:space="220"/>
            <w:col w:w="9060"/>
          </w:cols>
          <w:pgMar w:left="240" w:top="611" w:right="239"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Yen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$315,000 to $350,000 per year.</w:t>
      </w:r>
    </w:p>
    <w:p>
      <w:pPr>
        <w:spacing w:after="0" w:line="140" w:lineRule="exact"/>
        <w:rPr>
          <w:sz w:val="20"/>
          <w:szCs w:val="20"/>
          <w:color w:val="auto"/>
        </w:rPr>
      </w:pPr>
    </w:p>
    <w:p>
      <w:pPr>
        <w:sectPr>
          <w:pgSz w:w="11900" w:h="16838" w:orient="portrait"/>
          <w:cols w:equalWidth="0" w:num="3">
            <w:col w:w="1040" w:space="260"/>
            <w:col w:w="600" w:space="240"/>
            <w:col w:w="9280"/>
          </w:cols>
          <w:pgMar w:left="240" w:top="611"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actual base salaries paid to all of our named executive officers during fiscal year 2014 are set forth in the “2014 Summary Compensation 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11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Cash performance bonuses are used to reward our named executive officers for the achievement of individual and company performance goals that we believe will in turn further our long-term business objectives. Cash bonuses are discretionary; however, we accrue a total bonus pool for all participants in our bonus plan based on corporate objectives. Our compensation committee determines the actual size of the bonus pool at the end of the year using the pool performance target as a guideline, but not a requirement. The compensation committee also determines individual performance bonuses for our named executive officers based on a subjective review of individual and company performance, and, in the case of officers other than our chief executive officer, based on the recommendations of our chief executive officer. In determining individual bonus amounts, our compensation committee referred to each officer’s target bonus, which is expressed as a percentage of the officer’s base salary. For 2014, our named executive officers’ target bonuses were 100% for Mr. Amster, 65% for Mr. Segal, 55% for Mr. Roberts, 60% for Mr. Swank, and 65% for Ms. Yen.</w:t>
      </w:r>
    </w:p>
    <w:p>
      <w:pPr>
        <w:spacing w:after="0" w:line="20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In February 2014, our compensation committee determined that we should accrue a 2014 bonus pool based on the level of our 2014 adjusted non-GAAP operating income, with a minimum and maximum amount to be accrued based on our performance. For the purpose of calculating the bonus pool, we define non-GAAP operating income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11" w:right="239" w:bottom="1440" w:gutter="0" w:footer="0" w:header="0"/>
          <w:type w:val="continuous"/>
        </w:sectPr>
      </w:pPr>
    </w:p>
    <w:bookmarkStart w:id="38" w:name="page39"/>
    <w:bookmarkEnd w:id="38"/>
    <w:p>
      <w:pPr>
        <w:ind w:right="20"/>
        <w:spacing w:after="0" w:line="324" w:lineRule="auto"/>
        <w:rPr>
          <w:sz w:val="20"/>
          <w:szCs w:val="20"/>
          <w:color w:val="auto"/>
        </w:rPr>
      </w:pPr>
      <w:r>
        <w:rPr>
          <w:rFonts w:ascii="Arial" w:cs="Arial" w:eastAsia="Arial" w:hAnsi="Arial"/>
          <w:sz w:val="18"/>
          <w:szCs w:val="18"/>
          <w:color w:val="auto"/>
        </w:rPr>
        <w:t>exclude the amortization of acquired intangibles. We believe that adjusted non-GAAP operating income target is an appropriate measure of our company’s performance, as it is a key valuation measure considered by our stockholder and analyst community.</w:t>
      </w:r>
    </w:p>
    <w:p>
      <w:pPr>
        <w:spacing w:after="0" w:line="211"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The compensation committee set the Company’s target adjusted non-GAAP operating income for fiscal year 2014 at $78.6 million and set the following accrual guidelines tied to the Company’s performance:</w:t>
      </w:r>
    </w:p>
    <w:p>
      <w:pPr>
        <w:spacing w:after="0" w:line="246" w:lineRule="exact"/>
        <w:rPr>
          <w:sz w:val="20"/>
          <w:szCs w:val="20"/>
          <w:color w:val="auto"/>
        </w:rPr>
      </w:pPr>
    </w:p>
    <w:tbl>
      <w:tblPr>
        <w:tblLayout w:type="fixed"/>
        <w:tblInd w:w="7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2014 Adjusted Non-GAAP Operating</w:t>
            </w:r>
          </w:p>
        </w:tc>
        <w:tc>
          <w:tcPr>
            <w:tcW w:w="2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$66.8 million or less</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$78.6 million</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$102.6 million or more</w:t>
            </w:r>
          </w:p>
        </w:tc>
      </w:tr>
      <w:tr>
        <w:trPr>
          <w:trHeight w:val="206"/>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Income (1)</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($11.8 million below target)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(100% of target)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($24 million above target)</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17"/>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Accrual (2)</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28% of total company-wide salaries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39% of total company-wide salaries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50% of total company-wide salaries</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ind w:right="20" w:firstLine="8"/>
        <w:spacing w:after="0" w:line="297" w:lineRule="auto"/>
        <w:tabs>
          <w:tab w:leader="none" w:pos="2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results in between the above guidelines, the full year bonus accrual would be determined by linear interpolation between the relevant specified accrual amounts.</w:t>
      </w:r>
    </w:p>
    <w:p>
      <w:pPr>
        <w:ind w:right="20" w:firstLine="8"/>
        <w:spacing w:after="0" w:line="324"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guidelines include an additional two percent pool at each level of performance in order to allow the compensation committee additional flexibility to reward outstanding performance.</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8"/>
          <w:szCs w:val="18"/>
          <w:color w:val="auto"/>
        </w:rPr>
        <w:t>Our company’s actual adjusted non-GAAP operating income for fiscal year 2014 was $74.2 million, which was below the target by $4.4 million. In accordance with the guideline above, our compensation committee determined that the actual bonus pool should be $6.3 million, or 30% of total company-wide annual salaries for the year.</w:t>
      </w:r>
    </w:p>
    <w:p>
      <w:pPr>
        <w:spacing w:after="0" w:line="289" w:lineRule="exact"/>
        <w:rPr>
          <w:sz w:val="20"/>
          <w:szCs w:val="20"/>
          <w:color w:val="auto"/>
        </w:rPr>
      </w:pPr>
    </w:p>
    <w:p>
      <w:pPr>
        <w:jc w:val="both"/>
        <w:ind w:right="20" w:firstLine="648"/>
        <w:spacing w:after="0" w:line="322" w:lineRule="auto"/>
        <w:rPr>
          <w:sz w:val="20"/>
          <w:szCs w:val="20"/>
          <w:color w:val="auto"/>
        </w:rPr>
      </w:pPr>
      <w:r>
        <w:rPr>
          <w:rFonts w:ascii="Arial" w:cs="Arial" w:eastAsia="Arial" w:hAnsi="Arial"/>
          <w:sz w:val="17"/>
          <w:szCs w:val="17"/>
          <w:color w:val="auto"/>
        </w:rPr>
        <w:t>After determining the size of the bonus pool, our compensation committee approved 2014 bonuses for our named executive officers other than Mr. Segal who was not eligible for a bonus due to his resignation. Although non-GAAP operating income was below target, the compensation committee considered the fact that our client network grew from 168 to 204 and that the Company’s revenues increased by 9% over the prior year. Our compensation committee also considered the fact that our typical sales cycle is long and unpredictable and the committee’s belief that the named executive officers did an exceptional job continuing to develop and expand the client pipeline. In the case of our named executive officers, other than Mr. Amster, the compensation committee also considered the recommendations of Mr. Amster based on his subjective review of each named executive officer’s performance. These reviews and bonus payouts for each named executive officer were based on the following considerations:</w:t>
      </w:r>
    </w:p>
    <w:p>
      <w:pPr>
        <w:spacing w:after="0" w:line="28" w:lineRule="exact"/>
        <w:rPr>
          <w:sz w:val="20"/>
          <w:szCs w:val="20"/>
          <w:color w:val="auto"/>
        </w:rPr>
      </w:pPr>
    </w:p>
    <w:p>
      <w:pPr>
        <w:ind w:left="980" w:right="40" w:hanging="324"/>
        <w:spacing w:after="0" w:line="3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Amster’s bonus was $525,000 (88% of his base salary) and reflected his continuing leadership of the Company and the growth in the number of clients and in the insurance business during 2014.</w:t>
      </w:r>
    </w:p>
    <w:p>
      <w:pPr>
        <w:spacing w:after="0" w:line="21" w:lineRule="exact"/>
        <w:rPr>
          <w:rFonts w:ascii="Arial" w:cs="Arial" w:eastAsia="Arial" w:hAnsi="Arial"/>
          <w:sz w:val="18"/>
          <w:szCs w:val="18"/>
          <w:color w:val="auto"/>
        </w:rPr>
      </w:pPr>
    </w:p>
    <w:p>
      <w:pPr>
        <w:ind w:left="980" w:right="20" w:hanging="324"/>
        <w:spacing w:after="0" w:line="3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Roberts’s bonus was $210,000 (58% of base salary) and reflected his role in corporate governance as well as his leadership of the legal and human resources teams.</w:t>
      </w:r>
    </w:p>
    <w:p>
      <w:pPr>
        <w:spacing w:after="0" w:line="21" w:lineRule="exact"/>
        <w:rPr>
          <w:rFonts w:ascii="Arial" w:cs="Arial" w:eastAsia="Arial" w:hAnsi="Arial"/>
          <w:sz w:val="18"/>
          <w:szCs w:val="18"/>
          <w:color w:val="auto"/>
        </w:rPr>
      </w:pPr>
    </w:p>
    <w:p>
      <w:pPr>
        <w:ind w:left="980" w:right="20" w:hanging="324"/>
        <w:spacing w:after="0" w:line="3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Swank’s bonus was $150,000 (53% of base salary) and reflected the number of new and renewing clients and his continuing leadership of the client development and client relations teams.</w:t>
      </w:r>
    </w:p>
    <w:p>
      <w:pPr>
        <w:spacing w:after="0" w:line="21" w:lineRule="exact"/>
        <w:rPr>
          <w:rFonts w:ascii="Arial" w:cs="Arial" w:eastAsia="Arial" w:hAnsi="Arial"/>
          <w:sz w:val="18"/>
          <w:szCs w:val="18"/>
          <w:color w:val="auto"/>
        </w:rPr>
      </w:pPr>
    </w:p>
    <w:p>
      <w:pPr>
        <w:ind w:left="980" w:right="40" w:hanging="324"/>
        <w:spacing w:after="0" w:line="3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Yen’s bonus was $235,000 (67% of base salary) and reflected her leadership of the corporate development team and participation in many of the Company’s growth initiatives.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cash bonuses paid to our named executive officers are set forth in the “Bonus” column of the “2014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611"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We believe that strong long-term corporate performance may be achieved by using equity-based awards to encourage long-term performance by our named executive officers. Our compensation committee grants equity awards to our named executive officers and other employees to enable them to participate in the long-term appreciation of our stockholder value. We believe that equity grants align the interests of our named executive officers with our stockholders, provide them with incentives linked to long-term performance, and create an ownership culture. We believe that equity should be designed to serve as an effective recruitment and retention tool while also motivating our executive officers to work toward corporate objectives that provide a meaningful return to our stockholders.</w:t>
      </w:r>
    </w:p>
    <w:p>
      <w:pPr>
        <w:spacing w:after="0" w:line="233"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6"/>
          <w:szCs w:val="16"/>
          <w:color w:val="auto"/>
        </w:rPr>
        <w:t>The initial equity award held by Mr. Amster consisted of restricted stock that he purchased at the time the Company was founded, and was subject to our repurchase rights that lapsed (which is what we mean by “vesting” with respect to these awards) over four years of service from August 2008 and became fully vested in August 2012. Equity-based awards to our other named executive officers have generally been granted in the form of options to purchase shares of our common stock and, following our initial public offering, restricted stock units (or “RSUs”). Typically, each named executive officer receives a grant of RSUs and/or a stock option upon joining our company. The initial awards of stock options generally vest over four years of service, with 25% vesting after one year of service and the remainder vesting in equal monthly installments over the next three years. The initial awards of RSUs generally vest over four years, with 25% vesting after one year of service and the remainder vesting in equal quarterly installments over the next three years.</w:t>
      </w:r>
    </w:p>
    <w:p>
      <w:pPr>
        <w:spacing w:after="0" w:line="20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The size and material terms of the equity awards granted to our named executive officers are determined in the subjective discretion of our compensation committee and reflect (among other factors) individual negotiations at the time an officer is hired, the cash compensation of the officer, the officer’s performance and responsibility, internal pay equity, retention concerns, and the comparative market compensation data.</w:t>
      </w:r>
    </w:p>
    <w:p>
      <w:pPr>
        <w:spacing w:after="0" w:line="22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As a part of the annual performance and compensation review process, based on an evaluation of each employee’s performance for the year, the compensation committee considers additional grants to employees after the first year of employment. For 2014, these grants were in the form of RSUs for all employees including our named executive officers and generally vest over four years of service. The compensation committee believes that RSUs align the interests of the named executive officers with the interests of the stockholders because the value of these awards appreciates if the trading price of our common stock appreciates, and these awards also have retention value even during periods in which our trading price does not appreciate, which supports continuity in the management team.</w:t>
      </w:r>
    </w:p>
    <w:p>
      <w:pPr>
        <w:spacing w:after="0" w:line="233"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6"/>
          <w:szCs w:val="16"/>
          <w:color w:val="auto"/>
        </w:rPr>
        <w:t>Consistent with this approach, our compensation committee granted the following RSUs to our named executive officers in connection with the annual review of their compensation and performance. The size of Mr. Amster’s award was set at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peer company CEO awards. In light of Mr. Amster’s leadership role and to better align his compensation with growth in the equity value of the Company, the compensation committee conditioned vesting of Mr. Amster’s award to increase in our stock price over four years. Other than the award to Mr. Amster, the size of the RSU awards were determined in the subjective discretion of our compensation committee and reflect recommendations from Mr. Amster based on his subjective review of each named executive officer’s performance. Ms. Yen’s award was larger than those made to the other executive officers due to the fact that she had not received any equity awards from the Company since her employment began in 2010 and that her existing equity awards were significantly vested. However, due to the size of Ms. Yen’s award, 50,000 of the RSUs were subject to the same performance-based vesting conditions as Mr. Amster’s award.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40" w:name="page41"/>
    <w:bookmarkEnd w:id="40"/>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Amster – 150,000 RSUs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Segal – 55,000 RSUs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Roberts – 50,000 RSUs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Swank – 25,000 RSUs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Yen – 125,000 RSUs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equity awards granted to our named executive officers in 2014 are reflected in the “2014 Grants of Plan-Based Awards” table below.</w:t>
      </w:r>
    </w:p>
    <w:p>
      <w:pPr>
        <w:spacing w:after="0" w:line="31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 and Severance</w:t>
      </w:r>
    </w:p>
    <w:p>
      <w:pPr>
        <w:spacing w:after="0" w:line="3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The equity awards granted to Messrs. Amster and Segal and Ms. Yen in 2014 include a “double trigger” acceleration benefit if the officer is terminated without cause or resigns for certain reasons within 12 months after a change in control of our company. The terms of these arrangements are described below in “2014 Potential Payments Upon Termination or Change in Control.” Our compensation committee 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have any contractual severance benefits.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11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401(k) plan with an up to $5,000 match of employee contributions;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employee assistance plan;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 and long-term disability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Given our location in downtown San Francisco, we pay the monthly parking fee incurred by certain of our officers and employees, including the $495 monthly fee for Mr. Amster. We generally do not provide any additional perquisites to our named executive officers.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1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6"/>
          <w:szCs w:val="16"/>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While our compensation committee is mindful of the benefits of deducting compensation, in order to maintain flexibility in compensating executive officers in a manner consistent with our philosophy and business goals, it has not adopted a formal policy regarding tax deductibility of compensation paid to our named executive officers.</w:t>
      </w:r>
    </w:p>
    <w:p>
      <w:pPr>
        <w:spacing w:after="0" w:line="20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 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Internal Revenue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Restatement</w:t>
      </w:r>
    </w:p>
    <w:p>
      <w:pPr>
        <w:spacing w:after="0" w:line="1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35"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We, as members of the compensation committee,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121" w:lineRule="exact"/>
        <w:rPr>
          <w:sz w:val="20"/>
          <w:szCs w:val="20"/>
          <w:color w:val="auto"/>
        </w:rPr>
      </w:pPr>
    </w:p>
    <w:p>
      <w:pPr>
        <w:ind w:right="20" w:firstLine="648"/>
        <w:spacing w:after="0" w:line="357" w:lineRule="auto"/>
        <w:rPr>
          <w:sz w:val="20"/>
          <w:szCs w:val="20"/>
          <w:color w:val="auto"/>
        </w:rPr>
      </w:pPr>
      <w:r>
        <w:rPr>
          <w:rFonts w:ascii="Arial" w:cs="Arial" w:eastAsia="Arial" w:hAnsi="Arial"/>
          <w:sz w:val="17"/>
          <w:szCs w:val="17"/>
          <w:color w:val="auto"/>
        </w:rPr>
        <w:t>The following table provides information regarding the compensation of our “principal executive officer,” our “principal financial officer”, and our next three most highly compensated executive officers during the 2014 fiscal year. We refer to these individuals as our “named executive officers.”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4"/>
                <w:szCs w:val="14"/>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7"/>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1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shd w:val="clear" w:color="auto" w:fill="CCEEFF"/>
              </w:rPr>
              <w:t>John A. Amster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1,120,500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2,245,500</w:t>
            </w: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shd w:val="clear" w:color="auto" w:fill="CCEEFF"/>
              </w:rPr>
              <w:t>Chief Executive</w:t>
            </w:r>
          </w:p>
        </w:tc>
        <w:tc>
          <w:tcPr>
            <w:tcW w:w="900" w:type="dxa"/>
            <w:vAlign w:val="bottom"/>
            <w:shd w:val="clear" w:color="auto" w:fill="CCEEFF"/>
          </w:tcPr>
          <w:p>
            <w:pPr>
              <w:ind w:left="60"/>
              <w:spacing w:after="0"/>
              <w:rPr>
                <w:sz w:val="20"/>
                <w:szCs w:val="20"/>
                <w:color w:val="auto"/>
              </w:rPr>
            </w:pPr>
            <w:r>
              <w:rPr>
                <w:rFonts w:ascii="Arial" w:cs="Arial" w:eastAsia="Arial" w:hAnsi="Arial"/>
                <w:sz w:val="17"/>
                <w:szCs w:val="17"/>
                <w:color w:val="auto"/>
                <w:shd w:val="clear" w:color="auto" w:fill="CCEEFF"/>
              </w:rPr>
              <w:t>Officer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2,001,250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2,701,250</w:t>
            </w:r>
          </w:p>
        </w:tc>
        <w:tc>
          <w:tcPr>
            <w:tcW w:w="0" w:type="dxa"/>
            <w:vAlign w:val="bottom"/>
          </w:tcPr>
          <w:p>
            <w:pPr>
              <w:spacing w:after="0"/>
              <w:rPr>
                <w:sz w:val="1"/>
                <w:szCs w:val="1"/>
                <w:color w:val="auto"/>
              </w:rPr>
            </w:pPr>
          </w:p>
        </w:tc>
      </w:tr>
      <w:tr>
        <w:trPr>
          <w:trHeight w:val="95"/>
        </w:trPr>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w w:val="93"/>
                <w:shd w:val="clear" w:color="auto" w:fill="CCEEFF"/>
              </w:rPr>
              <w:t>(Principal Executive Officer)</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632,000</w:t>
            </w:r>
          </w:p>
        </w:tc>
        <w:tc>
          <w:tcPr>
            <w:tcW w:w="0" w:type="dxa"/>
            <w:vAlign w:val="bottom"/>
          </w:tcPr>
          <w:p>
            <w:pPr>
              <w:spacing w:after="0"/>
              <w:rPr>
                <w:sz w:val="1"/>
                <w:szCs w:val="1"/>
                <w:color w:val="auto"/>
              </w:rPr>
            </w:pPr>
          </w:p>
        </w:tc>
      </w:tr>
      <w:tr>
        <w:trPr>
          <w:trHeight w:val="162"/>
        </w:trPr>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gridSpan w:val="3"/>
          </w:tcPr>
          <w:p>
            <w:pPr>
              <w:ind w:left="20"/>
              <w:spacing w:after="0"/>
              <w:rPr>
                <w:sz w:val="20"/>
                <w:szCs w:val="20"/>
                <w:color w:val="auto"/>
              </w:rPr>
            </w:pPr>
            <w:r>
              <w:rPr>
                <w:rFonts w:ascii="Arial" w:cs="Arial" w:eastAsia="Arial" w:hAnsi="Arial"/>
                <w:sz w:val="17"/>
                <w:szCs w:val="17"/>
                <w:color w:val="auto"/>
              </w:rPr>
              <w:t>Ned D. Segal</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848,100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1,603,100</w:t>
            </w:r>
          </w:p>
        </w:tc>
        <w:tc>
          <w:tcPr>
            <w:tcW w:w="0" w:type="dxa"/>
            <w:vAlign w:val="bottom"/>
          </w:tcPr>
          <w:p>
            <w:pPr>
              <w:spacing w:after="0"/>
              <w:rPr>
                <w:sz w:val="1"/>
                <w:szCs w:val="1"/>
                <w:color w:val="auto"/>
              </w:rPr>
            </w:pPr>
          </w:p>
        </w:tc>
      </w:tr>
      <w:tr>
        <w:trPr>
          <w:trHeight w:val="203"/>
        </w:trPr>
        <w:tc>
          <w:tcPr>
            <w:tcW w:w="2140" w:type="dxa"/>
            <w:vAlign w:val="bottom"/>
            <w:gridSpan w:val="3"/>
          </w:tcPr>
          <w:p>
            <w:pPr>
              <w:ind w:left="20"/>
              <w:spacing w:after="0"/>
              <w:rPr>
                <w:sz w:val="20"/>
                <w:szCs w:val="20"/>
                <w:color w:val="auto"/>
              </w:rPr>
            </w:pPr>
            <w:r>
              <w:rPr>
                <w:rFonts w:ascii="Arial" w:cs="Arial" w:eastAsia="Arial" w:hAnsi="Arial"/>
                <w:sz w:val="17"/>
                <w:szCs w:val="17"/>
                <w:color w:val="auto"/>
              </w:rPr>
              <w:t>Chief Financial Officer</w:t>
            </w:r>
          </w:p>
        </w:tc>
        <w:tc>
          <w:tcPr>
            <w:tcW w:w="82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308,523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492,500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4,346,000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color w:val="auto"/>
              </w:rPr>
              <w:t>738,735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5,888,258</w:t>
            </w:r>
          </w:p>
        </w:tc>
        <w:tc>
          <w:tcPr>
            <w:tcW w:w="0" w:type="dxa"/>
            <w:vAlign w:val="bottom"/>
          </w:tcPr>
          <w:p>
            <w:pPr>
              <w:spacing w:after="0"/>
              <w:rPr>
                <w:sz w:val="1"/>
                <w:szCs w:val="1"/>
                <w:color w:val="auto"/>
              </w:rPr>
            </w:pPr>
          </w:p>
        </w:tc>
      </w:tr>
      <w:tr>
        <w:trPr>
          <w:trHeight w:val="99"/>
        </w:trPr>
        <w:tc>
          <w:tcPr>
            <w:tcW w:w="2140" w:type="dxa"/>
            <w:vAlign w:val="bottom"/>
            <w:gridSpan w:val="3"/>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148590</wp:posOffset>
            </wp:positionV>
            <wp:extent cx="144081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7"/>
          <w:szCs w:val="17"/>
          <w:color w:val="auto"/>
          <w:shd w:val="clear" w:color="auto" w:fill="CCEEFF"/>
        </w:rPr>
        <w:t>Martin E. Roberts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5"/>
          <w:szCs w:val="15"/>
          <w:color w:val="auto"/>
          <w:shd w:val="clear" w:color="auto" w:fill="CCEEFF"/>
        </w:rPr>
        <w:t>Senior Vice President, General</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shd w:val="clear" w:color="auto" w:fill="CCEEFF"/>
        </w:rPr>
        <w:t>Counsel &amp; Secretary</w:t>
      </w: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Steven S. Swank</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Senior Vice President, Head</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of Client Development and</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229870</wp:posOffset>
            </wp:positionV>
            <wp:extent cx="144081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411480"/>
                    </a:xfrm>
                    <a:prstGeom prst="rect">
                      <a:avLst/>
                    </a:prstGeom>
                    <a:noFill/>
                  </pic:spPr>
                </pic:pic>
              </a:graphicData>
            </a:graphic>
          </wp:anchor>
        </w:drawing>
      </w:r>
    </w:p>
    <w:p>
      <w:pPr>
        <w:spacing w:after="0" w:line="351" w:lineRule="exact"/>
        <w:rPr>
          <w:sz w:val="20"/>
          <w:szCs w:val="20"/>
          <w:color w:val="auto"/>
        </w:rPr>
      </w:pPr>
    </w:p>
    <w:p>
      <w:pPr>
        <w:ind w:left="80"/>
        <w:spacing w:after="0"/>
        <w:rPr>
          <w:sz w:val="20"/>
          <w:szCs w:val="20"/>
          <w:color w:val="auto"/>
        </w:rPr>
      </w:pPr>
      <w:r>
        <w:rPr>
          <w:rFonts w:ascii="Arial" w:cs="Arial" w:eastAsia="Arial" w:hAnsi="Arial"/>
          <w:sz w:val="17"/>
          <w:szCs w:val="17"/>
          <w:color w:val="auto"/>
          <w:shd w:val="clear" w:color="auto" w:fill="CCEEFF"/>
        </w:rPr>
        <w:t>Mallun Yen</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shd w:val="clear" w:color="auto" w:fill="CCEEFF"/>
        </w:rPr>
        <w:t>Executive Vice President</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2014</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360,000</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210,000</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771,000</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1,346,000</w:t>
            </w:r>
          </w:p>
        </w:tc>
      </w:tr>
      <w:tr>
        <w:trPr>
          <w:trHeight w:val="243"/>
        </w:trPr>
        <w:tc>
          <w:tcPr>
            <w:tcW w:w="140" w:type="dxa"/>
            <w:vAlign w:val="bottom"/>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2013</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340,833</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150,000</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1,413,750</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1,907,083</w:t>
            </w:r>
          </w:p>
        </w:tc>
      </w:tr>
      <w:tr>
        <w:trPr>
          <w:trHeight w:val="270"/>
        </w:trPr>
        <w:tc>
          <w:tcPr>
            <w:tcW w:w="140" w:type="dxa"/>
            <w:vAlign w:val="bottom"/>
          </w:tcPr>
          <w:p>
            <w:pPr>
              <w:spacing w:after="0"/>
              <w:rPr>
                <w:sz w:val="23"/>
                <w:szCs w:val="23"/>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2012</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259,375</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122,000</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199,750</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223,633</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804,758</w:t>
            </w:r>
          </w:p>
        </w:tc>
      </w:tr>
      <w:tr>
        <w:trPr>
          <w:trHeight w:val="405"/>
        </w:trPr>
        <w:tc>
          <w:tcPr>
            <w:tcW w:w="14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2014</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285,000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150,000</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385,500</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5,000</w:t>
            </w:r>
          </w:p>
        </w:tc>
        <w:tc>
          <w:tcPr>
            <w:tcW w:w="1200" w:type="dxa"/>
            <w:vAlign w:val="bottom"/>
          </w:tcPr>
          <w:p>
            <w:pPr>
              <w:jc w:val="right"/>
              <w:spacing w:after="0"/>
              <w:rPr>
                <w:sz w:val="20"/>
                <w:szCs w:val="20"/>
                <w:color w:val="auto"/>
              </w:rPr>
            </w:pPr>
            <w:r>
              <w:rPr>
                <w:rFonts w:ascii="Arial" w:cs="Arial" w:eastAsia="Arial" w:hAnsi="Arial"/>
                <w:sz w:val="18"/>
                <w:szCs w:val="18"/>
                <w:color w:val="auto"/>
              </w:rPr>
              <w:t>825,500</w:t>
            </w:r>
          </w:p>
        </w:tc>
      </w:tr>
      <w:tr>
        <w:trPr>
          <w:trHeight w:val="270"/>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283,542</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120,000</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650,650</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2,500</w:t>
            </w:r>
          </w:p>
        </w:tc>
        <w:tc>
          <w:tcPr>
            <w:tcW w:w="1200" w:type="dxa"/>
            <w:vAlign w:val="bottom"/>
          </w:tcPr>
          <w:p>
            <w:pPr>
              <w:jc w:val="right"/>
              <w:spacing w:after="0"/>
              <w:rPr>
                <w:sz w:val="20"/>
                <w:szCs w:val="20"/>
                <w:color w:val="auto"/>
              </w:rPr>
            </w:pPr>
            <w:r>
              <w:rPr>
                <w:rFonts w:ascii="Arial" w:cs="Arial" w:eastAsia="Arial" w:hAnsi="Arial"/>
                <w:sz w:val="18"/>
                <w:szCs w:val="18"/>
                <w:color w:val="auto"/>
              </w:rPr>
              <w:t>1,056,692</w:t>
            </w:r>
          </w:p>
        </w:tc>
      </w:tr>
      <w:tr>
        <w:trPr>
          <w:trHeight w:val="270"/>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2012</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250,000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122,000</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199,750</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178,906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750,656</w:t>
            </w:r>
          </w:p>
        </w:tc>
      </w:tr>
      <w:tr>
        <w:trPr>
          <w:trHeight w:val="405"/>
        </w:trPr>
        <w:tc>
          <w:tcPr>
            <w:tcW w:w="82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2014</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350,000</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235,000</w:t>
            </w:r>
          </w:p>
        </w:tc>
        <w:tc>
          <w:tcPr>
            <w:tcW w:w="1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1,530,000</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2,120,000</w:t>
            </w:r>
          </w:p>
        </w:tc>
      </w:tr>
      <w:tr>
        <w:trPr>
          <w:trHeight w:val="378"/>
        </w:trPr>
        <w:tc>
          <w:tcPr>
            <w:tcW w:w="14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bl>
    <w:p>
      <w:pPr>
        <w:spacing w:after="0" w:line="391" w:lineRule="exact"/>
        <w:rPr>
          <w:sz w:val="20"/>
          <w:szCs w:val="20"/>
          <w:color w:val="auto"/>
        </w:rPr>
      </w:pPr>
    </w:p>
    <w:p>
      <w:pPr>
        <w:sectPr>
          <w:pgSz w:w="11900" w:h="16838" w:orient="portrait"/>
          <w:cols w:equalWidth="0" w:num="2">
            <w:col w:w="2180" w:space="20"/>
            <w:col w:w="9220"/>
          </w:cols>
          <w:pgMar w:left="240" w:top="864" w:right="239" w:bottom="1440" w:gutter="0" w:footer="0" w:header="0"/>
          <w:type w:val="continuous"/>
        </w:sectPr>
      </w:pPr>
    </w:p>
    <w:p>
      <w:pPr>
        <w:jc w:val="both"/>
        <w:ind w:left="500" w:hanging="492"/>
        <w:spacing w:after="0" w:line="29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in the case of Mr. Segal, the 2014 amounts in this column reflect discretionary bonuses approved by the compensation committee of our board of directors and paid in January 2015 based upon both company and individual performance. In the case of Mr. Segal, the amount reflects the payment of $300,000 as the last installment of a $500,000 signing bonus.</w:t>
      </w:r>
    </w:p>
    <w:p>
      <w:pPr>
        <w:spacing w:after="0" w:line="1" w:lineRule="exact"/>
        <w:rPr>
          <w:rFonts w:ascii="Arial" w:cs="Arial" w:eastAsia="Arial" w:hAnsi="Arial"/>
          <w:sz w:val="18"/>
          <w:szCs w:val="18"/>
          <w:color w:val="auto"/>
        </w:rPr>
      </w:pPr>
    </w:p>
    <w:p>
      <w:pPr>
        <w:jc w:val="both"/>
        <w:ind w:left="500" w:hanging="492"/>
        <w:spacing w:after="0" w:line="29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officer in the applicable fiscal year computed in accordance with FASB ASC Topic 718. In accordance with SEC rules, the grant date fair value of an award that is subject to a performance condition is based on the probable outcome of the performance condition. See Note 13 of the notes to our consolidated financial statements for the fiscal year ended December 31, 2014 in our annual report on Form 10-K for fiscal year 2014 filed on March 2, 2015, for a discussion of the assumptions made in determining the grant date fair value of equity awards.</w:t>
      </w:r>
    </w:p>
    <w:p>
      <w:pPr>
        <w:spacing w:after="0" w:line="2"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See Note 13 of the notes to our consolidated financial statements for the fiscal year ended December 31, 2014 in our annual report on Form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64" w:right="239" w:bottom="1440" w:gutter="0" w:footer="0" w:header="0"/>
          <w:type w:val="continuous"/>
        </w:sectPr>
      </w:pPr>
    </w:p>
    <w:bookmarkStart w:id="44" w:name="page45"/>
    <w:bookmarkEnd w:id="44"/>
    <w:p>
      <w:pPr>
        <w:ind w:left="500"/>
        <w:spacing w:after="0"/>
        <w:rPr>
          <w:sz w:val="20"/>
          <w:szCs w:val="20"/>
          <w:color w:val="auto"/>
        </w:rPr>
      </w:pPr>
      <w:r>
        <w:rPr>
          <w:rFonts w:ascii="Arial" w:cs="Arial" w:eastAsia="Arial" w:hAnsi="Arial"/>
          <w:sz w:val="16"/>
          <w:szCs w:val="16"/>
          <w:color w:val="auto"/>
        </w:rPr>
        <w:t>10-K for fiscal year 2014 filed on March 2, 2015, for a discussion of the assumptions made in determining the grant date fair value of equity awards.</w:t>
      </w:r>
    </w:p>
    <w:p>
      <w:pPr>
        <w:spacing w:after="0" w:line="100"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401(k) matching contribution provided to all plan participants.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Grants of Plan-Based Awards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each plan-based award granted to our named executive officers during our 2014 fiscal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Estimated Future Payouts Under Equity</w:t>
            </w:r>
          </w:p>
        </w:tc>
        <w:tc>
          <w:tcPr>
            <w:tcW w:w="10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 Other Stock</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5"/>
          </w:tcPr>
          <w:p>
            <w:pPr>
              <w:jc w:val="center"/>
              <w:spacing w:after="0" w:line="145" w:lineRule="exact"/>
              <w:rPr>
                <w:sz w:val="20"/>
                <w:szCs w:val="20"/>
                <w:color w:val="auto"/>
              </w:rPr>
            </w:pPr>
            <w:r>
              <w:rPr>
                <w:rFonts w:ascii="Arial" w:cs="Arial" w:eastAsia="Arial" w:hAnsi="Arial"/>
                <w:sz w:val="14"/>
                <w:szCs w:val="14"/>
                <w:b w:val="1"/>
                <w:bCs w:val="1"/>
                <w:color w:val="auto"/>
                <w:w w:val="92"/>
              </w:rPr>
              <w:t>Incentive Plan Awards</w:t>
            </w: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56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26"/>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(1)</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Awards: Number</w:t>
            </w: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3"/>
            <w:vMerge w:val="restart"/>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of Shares of Stock</w:t>
            </w:r>
          </w:p>
        </w:tc>
        <w:tc>
          <w:tcPr>
            <w:tcW w:w="1560" w:type="dxa"/>
            <w:vAlign w:val="bottom"/>
            <w:gridSpan w:val="2"/>
            <w:vMerge w:val="restart"/>
          </w:tcPr>
          <w:p>
            <w:pPr>
              <w:jc w:val="center"/>
              <w:ind w:right="34"/>
              <w:spacing w:after="0" w:line="125" w:lineRule="exact"/>
              <w:rPr>
                <w:sz w:val="20"/>
                <w:szCs w:val="20"/>
                <w:color w:val="auto"/>
              </w:rPr>
            </w:pPr>
            <w:r>
              <w:rPr>
                <w:rFonts w:ascii="Arial" w:cs="Arial" w:eastAsia="Arial" w:hAnsi="Arial"/>
                <w:sz w:val="14"/>
                <w:szCs w:val="14"/>
                <w:b w:val="1"/>
                <w:bCs w:val="1"/>
                <w:color w:val="auto"/>
                <w:w w:val="93"/>
              </w:rPr>
              <w:t>of Stock and Option</w:t>
            </w:r>
          </w:p>
        </w:tc>
        <w:tc>
          <w:tcPr>
            <w:tcW w:w="0" w:type="dxa"/>
            <w:vAlign w:val="bottom"/>
          </w:tcPr>
          <w:p>
            <w:pPr>
              <w:spacing w:after="0"/>
              <w:rPr>
                <w:sz w:val="1"/>
                <w:szCs w:val="1"/>
                <w:color w:val="auto"/>
              </w:rPr>
            </w:pPr>
          </w:p>
        </w:tc>
      </w:tr>
      <w:tr>
        <w:trPr>
          <w:trHeight w:val="39"/>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or Units</w:t>
            </w:r>
          </w:p>
        </w:tc>
        <w:tc>
          <w:tcPr>
            <w:tcW w:w="340" w:type="dxa"/>
            <w:vAlign w:val="bottom"/>
          </w:tcPr>
          <w:p>
            <w:pPr>
              <w:spacing w:after="0"/>
              <w:rPr>
                <w:sz w:val="15"/>
                <w:szCs w:val="15"/>
                <w:color w:val="auto"/>
              </w:rPr>
            </w:pPr>
          </w:p>
        </w:tc>
        <w:tc>
          <w:tcPr>
            <w:tcW w:w="1220" w:type="dxa"/>
            <w:vAlign w:val="bottom"/>
          </w:tcPr>
          <w:p>
            <w:pPr>
              <w:jc w:val="center"/>
              <w:ind w:right="374"/>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6"/>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Grant Date</w:t>
            </w: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354"/>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39"/>
        </w:trPr>
        <w:tc>
          <w:tcPr>
            <w:tcW w:w="4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John A. Amster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2/6/2014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37,500(3)</w:t>
            </w:r>
          </w:p>
        </w:tc>
        <w:tc>
          <w:tcPr>
            <w:tcW w:w="540" w:type="dxa"/>
            <w:vAlign w:val="bottom"/>
            <w:gridSpan w:val="3"/>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9"/>
                <w:shd w:val="clear" w:color="auto" w:fill="CCEEFF"/>
              </w:rPr>
              <w:t>150,000(3)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shd w:val="clear" w:color="auto" w:fill="CCEEFF"/>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1,120,500</w:t>
            </w:r>
          </w:p>
        </w:tc>
        <w:tc>
          <w:tcPr>
            <w:tcW w:w="0" w:type="dxa"/>
            <w:vAlign w:val="bottom"/>
          </w:tcPr>
          <w:p>
            <w:pPr>
              <w:spacing w:after="0"/>
              <w:rPr>
                <w:sz w:val="1"/>
                <w:szCs w:val="1"/>
                <w:color w:val="auto"/>
              </w:rPr>
            </w:pPr>
          </w:p>
        </w:tc>
      </w:tr>
      <w:tr>
        <w:trPr>
          <w:trHeight w:val="297"/>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80"/>
              <w:spacing w:after="0"/>
              <w:rPr>
                <w:sz w:val="20"/>
                <w:szCs w:val="20"/>
                <w:color w:val="auto"/>
              </w:rPr>
            </w:pPr>
            <w:r>
              <w:rPr>
                <w:rFonts w:ascii="Arial" w:cs="Arial" w:eastAsia="Arial" w:hAnsi="Arial"/>
                <w:sz w:val="18"/>
                <w:szCs w:val="18"/>
                <w:color w:val="auto"/>
              </w:rPr>
              <w:t>Ned D. Segal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2/6/2014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Martin E. Roberts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2/6/2014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771,000</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80"/>
              <w:spacing w:after="0"/>
              <w:rPr>
                <w:sz w:val="20"/>
                <w:szCs w:val="20"/>
                <w:color w:val="auto"/>
              </w:rPr>
            </w:pPr>
            <w:r>
              <w:rPr>
                <w:rFonts w:ascii="Arial" w:cs="Arial" w:eastAsia="Arial" w:hAnsi="Arial"/>
                <w:sz w:val="18"/>
                <w:szCs w:val="18"/>
                <w:color w:val="auto"/>
              </w:rPr>
              <w:t>Steven S. Swank</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2/6/2014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385,500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2/6/2014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12,500(3)</w:t>
            </w:r>
          </w:p>
        </w:tc>
        <w:tc>
          <w:tcPr>
            <w:tcW w:w="1460" w:type="dxa"/>
            <w:vAlign w:val="bottom"/>
            <w:gridSpan w:val="4"/>
            <w:shd w:val="clear" w:color="auto" w:fill="CCEEFF"/>
          </w:tcPr>
          <w:p>
            <w:pPr>
              <w:jc w:val="right"/>
              <w:ind w:right="33"/>
              <w:spacing w:after="0"/>
              <w:rPr>
                <w:sz w:val="20"/>
                <w:szCs w:val="20"/>
                <w:color w:val="auto"/>
              </w:rPr>
            </w:pPr>
            <w:r>
              <w:rPr>
                <w:rFonts w:ascii="Arial" w:cs="Arial" w:eastAsia="Arial" w:hAnsi="Arial"/>
                <w:sz w:val="18"/>
                <w:szCs w:val="18"/>
                <w:color w:val="auto"/>
              </w:rPr>
              <w:t>50,000(3)</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373,500</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2/6/2014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1,156,500</w:t>
            </w:r>
          </w:p>
        </w:tc>
        <w:tc>
          <w:tcPr>
            <w:tcW w:w="0" w:type="dxa"/>
            <w:vAlign w:val="bottom"/>
          </w:tcPr>
          <w:p>
            <w:pPr>
              <w:spacing w:after="0"/>
              <w:rPr>
                <w:sz w:val="1"/>
                <w:szCs w:val="1"/>
                <w:color w:val="auto"/>
              </w:rPr>
            </w:pPr>
          </w:p>
        </w:tc>
      </w:tr>
      <w:tr>
        <w:trPr>
          <w:trHeight w:val="351"/>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04" w:lineRule="exact"/>
        <w:rPr>
          <w:sz w:val="20"/>
          <w:szCs w:val="20"/>
          <w:color w:val="auto"/>
        </w:rPr>
      </w:pPr>
    </w:p>
    <w:p>
      <w:pPr>
        <w:ind w:left="500" w:hanging="492"/>
        <w:spacing w:after="0" w:line="29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vesting schedule for each of these restricted stock unit awards is described in the footnotes to the table entitled “Outstanding Equity Awards at 2014 Fiscal Year-End” below.</w:t>
      </w:r>
    </w:p>
    <w:p>
      <w:pPr>
        <w:jc w:val="both"/>
        <w:ind w:left="500" w:hanging="492"/>
        <w:spacing w:after="0" w:line="315"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option awards and restricted stock unit awards granted to the officer in the applicable fiscal year computed in accordance with FASB ASC Topic 718. See Note 13 of the notes to our consolidated financial statements for the fiscal year ended December 31, 2014 in our annual report on Form 10-K for fiscal year 2014 filed on March 2, 2015, for a discussion of the assumptions made in determining the grant date fair value of equity awards. In accordance with SEC rules, the grant date fair value of an award that is subject to a performance condition is based on the probable outcome of the performance condition.</w:t>
      </w:r>
    </w:p>
    <w:p>
      <w:pPr>
        <w:jc w:val="both"/>
        <w:ind w:left="500" w:hanging="492"/>
        <w:spacing w:after="0" w:line="311"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in the “threshold” column reflects the minimum number of restricted stock units that could vest if a single price appreciation target is achieved. The number in the “target” column reflects the maximum number of units subject to the award that are eligible to vest if all four price appreciation targets are achieved.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121" w:lineRule="exact"/>
        <w:rPr>
          <w:sz w:val="20"/>
          <w:szCs w:val="20"/>
          <w:color w:val="auto"/>
        </w:rPr>
      </w:pPr>
    </w:p>
    <w:p>
      <w:pPr>
        <w:ind w:firstLine="648"/>
        <w:spacing w:after="0" w:line="395" w:lineRule="auto"/>
        <w:rPr>
          <w:sz w:val="20"/>
          <w:szCs w:val="20"/>
          <w:color w:val="auto"/>
        </w:rPr>
      </w:pPr>
      <w:r>
        <w:rPr>
          <w:rFonts w:ascii="Arial" w:cs="Arial" w:eastAsia="Arial" w:hAnsi="Arial"/>
          <w:sz w:val="16"/>
          <w:szCs w:val="16"/>
          <w:color w:val="auto"/>
        </w:rPr>
        <w:t>The following table sets forth information regarding each unexercised option and all unvested restricted stock and restricted stock units held by each of our named executive officers as of December 31, 2014. Each restricted stock unit represents a contingent right to receive one share of our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38" w:right="239" w:bottom="1440" w:gutter="0" w:footer="0" w:header="0"/>
        </w:sectPr>
      </w:pPr>
    </w:p>
    <w:bookmarkStart w:id="45" w:name="page46"/>
    <w:bookmarkEnd w:id="45"/>
    <w:p>
      <w:pPr>
        <w:jc w:val="both"/>
        <w:ind w:firstLine="648"/>
        <w:spacing w:after="0" w:line="311"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equity awards held by our named executive officers, see “2014 Potential Payments Upon Termination or Change in Control” below.</w:t>
      </w:r>
    </w:p>
    <w:p>
      <w:pPr>
        <w:spacing w:after="0" w:line="18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As a result of Mr. Segal’s termination of employment on January 16, 2015, all of his options and restricted stock units that were unvested at the time of his termination were forfeited and he had until April 16, 2015 to exercise his vested options.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4"/>
          </w:tcPr>
          <w:p>
            <w:pPr>
              <w:ind w:left="480"/>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Equity Incentive</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Market Value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5"/>
                <w:szCs w:val="15"/>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of Shares or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Unearned Shares,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or Units of Stock</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0"/>
                <w:szCs w:val="10"/>
                <w:color w:val="auto"/>
              </w:rPr>
            </w:pPr>
          </w:p>
        </w:tc>
        <w:tc>
          <w:tcPr>
            <w:tcW w:w="15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5"/>
              </w:rPr>
              <w:t>That Have Not</w:t>
            </w:r>
          </w:p>
        </w:tc>
        <w:tc>
          <w:tcPr>
            <w:tcW w:w="1100" w:type="dxa"/>
            <w:vAlign w:val="bottom"/>
            <w:gridSpan w:val="3"/>
          </w:tcPr>
          <w:p>
            <w:pPr>
              <w:jc w:val="center"/>
              <w:ind w:right="100"/>
              <w:spacing w:after="0" w:line="122" w:lineRule="exact"/>
              <w:rPr>
                <w:sz w:val="20"/>
                <w:szCs w:val="20"/>
                <w:color w:val="auto"/>
              </w:rPr>
            </w:pPr>
            <w:r>
              <w:rPr>
                <w:rFonts w:ascii="Arial" w:cs="Arial" w:eastAsia="Arial" w:hAnsi="Arial"/>
                <w:sz w:val="14"/>
                <w:szCs w:val="14"/>
                <w:b w:val="1"/>
                <w:bCs w:val="1"/>
                <w:color w:val="auto"/>
                <w:w w:val="97"/>
              </w:rPr>
              <w:t>That Have Not</w:t>
            </w:r>
          </w:p>
        </w:tc>
        <w:tc>
          <w:tcPr>
            <w:tcW w:w="136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6"/>
              </w:rPr>
              <w:t>Rights That Have</w:t>
            </w:r>
          </w:p>
        </w:tc>
        <w:tc>
          <w:tcPr>
            <w:tcW w:w="11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Unexercised Options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Exercise Price</w:t>
            </w: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Not Vested</w:t>
            </w:r>
          </w:p>
        </w:tc>
        <w:tc>
          <w:tcPr>
            <w:tcW w:w="22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 Exercisable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Unexercisable</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3"/>
        </w:trPr>
        <w:tc>
          <w:tcPr>
            <w:tcW w:w="11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John A. Amster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313,653</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224,039(2)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$9.85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1/19/2021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70,313(3)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968,913</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3"/>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93,750(4)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1,291,875</w:t>
            </w:r>
          </w:p>
        </w:tc>
        <w:tc>
          <w:tcPr>
            <w:tcW w:w="0" w:type="dxa"/>
            <w:vAlign w:val="bottom"/>
          </w:tcPr>
          <w:p>
            <w:pPr>
              <w:spacing w:after="0"/>
              <w:rPr>
                <w:sz w:val="1"/>
                <w:szCs w:val="1"/>
                <w:color w:val="auto"/>
              </w:rPr>
            </w:pPr>
          </w:p>
        </w:tc>
      </w:tr>
      <w:tr>
        <w:trPr>
          <w:trHeight w:val="304"/>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150,000(5)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2,067,000</w:t>
            </w:r>
          </w:p>
        </w:tc>
        <w:tc>
          <w:tcPr>
            <w:tcW w:w="0" w:type="dxa"/>
            <w:vAlign w:val="bottom"/>
          </w:tcPr>
          <w:p>
            <w:pPr>
              <w:spacing w:after="0"/>
              <w:rPr>
                <w:sz w:val="1"/>
                <w:szCs w:val="1"/>
                <w:color w:val="auto"/>
              </w:rPr>
            </w:pPr>
          </w:p>
        </w:tc>
      </w:tr>
      <w:tr>
        <w:trPr>
          <w:trHeight w:val="224"/>
        </w:trPr>
        <w:tc>
          <w:tcPr>
            <w:tcW w:w="1160" w:type="dxa"/>
            <w:vAlign w:val="bottom"/>
          </w:tcPr>
          <w:p>
            <w:pPr>
              <w:ind w:left="80"/>
              <w:spacing w:after="0"/>
              <w:rPr>
                <w:sz w:val="20"/>
                <w:szCs w:val="20"/>
                <w:color w:val="auto"/>
              </w:rPr>
            </w:pPr>
            <w:r>
              <w:rPr>
                <w:rFonts w:ascii="Arial" w:cs="Arial" w:eastAsia="Arial" w:hAnsi="Arial"/>
                <w:sz w:val="16"/>
                <w:szCs w:val="16"/>
                <w:color w:val="auto"/>
              </w:rPr>
              <w:t>Ned D. Segal</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41,666</w:t>
            </w:r>
          </w:p>
        </w:tc>
        <w:tc>
          <w:tcPr>
            <w:tcW w:w="120" w:type="dxa"/>
            <w:vAlign w:val="bottom"/>
          </w:tcPr>
          <w:p>
            <w:pPr>
              <w:spacing w:after="0"/>
              <w:rPr>
                <w:sz w:val="19"/>
                <w:szCs w:val="19"/>
                <w:color w:val="auto"/>
              </w:rPr>
            </w:pPr>
          </w:p>
        </w:tc>
        <w:tc>
          <w:tcPr>
            <w:tcW w:w="1500" w:type="dxa"/>
            <w:vAlign w:val="bottom"/>
            <w:gridSpan w:val="2"/>
          </w:tcPr>
          <w:p>
            <w:pPr>
              <w:jc w:val="right"/>
              <w:ind w:right="41"/>
              <w:spacing w:after="0"/>
              <w:rPr>
                <w:sz w:val="20"/>
                <w:szCs w:val="20"/>
                <w:color w:val="auto"/>
              </w:rPr>
            </w:pPr>
            <w:r>
              <w:rPr>
                <w:rFonts w:ascii="Arial" w:cs="Arial" w:eastAsia="Arial" w:hAnsi="Arial"/>
                <w:sz w:val="16"/>
                <w:szCs w:val="16"/>
                <w:color w:val="auto"/>
              </w:rPr>
              <w:t>58,334(6)</w:t>
            </w:r>
          </w:p>
        </w:tc>
        <w:tc>
          <w:tcPr>
            <w:tcW w:w="1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4/16/2015</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187,500(7)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2,583,750</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37,500(8)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516,750</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44,688(9)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615,801</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160" w:type="dxa"/>
            <w:vAlign w:val="bottom"/>
          </w:tcPr>
          <w:p>
            <w:pPr>
              <w:spacing w:after="0"/>
              <w:rPr>
                <w:sz w:val="5"/>
                <w:szCs w:val="5"/>
                <w:color w:val="auto"/>
              </w:rPr>
            </w:pPr>
          </w:p>
        </w:tc>
        <w:tc>
          <w:tcPr>
            <w:tcW w:w="138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Martin 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10,692(10)</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10/20/2020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Roberts</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18,229</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6,771(11)</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1/23/2022</w:t>
            </w:r>
          </w:p>
        </w:tc>
        <w:tc>
          <w:tcPr>
            <w:tcW w:w="12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3,907(12)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53,838</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42,188(3)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581,351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12,500(13)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172,250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80"/>
              <w:spacing w:after="0"/>
              <w:rPr>
                <w:sz w:val="20"/>
                <w:szCs w:val="20"/>
                <w:color w:val="auto"/>
              </w:rPr>
            </w:pPr>
            <w:r>
              <w:rPr>
                <w:rFonts w:ascii="Arial" w:cs="Arial" w:eastAsia="Arial" w:hAnsi="Arial"/>
                <w:sz w:val="18"/>
                <w:szCs w:val="18"/>
                <w:color w:val="auto"/>
              </w:rPr>
              <w:t>Steven 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14,583</w:t>
            </w:r>
          </w:p>
        </w:tc>
        <w:tc>
          <w:tcPr>
            <w:tcW w:w="120" w:type="dxa"/>
            <w:vAlign w:val="bottom"/>
          </w:tcPr>
          <w:p>
            <w:pPr>
              <w:spacing w:after="0"/>
              <w:rPr>
                <w:sz w:val="19"/>
                <w:szCs w:val="19"/>
                <w:color w:val="auto"/>
              </w:rPr>
            </w:pPr>
          </w:p>
        </w:tc>
        <w:tc>
          <w:tcPr>
            <w:tcW w:w="1500" w:type="dxa"/>
            <w:vAlign w:val="bottom"/>
            <w:gridSpan w:val="2"/>
          </w:tcPr>
          <w:p>
            <w:pPr>
              <w:jc w:val="right"/>
              <w:ind w:right="41"/>
              <w:spacing w:after="0"/>
              <w:rPr>
                <w:sz w:val="20"/>
                <w:szCs w:val="20"/>
                <w:color w:val="auto"/>
              </w:rPr>
            </w:pPr>
            <w:r>
              <w:rPr>
                <w:rFonts w:ascii="Arial" w:cs="Arial" w:eastAsia="Arial" w:hAnsi="Arial"/>
                <w:sz w:val="16"/>
                <w:szCs w:val="16"/>
                <w:color w:val="auto"/>
              </w:rPr>
              <w:t>5,417(11)</w:t>
            </w:r>
          </w:p>
        </w:tc>
        <w:tc>
          <w:tcPr>
            <w:tcW w:w="1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1/23/2022</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1160" w:type="dxa"/>
            <w:vAlign w:val="bottom"/>
          </w:tcPr>
          <w:p>
            <w:pPr>
              <w:ind w:left="80"/>
              <w:spacing w:after="0"/>
              <w:rPr>
                <w:sz w:val="20"/>
                <w:szCs w:val="20"/>
                <w:color w:val="auto"/>
              </w:rPr>
            </w:pPr>
            <w:r>
              <w:rPr>
                <w:rFonts w:ascii="Arial" w:cs="Arial" w:eastAsia="Arial" w:hAnsi="Arial"/>
                <w:sz w:val="18"/>
                <w:szCs w:val="18"/>
                <w:color w:val="auto"/>
              </w:rPr>
              <w:t>Swank</w:t>
            </w: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3,907(12)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53,838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35,563(3)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503,838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20,313(9)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279,913</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160" w:type="dxa"/>
            <w:vAlign w:val="bottom"/>
          </w:tcPr>
          <w:p>
            <w:pPr>
              <w:spacing w:after="0"/>
              <w:rPr>
                <w:sz w:val="5"/>
                <w:szCs w:val="5"/>
                <w:color w:val="auto"/>
              </w:rPr>
            </w:pPr>
          </w:p>
        </w:tc>
        <w:tc>
          <w:tcPr>
            <w:tcW w:w="138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404,685(14)</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11/15/2020</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129,166</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70,834(15)</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11/15/2020</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60,938(9)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839,726</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689,000</w:t>
            </w:r>
          </w:p>
        </w:tc>
        <w:tc>
          <w:tcPr>
            <w:tcW w:w="0" w:type="dxa"/>
            <w:vAlign w:val="bottom"/>
          </w:tcPr>
          <w:p>
            <w:pPr>
              <w:spacing w:after="0"/>
              <w:rPr>
                <w:sz w:val="1"/>
                <w:szCs w:val="1"/>
                <w:color w:val="auto"/>
              </w:rPr>
            </w:pPr>
          </w:p>
        </w:tc>
      </w:tr>
      <w:tr>
        <w:trPr>
          <w:trHeight w:val="60"/>
        </w:trPr>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accordance with SEC rules, market value is based on $13.78, the closing price of our common stock on the last trading day of the year.</w:t>
      </w:r>
    </w:p>
    <w:p>
      <w:pPr>
        <w:spacing w:after="0" w:line="61"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unexercisable portion of an option granted on January 20, 2011 for 537,692 shares. None of the shares subject to the option were eligible to vest unless the option holder remained in service through September 10, 2012, at which point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subject to the option vested upon the completion of each month of service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6" w:name="page47"/>
    <w:bookmarkEnd w:id="46"/>
    <w:p>
      <w:pPr>
        <w:jc w:val="both"/>
        <w:ind w:left="500" w:hanging="492"/>
        <w:spacing w:after="0" w:line="29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7, 2013 for 125,000 restricted stock units in the case of Mr. Amster, for 75,000 restricted stock units in the case of Mr. Roberts, and 65,000 restricted stock units in the case of Mr. Swank. 6.25% of the shares subject to the award vested on May 20, 2013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334"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January 7, 2013 for 125,000 restricted stock units. The units vest over approximately 4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$11.81; (ii) on the second anniversary, equal to or greater than the higher of (a) $14.17 or (b) the ACP for the period of 90 calendar days ending on the first anniversary of the grant date times 1.25; (iii) on the third anniversary, equal to or greater than the higher of (a) $16.54 or (b) the ACP for the period of 90 calendar days ending on the second anniversary of the grant date times 1.25; and (iv) on the fourth anniversary, equal to or greater than the higher of (a) $18.90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The price appreciation target for the one-year anniversary was achieved.</w:t>
      </w:r>
    </w:p>
    <w:p>
      <w:pPr>
        <w:spacing w:after="0" w:line="6" w:lineRule="exact"/>
        <w:rPr>
          <w:rFonts w:ascii="Arial" w:cs="Arial" w:eastAsia="Arial" w:hAnsi="Arial"/>
          <w:sz w:val="16"/>
          <w:szCs w:val="16"/>
          <w:color w:val="auto"/>
        </w:rPr>
      </w:pPr>
    </w:p>
    <w:p>
      <w:pPr>
        <w:jc w:val="both"/>
        <w:ind w:left="500" w:hanging="492"/>
        <w:spacing w:after="0" w:line="334"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February 6, 2014 for 150,000 restricted stock units in the case of Mr. Amster, and 50,000 restricted stock units on the case of Ms. Yen. The units vest over approximately 4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$20.80; (ii) on the second anniversary, equal to or greater than the higher of (a) $24.96 or (b) the ACP for the period of 90 calendar days ending on the first anniversary of the grant date times 1.25; (iii) on the third anniversary, equal to or greater than the higher of (a) $29.12 or (b) the ACP for the period of 90 calendar days ending on the second anniversary of the grant date times 1.25; and (iv) on the fourth anniversary, equal to or greater than the higher of (a) $33.28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w:t>
      </w:r>
    </w:p>
    <w:p>
      <w:pPr>
        <w:spacing w:after="0" w:line="6" w:lineRule="exact"/>
        <w:rPr>
          <w:rFonts w:ascii="Arial" w:cs="Arial" w:eastAsia="Arial" w:hAnsi="Arial"/>
          <w:sz w:val="16"/>
          <w:szCs w:val="16"/>
          <w:color w:val="auto"/>
        </w:rPr>
      </w:pPr>
    </w:p>
    <w:p>
      <w:pPr>
        <w:jc w:val="both"/>
        <w:ind w:left="500" w:hanging="492"/>
        <w:spacing w:after="0" w:line="29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unexercisable portion of an option granted on April 25, 2013 for 100,000 shares. 25% of the shares subject to the option vest upon the completion of one year of continuous service beginning from April 24, 2013, and an additional 1/48th of the shares subject to the option vested upon the completion of each month of continuous service thereafter.</w:t>
      </w:r>
    </w:p>
    <w:p>
      <w:pPr>
        <w:spacing w:after="0" w:line="1"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April 25, 2013 for 300,000 restricted stock units. 25% of the shares subject to the award vested on May 20, 2014 and 6.25% of the shares subject to the award vested quarterly thereafter as long as continuous service is provided through each vesting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11" w:right="239" w:bottom="1440" w:gutter="0" w:footer="0" w:header="0"/>
        </w:sectPr>
      </w:pPr>
    </w:p>
    <w:bookmarkStart w:id="47" w:name="page48"/>
    <w:bookmarkEnd w:id="47"/>
    <w:p>
      <w:pPr>
        <w:jc w:val="both"/>
        <w:ind w:left="500" w:hanging="492"/>
        <w:spacing w:after="0" w:line="334"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April 25, 2013 for 50,000 restricted stock units. The units vest over approximately four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$15.90; (ii) on the second anniversary, equal to or greater than the higher of (a) $19.08 or (b) the ACP for the period of 90 calendar days ending on the first anniversary of the grant date times 1.25; (iii) on the third anniversary, equal to or greater than the higher of (a) $22.26 or (b) the ACP for the period of 90 calendar days ending on the second anniversary of the grant date times 1.25; and (iv) on the fourth anniversary, equal to or greater than the higher of (a) $25.44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The price appreciation target for the one-year anniversary was achieved.</w:t>
      </w:r>
    </w:p>
    <w:p>
      <w:pPr>
        <w:spacing w:after="0" w:line="6" w:lineRule="exact"/>
        <w:rPr>
          <w:rFonts w:ascii="Arial" w:cs="Arial" w:eastAsia="Arial" w:hAnsi="Arial"/>
          <w:sz w:val="16"/>
          <w:szCs w:val="16"/>
          <w:color w:val="auto"/>
        </w:rPr>
      </w:pPr>
    </w:p>
    <w:p>
      <w:pPr>
        <w:jc w:val="both"/>
        <w:ind w:left="500" w:hanging="492"/>
        <w:spacing w:after="0" w:line="29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6, 2014 for 55,000 restricted stock units in the case of Mr. Segal, for 25,000 restricted stock units in the case of Mr. Swank, and for 75,000 restricted stock units in the case of Ms. Yen. 6.25% of the shares subject to the award vested on May 20, 2014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ind w:left="500" w:hanging="492"/>
        <w:spacing w:after="0" w:line="315"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unexercised portion of an option granted on October 21, 2010 for 263,092 shares. 25% of the shares subject to the option vested on October 11, 2011, and an additional 1/48th of the shares vested upon completion of each month of continuous service thereafter.</w:t>
      </w:r>
    </w:p>
    <w:p>
      <w:pPr>
        <w:jc w:val="both"/>
        <w:ind w:left="500" w:hanging="492"/>
        <w:spacing w:after="0" w:line="29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unexercisable portion of options granted on January 24, 2012 for 25,000 shares in the case of Mr. Roberts, and for 20,000 shares in the case of Mr. Swank. 1/48th of the shares subject to the option vested upon the completion of each month of continuous service beginning on January 24, 2012.</w:t>
      </w:r>
    </w:p>
    <w:p>
      <w:pPr>
        <w:spacing w:after="0" w:line="1" w:lineRule="exact"/>
        <w:rPr>
          <w:rFonts w:ascii="Arial" w:cs="Arial" w:eastAsia="Arial" w:hAnsi="Arial"/>
          <w:sz w:val="18"/>
          <w:szCs w:val="18"/>
          <w:color w:val="auto"/>
        </w:rPr>
      </w:pPr>
    </w:p>
    <w:p>
      <w:pPr>
        <w:jc w:val="both"/>
        <w:ind w:left="500" w:hanging="492"/>
        <w:spacing w:after="0" w:line="29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24, 2012 for 12,500 restricted stock units in the case of Messrs. Roberts and Swank. 6.25% of the shares subject to the award vested on May 20, 2012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29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6, 2014 for 50,000 restricted stock units. 25% of the award vested on May 20, 2014 and 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29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November 16, 2010 for 700,000 shares. 25% of the shares subject to the option vested upon the completion of one year of continuous service beginning from November 1, 2010, and an additional 1/48th of the shares subject to the option vested upon the completion of each month of continuous service thereafter.</w:t>
      </w:r>
    </w:p>
    <w:p>
      <w:pPr>
        <w:spacing w:after="0" w:line="1"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unexercisable portion of a performance-based option granted on November 16, 2010 for 200,000 shares. Vesting of the option began after the Board of Directors determined that option holder had achieved both of the following milestones: (1) within six months of the date option holder’s employment begins (the “Start Date”), option holder will submit to the Board of Directors for approval business plans for two new lines of business and those plans are approved by the Board of Directors (the “Business Plans”); and (2) within 18 months of the Start Date, the Company has launched at least one of the businesses in the Business Plans with at least four clients that are generating revenue consistent with the applicable plan. On May 16, 2012, the compensation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11" w:right="239" w:bottom="1440" w:gutter="0" w:footer="0" w:header="0"/>
        </w:sectPr>
      </w:pPr>
    </w:p>
    <w:bookmarkStart w:id="48" w:name="page49"/>
    <w:bookmarkEnd w:id="48"/>
    <w:p>
      <w:pPr>
        <w:ind w:left="500" w:right="20"/>
        <w:spacing w:after="0" w:line="356" w:lineRule="auto"/>
        <w:rPr>
          <w:sz w:val="20"/>
          <w:szCs w:val="20"/>
          <w:color w:val="auto"/>
        </w:rPr>
      </w:pPr>
      <w:r>
        <w:rPr>
          <w:rFonts w:ascii="Arial" w:cs="Arial" w:eastAsia="Arial" w:hAnsi="Arial"/>
          <w:sz w:val="18"/>
          <w:szCs w:val="18"/>
          <w:color w:val="auto"/>
        </w:rPr>
        <w:t>committee approved the vesting of the performance-based options, and the option began vesting at a rate of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option shares upon completion of each month of continuous service after May 1, 2012.</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121"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table shows the number of shares acquired upon exercise of options by each named executive officer in 2014 and the number of restricted stock units held by each named executive officer that vested during the 2014 fiscal year.</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Option Awards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 Shares</w:t>
            </w:r>
          </w:p>
        </w:tc>
        <w:tc>
          <w:tcPr>
            <w:tcW w:w="240" w:type="dxa"/>
            <w:vAlign w:val="bottom"/>
          </w:tcPr>
          <w:p>
            <w:pPr>
              <w:spacing w:after="0"/>
              <w:rPr>
                <w:sz w:val="14"/>
                <w:szCs w:val="1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Value Realized</w:t>
            </w:r>
          </w:p>
        </w:tc>
        <w:tc>
          <w:tcPr>
            <w:tcW w:w="2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4"/>
                <w:szCs w:val="14"/>
                <w:color w:val="auto"/>
              </w:rPr>
            </w:pPr>
          </w:p>
        </w:tc>
        <w:tc>
          <w:tcPr>
            <w:tcW w:w="1580" w:type="dxa"/>
            <w:vAlign w:val="bottom"/>
          </w:tcPr>
          <w:p>
            <w:pPr>
              <w:jc w:val="center"/>
              <w:ind w:right="397"/>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Acquired on Exercise</w:t>
            </w:r>
          </w:p>
        </w:tc>
        <w:tc>
          <w:tcPr>
            <w:tcW w:w="240" w:type="dxa"/>
            <w:vAlign w:val="bottom"/>
          </w:tcPr>
          <w:p>
            <w:pPr>
              <w:spacing w:after="0"/>
              <w:rPr>
                <w:sz w:val="13"/>
                <w:szCs w:val="13"/>
                <w:color w:val="auto"/>
              </w:rPr>
            </w:pPr>
          </w:p>
        </w:tc>
        <w:tc>
          <w:tcPr>
            <w:tcW w:w="15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on Exercise</w:t>
            </w:r>
          </w:p>
        </w:tc>
        <w:tc>
          <w:tcPr>
            <w:tcW w:w="2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Acquired on Vesting</w:t>
            </w:r>
          </w:p>
        </w:tc>
        <w:tc>
          <w:tcPr>
            <w:tcW w:w="440" w:type="dxa"/>
            <w:vAlign w:val="bottom"/>
          </w:tcPr>
          <w:p>
            <w:pPr>
              <w:spacing w:after="0"/>
              <w:rPr>
                <w:sz w:val="13"/>
                <w:szCs w:val="13"/>
                <w:color w:val="auto"/>
              </w:rPr>
            </w:pPr>
          </w:p>
        </w:tc>
        <w:tc>
          <w:tcPr>
            <w:tcW w:w="1580" w:type="dxa"/>
            <w:vAlign w:val="bottom"/>
          </w:tcPr>
          <w:p>
            <w:pPr>
              <w:jc w:val="center"/>
              <w:ind w:right="337"/>
              <w:spacing w:after="0" w:line="153"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jc w:val="center"/>
              <w:ind w:right="357"/>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22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62,500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978,985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Ned D. Segal</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8"/>
              <w:spacing w:after="0"/>
              <w:rPr>
                <w:sz w:val="20"/>
                <w:szCs w:val="20"/>
                <w:color w:val="auto"/>
              </w:rPr>
            </w:pPr>
            <w:r>
              <w:rPr>
                <w:rFonts w:ascii="Arial" w:cs="Arial" w:eastAsia="Arial" w:hAnsi="Arial"/>
                <w:sz w:val="18"/>
                <w:szCs w:val="18"/>
                <w:color w:val="auto"/>
              </w:rPr>
              <w:t>135,312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2,088,777</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Martin E. Roberts</w:t>
            </w:r>
          </w:p>
        </w:tc>
        <w:tc>
          <w:tcPr>
            <w:tcW w:w="2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45,882</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512,060</w:t>
            </w:r>
          </w:p>
        </w:tc>
        <w:tc>
          <w:tcPr>
            <w:tcW w:w="2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71,875</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1,088,729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Steven S. Swank</w:t>
            </w:r>
          </w:p>
        </w:tc>
        <w:tc>
          <w:tcPr>
            <w:tcW w:w="2060" w:type="dxa"/>
            <w:vAlign w:val="bottom"/>
          </w:tcPr>
          <w:p>
            <w:pPr>
              <w:jc w:val="right"/>
              <w:ind w:right="158"/>
              <w:spacing w:after="0"/>
              <w:rPr>
                <w:sz w:val="20"/>
                <w:szCs w:val="20"/>
                <w:color w:val="auto"/>
              </w:rPr>
            </w:pPr>
            <w:r>
              <w:rPr>
                <w:rFonts w:ascii="Arial" w:cs="Arial" w:eastAsia="Arial" w:hAnsi="Arial"/>
                <w:sz w:val="18"/>
                <w:szCs w:val="18"/>
                <w:color w:val="auto"/>
              </w:rPr>
              <w:t>33,601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393,614</w:t>
            </w:r>
          </w:p>
        </w:tc>
        <w:tc>
          <w:tcPr>
            <w:tcW w:w="220" w:type="dxa"/>
            <w:vAlign w:val="bottom"/>
          </w:tcPr>
          <w:p>
            <w:pPr>
              <w:spacing w:after="0"/>
              <w:rPr>
                <w:sz w:val="21"/>
                <w:szCs w:val="21"/>
                <w:color w:val="auto"/>
              </w:rPr>
            </w:pPr>
          </w:p>
        </w:tc>
        <w:tc>
          <w:tcPr>
            <w:tcW w:w="2020" w:type="dxa"/>
            <w:vAlign w:val="bottom"/>
          </w:tcPr>
          <w:p>
            <w:pPr>
              <w:jc w:val="right"/>
              <w:ind w:right="58"/>
              <w:spacing w:after="0"/>
              <w:rPr>
                <w:sz w:val="20"/>
                <w:szCs w:val="20"/>
                <w:color w:val="auto"/>
              </w:rPr>
            </w:pPr>
            <w:r>
              <w:rPr>
                <w:rFonts w:ascii="Arial" w:cs="Arial" w:eastAsia="Arial" w:hAnsi="Arial"/>
                <w:sz w:val="18"/>
                <w:szCs w:val="18"/>
                <w:color w:val="auto"/>
              </w:rPr>
              <w:t>24,062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362,868</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Mallun Yen</w:t>
            </w:r>
          </w:p>
        </w:tc>
        <w:tc>
          <w:tcPr>
            <w:tcW w:w="2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102,065</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1,068,530</w:t>
            </w:r>
          </w:p>
        </w:tc>
        <w:tc>
          <w:tcPr>
            <w:tcW w:w="2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14,062</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208,165</w:t>
            </w:r>
          </w:p>
        </w:tc>
        <w:tc>
          <w:tcPr>
            <w:tcW w:w="0" w:type="dxa"/>
            <w:vAlign w:val="bottom"/>
          </w:tcPr>
          <w:p>
            <w:pPr>
              <w:spacing w:after="0"/>
              <w:rPr>
                <w:sz w:val="1"/>
                <w:szCs w:val="1"/>
                <w:color w:val="auto"/>
              </w:rPr>
            </w:pPr>
          </w:p>
        </w:tc>
      </w:tr>
      <w:tr>
        <w:trPr>
          <w:trHeight w:val="297"/>
        </w:trPr>
        <w:tc>
          <w:tcPr>
            <w:tcW w:w="2780" w:type="dxa"/>
            <w:vAlign w:val="bottom"/>
            <w:gridSpan w:val="2"/>
          </w:tcPr>
          <w:p>
            <w:pPr>
              <w:jc w:val="right"/>
              <w:ind w:right="973"/>
              <w:spacing w:after="0"/>
              <w:rPr>
                <w:sz w:val="20"/>
                <w:szCs w:val="20"/>
                <w:color w:val="auto"/>
              </w:rPr>
            </w:pPr>
            <w:r>
              <w:rPr>
                <w:rFonts w:ascii="Arial" w:cs="Arial" w:eastAsia="Arial" w:hAnsi="Arial"/>
                <w:sz w:val="18"/>
                <w:szCs w:val="18"/>
                <w:color w:val="auto"/>
                <w:w w:val="89"/>
              </w:rPr>
              <w:t>___________________</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Value realized is based on the difference between the fair market value of our common stock on the date of exercise and the exercise price.</w:t>
      </w:r>
    </w:p>
    <w:p>
      <w:pPr>
        <w:spacing w:after="0" w:line="61"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1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company does not provide a pension plan for employees, and no named executive officers participated in a non-qualified deferred compensation plan during the 2014 fiscal year.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Potential Payments Upon Termination or Change in Control</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We have entered into offer letters and either stock option, restricted stock unit or stock purchase agreements with each of our named executive officers. None of the offer letters entered into with our named executive officers provide for the payment of severance; however, we have entered into agreements with Messrs. Amster and Segal and Ms. Yen under which they may be entitled to accelerated vesting of equity awards upon certain terminations of employment, as described in further detail below. Additionally, options and restricted stock units granted pursuant to either our 2008 Stock Plan or our 2011 Equity Incentive Plan, including any options or restricted stock units granted to our named executive officers, may accelerate and vest in full if our company is subject to certain corporate transactions in which the surviving corporation does not assume the options or restricted stock units or substitute new awards for outstanding awards.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John A. Amster</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In January 2011, we granted Mr. Amster 537,692 options. Pursuant to the stock option applicable to this award, if Mr. Amster is subject to an involuntary termination within 12 months following a change in control, then he will be entitled to vesting acceleration of 50% of any then-unvested shares or units subject to the awards.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For purposes of the January 2011 stock option agreement with Mr. Amster:</w:t>
      </w:r>
    </w:p>
    <w:p>
      <w:pPr>
        <w:spacing w:after="0" w:line="266"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i w:val="1"/>
          <w:iCs w:val="1"/>
          <w:color w:val="auto"/>
        </w:rPr>
        <w:t xml:space="preserve">“Involuntary termination” </w:t>
      </w:r>
      <w:r>
        <w:rPr>
          <w:rFonts w:ascii="Arial" w:cs="Arial" w:eastAsia="Arial" w:hAnsi="Arial"/>
          <w:sz w:val="17"/>
          <w:szCs w:val="17"/>
          <w:color w:val="auto"/>
        </w:rPr>
        <w:t>is defined as the termination of Mr. Amster’s service by reason of (i) the involuntary discharge of Mr. Amster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reasons other than cause or death or disability or (ii) his voluntary resignation following (a) the material reduction in authority and responsibility with our company (it being understood that a material reduction in authority and responsibility shall not be deemed to have occurred as long as he retains substantial senior executive responsibilities in the same line of business that he was involved with immediately prior to a change in control), (b) a reduction in his base salary by more than 10% or (c) a request by our company that he relocate by more than 50 miles.</w:t>
      </w:r>
    </w:p>
    <w:p>
      <w:pPr>
        <w:spacing w:after="0" w:line="1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is defined as (i) the consummation of a merger or consolidation of our company with or into another entity or (ii) the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liquidation or winding up of our company. The foregoing notwithstanding, a merger or consolidation of our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our stockholders immediately prior to such merger or consolidation in substantially the same proportions as their ownership of the voting power of our capital stock immediately prior to such merger or consolidation.</w:t>
      </w:r>
    </w:p>
    <w:p>
      <w:pPr>
        <w:spacing w:after="0" w:line="193"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an intentional and unauthorized use or disclosure by Mr. Amster of our confidential information or trade secrets, which use</w:t>
      </w:r>
      <w:r>
        <w:rPr>
          <w:rFonts w:ascii="Arial" w:cs="Arial" w:eastAsia="Arial" w:hAnsi="Arial"/>
          <w:sz w:val="16"/>
          <w:szCs w:val="16"/>
          <w:i w:val="1"/>
          <w:iCs w:val="1"/>
          <w:color w:val="auto"/>
        </w:rPr>
        <w:t xml:space="preserve"> </w:t>
      </w:r>
      <w:r>
        <w:rPr>
          <w:rFonts w:ascii="Arial" w:cs="Arial" w:eastAsia="Arial" w:hAnsi="Arial"/>
          <w:sz w:val="16"/>
          <w:szCs w:val="16"/>
          <w:color w:val="auto"/>
        </w:rPr>
        <w:t>or disclosure causes material harm to our company, (ii) a material breach by Mr. Amster of any agreement between him and our company, (iii) a material failure by Mr. Amster to comply with our written policies or rules, (iv) Mr. Amster’s conviction of, or plea of “guilty” or “no contest” to, a felony under the laws of the United States or any State thereof, (v) Mr. Amster’s gross negligence or willful misconduct, (vi) a continuing failure by Mr. Amster to perform assigned duties after receiving written notification of such failure from our board of directors or (vii) a failure by Mr. Amster to cooperate in good faith with a governmental or internal investigation of our company or its directors, officers or employees, if our company has requested his cooperation.</w:t>
      </w:r>
    </w:p>
    <w:p>
      <w:pPr>
        <w:spacing w:after="0" w:line="16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Amster’s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In January 2013, we granted Mr. Amster 125,000 restricted stock units. Pursuant to the restricted stock unit award agreement applicable to this award, if Mr. Amster is subject to an involuntary termination within 12 months following a change in control, then he will be entitled to vesting acceleration of 50% of any then-unvested shares or units subject to the award.</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January 2013, we also granted Mr. Amster 125,000 performance-based restricted stock units, and in February 2014, we granted Mr. Amster 150,000 performance-based restricted stock units. Pursuant to the performance-based restricted stock unit award agreements applicable to these awards, if our company is subject to a change in control before Mr. Amster’s service terminates and prior to the fourth anniversary of the applicable grant date, then the performance conditions for the applicable award will be waived and 6.25% of the units subject to the award will vest quarterly on the Company’s established vesting dates until the fourth anniversary of the grant date, provided Mr. Amster remains in continuous service through each vesting date. Any units are not vested by the fourth anniversary of the grant date shall be forfeited. However, if Mr. Amster is subject to an involuntary termination within 12 months after the change in control and prior to the fourth anniversary of the award date, then 50% of the units that are unvested at the time of the involuntary termination will vest.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11"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For purposes of the restricted stock unit and performance-based restricted stock unit award agreements with Mr. Amster: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is defined as:</w:t>
      </w:r>
    </w:p>
    <w:p>
      <w:pPr>
        <w:spacing w:after="0" w:line="252" w:lineRule="exact"/>
        <w:rPr>
          <w:sz w:val="20"/>
          <w:szCs w:val="20"/>
          <w:color w:val="auto"/>
        </w:rPr>
      </w:pPr>
    </w:p>
    <w:p>
      <w:pPr>
        <w:jc w:val="both"/>
        <w:ind w:firstLine="1305"/>
        <w:spacing w:after="0" w:line="306" w:lineRule="auto"/>
        <w:tabs>
          <w:tab w:leader="none" w:pos="17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more than 50% of the voting power of the outstanding securities of each of (i) the continuing or surviving entity and (ii) any direct or indirect parent corporation of such continuing or surviving entity;</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65" w:lineRule="exact"/>
        <w:rPr>
          <w:rFonts w:ascii="Arial" w:cs="Arial" w:eastAsia="Arial" w:hAnsi="Arial"/>
          <w:sz w:val="18"/>
          <w:szCs w:val="18"/>
          <w:color w:val="auto"/>
        </w:rPr>
      </w:pPr>
    </w:p>
    <w:p>
      <w:pPr>
        <w:ind w:left="1680" w:hanging="375"/>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50% of the incumbent directors are directors who either:</w:t>
      </w:r>
    </w:p>
    <w:p>
      <w:pPr>
        <w:spacing w:after="0" w:line="288" w:lineRule="exact"/>
        <w:rPr>
          <w:rFonts w:ascii="Arial" w:cs="Arial" w:eastAsia="Arial" w:hAnsi="Arial"/>
          <w:sz w:val="16"/>
          <w:szCs w:val="16"/>
          <w:color w:val="auto"/>
        </w:rPr>
      </w:pPr>
    </w:p>
    <w:p>
      <w:pPr>
        <w:ind w:left="660" w:firstLine="1293"/>
        <w:spacing w:after="0" w:line="324" w:lineRule="auto"/>
        <w:tabs>
          <w:tab w:leader="none" w:pos="23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Had been directors of the Company on the date 24 months prior to the date of such change in the composition of the Board (the “Original Directors”); or</w:t>
      </w:r>
    </w:p>
    <w:p>
      <w:pPr>
        <w:spacing w:after="0" w:line="170" w:lineRule="exact"/>
        <w:rPr>
          <w:rFonts w:ascii="Arial" w:cs="Arial" w:eastAsia="Arial" w:hAnsi="Arial"/>
          <w:sz w:val="18"/>
          <w:szCs w:val="18"/>
          <w:color w:val="auto"/>
        </w:rPr>
      </w:pPr>
    </w:p>
    <w:p>
      <w:pPr>
        <w:jc w:val="both"/>
        <w:ind w:left="660" w:firstLine="1293"/>
        <w:spacing w:after="0" w:line="311" w:lineRule="auto"/>
        <w:tabs>
          <w:tab w:leader="none" w:pos="23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81" w:lineRule="exact"/>
        <w:rPr>
          <w:rFonts w:ascii="Arial" w:cs="Arial" w:eastAsia="Arial" w:hAnsi="Arial"/>
          <w:sz w:val="18"/>
          <w:szCs w:val="18"/>
          <w:color w:val="auto"/>
        </w:rPr>
      </w:pPr>
    </w:p>
    <w:p>
      <w:pPr>
        <w:jc w:val="both"/>
        <w:ind w:firstLine="1305"/>
        <w:spacing w:after="0" w:line="302" w:lineRule="auto"/>
        <w:tabs>
          <w:tab w:leader="none" w:pos="17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as a result of which any person becomes the “beneficial owner” (as defined in Rule 13d-3 under the Exchange Act), directly or indirectly, of securities of the Company representing more than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and (ii) a corporation owned directly or indirectly by the stockholders of the Company in substantially the same proportions as their ownership of the common stock of the Company.</w:t>
      </w:r>
    </w:p>
    <w:p>
      <w:pPr>
        <w:spacing w:after="0" w:line="193"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the transaction with respect to such Award must also constitute a “change in control event” as defined in Treasury Regulation Section 1.409A-3(i)(5) to the extent required by Code Section 409A.</w:t>
      </w:r>
    </w:p>
    <w:p>
      <w:pPr>
        <w:spacing w:after="0" w:line="17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is defined as either (i) a separation as a result of the termination of Mr. Amster’s employment by the Company for reasons other than cause or death or disability; or (ii) Mr. Amster’s resignation for good reason.</w:t>
      </w:r>
    </w:p>
    <w:p>
      <w:pPr>
        <w:spacing w:after="0" w:line="170"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Resignation for Good Reason</w:t>
      </w:r>
      <w:r>
        <w:rPr>
          <w:rFonts w:ascii="Arial" w:cs="Arial" w:eastAsia="Arial" w:hAnsi="Arial"/>
          <w:sz w:val="18"/>
          <w:szCs w:val="18"/>
          <w:color w:val="auto"/>
        </w:rPr>
        <w:t>” is defined as a separation as a result of Mr. Amster’s resignation within 12 months after one of the following conditions has come into existence without Mr. Amster’s consent: (i) a material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11" w:right="239" w:bottom="1440" w:gutter="0" w:footer="0" w:header="0"/>
        </w:sectPr>
      </w:pPr>
    </w:p>
    <w:bookmarkStart w:id="51" w:name="page52"/>
    <w:bookmarkEnd w:id="51"/>
    <w:p>
      <w:pPr>
        <w:jc w:val="both"/>
        <w:spacing w:after="0" w:line="302" w:lineRule="auto"/>
        <w:rPr>
          <w:sz w:val="20"/>
          <w:szCs w:val="20"/>
          <w:color w:val="auto"/>
        </w:rPr>
      </w:pPr>
      <w:r>
        <w:rPr>
          <w:rFonts w:ascii="Arial" w:cs="Arial" w:eastAsia="Arial" w:hAnsi="Arial"/>
          <w:sz w:val="18"/>
          <w:szCs w:val="18"/>
          <w:color w:val="auto"/>
        </w:rPr>
        <w:t>reduction in Mr. Amster’s authority and responsibility (it being understood that a material reduction in authority and responsibility shall not be deemed to have occurred as long as Mr. Amster retains substantial senior executive responsibilities in the same line of business that Mr. Amster was involved with immediately prior to a Change in Control); (ii) a reduction in Mr. Amster’s base salary by more than 10%; or (iii) a request by the Company that Mr. Amster relocate by more than 50 miles. A resignation for good reason will not be deemed to have occurred unless Mr. Amster gives the Company written notice of the condition within 90 days after the condition comes into existence and the Company fails to remedy the condition within 30 days after receiving Mr. Amster’s written notice.</w:t>
      </w:r>
    </w:p>
    <w:p>
      <w:pPr>
        <w:spacing w:after="0" w:line="193"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is defined as (i) Mr. Amster’s intentional and unauthorized use or disclosure of the Company’s confidential information or trade secrets, which use or disclosure causes material harm to the Company; (ii) Mr. Amster’s material breach of any agreement between Mr. Amster and the Company;</w:t>
      </w:r>
    </w:p>
    <w:p>
      <w:pPr>
        <w:spacing w:after="0" w:line="1" w:lineRule="exact"/>
        <w:rPr>
          <w:sz w:val="20"/>
          <w:szCs w:val="20"/>
          <w:color w:val="auto"/>
        </w:rPr>
      </w:pPr>
    </w:p>
    <w:p>
      <w:pPr>
        <w:jc w:val="both"/>
        <w:ind w:firstLine="8"/>
        <w:spacing w:after="0" w:line="304" w:lineRule="auto"/>
        <w:tabs>
          <w:tab w:leader="none" w:pos="3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Amster’s material failure to comply with the Company’s written policies or rules; (iv) Mr. Amster’s conviction of, or plea of “guilty” or “no contest” to, a felony under the laws of the United States or any State thereof; (v) Mr. Amster’s gross negligence or willful misconduct; (vi) Mr. Amster’s continuing failure to perform assigned duties after receiving written notification of such failure from the Board of Directors; or (vii) Mr. Amster’s failure to cooperate in good faith with a governmental or internal investigation of the Company or its directors, officers or employees, if the Company has requested Mr. Amster’s cooperation.</w:t>
      </w:r>
    </w:p>
    <w:p>
      <w:pPr>
        <w:spacing w:after="0" w:line="18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mean Mr. Amster’s inability to engage in any substantial gainful activity by reason of any medically determinable physical or mental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Ned D. Segal</w:t>
      </w:r>
    </w:p>
    <w:p>
      <w:pPr>
        <w:spacing w:after="0" w:line="15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In April 2013, we granted Mr. Segal 100,000 options and 300,000 restricted stock units. Pursuant to the stock option and restricted stock unit agreements applicable to these awards, if Mr. Segal is subject to an involuntary termination within 12 months following a change in control, then he will be entitled to vesting acceleration of 50% of any then-unvested shares subject to the awards. In addition, if Mr. Segal had died or his employment had terminated because of his disability before April 23, 2015, the first 25% of the shares subject to the awards would have vested.</w:t>
      </w:r>
    </w:p>
    <w:p>
      <w:pPr>
        <w:spacing w:after="0" w:line="6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April 2013, we also granted Mr. Segal 50,000 performance-based restricted stock units. The treatment of this award upon a change in control is the same as described above with respect to Mr. Amster’s performance-based restricted stock units.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The definitions applicable to the April 2013 stock option agreement, restricted stock unit award agreement, and performance-based restricted stock unit award agreement with Mr. Segal are generally the same as in Mr. Amster’s restricted stock unit and performance-based restricted stock unit award agreements, with the following exceptions:</w:t>
      </w:r>
    </w:p>
    <w:p>
      <w:pPr>
        <w:spacing w:after="0" w:line="181"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7"/>
          <w:szCs w:val="17"/>
          <w:i w:val="1"/>
          <w:iCs w:val="1"/>
          <w:color w:val="auto"/>
        </w:rPr>
        <w:t xml:space="preserve">“Cause” </w:t>
      </w:r>
      <w:r>
        <w:rPr>
          <w:rFonts w:ascii="Arial" w:cs="Arial" w:eastAsia="Arial" w:hAnsi="Arial"/>
          <w:sz w:val="17"/>
          <w:szCs w:val="17"/>
          <w:color w:val="auto"/>
        </w:rPr>
        <w:t>is defined as (i) Mr. Segal’s intentional and unauthorized use or disclosure of our company’s confidential information or trade secrets,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use or disclosure causes material harm to our company; (ii) Mr. Segal’s material breach of any agreement between Mr. Segal and our company; (iii) Mr. Segal’s material failure to comply with our company’s written policies or rules; (iv) Mr. Segal’s conviction of, or plea of “guilty” or “no contest” to, a felony under the laws of the United States or any State thereof; (v) Mr. Segal’s gross negligence or willful misconduct; (vi) Mr. Segal’s continuing failure to perform assigned duties after receiving written notification of such failure from the Board of Directors; or (vii) Mr. Segal’s failure to cooperate in good faith with a governmental or internal investigation of our company or its directors, officers or employees, if our company has requested Mr. Segal’s cooperation. To the extent Mr. Segal commits an act that would constitute Cause pursuant to (ii), (iii) or (vii), he will be given notice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11" w:right="239" w:bottom="1440" w:gutter="0" w:footer="0" w:header="0"/>
        </w:sectPr>
      </w:pPr>
    </w:p>
    <w:bookmarkStart w:id="52" w:name="page53"/>
    <w:bookmarkEnd w:id="52"/>
    <w:p>
      <w:pPr>
        <w:jc w:val="both"/>
        <w:spacing w:after="0" w:line="324" w:lineRule="auto"/>
        <w:rPr>
          <w:sz w:val="20"/>
          <w:szCs w:val="20"/>
          <w:color w:val="auto"/>
        </w:rPr>
      </w:pPr>
      <w:r>
        <w:rPr>
          <w:rFonts w:ascii="Arial" w:cs="Arial" w:eastAsia="Arial" w:hAnsi="Arial"/>
          <w:sz w:val="18"/>
          <w:szCs w:val="18"/>
          <w:color w:val="auto"/>
        </w:rPr>
        <w:t>an opportunity to cure within 30 days of receiving notice and, if he reasonably cures such act as determined by the audit committee of our company’s board, it will not constitute Cause.</w:t>
      </w:r>
    </w:p>
    <w:p>
      <w:pPr>
        <w:spacing w:after="0" w:line="1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Segal’s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 that results in death or lasts for a continuous period of not less than six months.</w:t>
      </w:r>
    </w:p>
    <w:p>
      <w:pPr>
        <w:spacing w:after="0" w:line="170"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 February 2014, we granted Mr. Segal 55,000 restricted stock units. The treatment of this award upon a change in control, including the definitions for the purposes of the restricted stock unit award agreement, is the same as described above with respect to Mr. Amster’s restricted stock unit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Mallun Yen</w:t>
      </w:r>
    </w:p>
    <w:p>
      <w:pPr>
        <w:spacing w:after="0" w:line="158"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6"/>
          <w:szCs w:val="16"/>
          <w:color w:val="auto"/>
        </w:rPr>
        <w:t>In November 2010, we granted Ms. Yen 700,000 options. The treatment of this award upon a change in control, including the definitions for the purposes of the stock option agreement, is the same as described above with respect to Mr. Amster’s stock option grant. Further, if Ms. Yen had died or if the Company had terminated her employment because of her disability, in either case prior to October 31, 2011, the first 25% of the options would have vested.</w:t>
      </w:r>
    </w:p>
    <w:p>
      <w:pPr>
        <w:spacing w:after="0" w:line="4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In November 2010, we also granted Ms. Yen 200,000 performance-based options. Pursuant to the performance-based stock option agreement applicable to this award, if the milestones applicable to the option have been achieved and Ms. Yen is subject to an involuntary termination within 12 months following a change in control, then she will be entitled to vesting acceleration of 50% of any then-unvested shares subject to the awards. The definitions applicable to this award are the same as described above with respect to Mr. Amster’s stock option grant.</w:t>
      </w:r>
    </w:p>
    <w:p>
      <w:pPr>
        <w:spacing w:after="0" w:line="187"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 February 2014, we granted Ms. Yen 75,000 restricted stock units. The treatment of this award upon a change in control, including the definitions for the purposes of the restricted stock unit agreement, is the same as described above with respect to Mr. Amster’s restricted stock unit award.</w:t>
      </w:r>
    </w:p>
    <w:p>
      <w:pPr>
        <w:spacing w:after="0" w:line="12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8"/>
          <w:szCs w:val="18"/>
          <w:color w:val="auto"/>
        </w:rPr>
        <w:t>In February 2014, we also granted Ms. Yen 50,000 performance-based restricted stock units. The treatment of this award upon a change in control, including the definitions for the purposes of the performance-based restricted stock unit award agreement, is the same as described above with respect to Mr. Amster’s performance-based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11" w:right="239" w:bottom="1440" w:gutter="0" w:footer="0" w:header="0"/>
        </w:sectPr>
      </w:pPr>
    </w:p>
    <w:bookmarkStart w:id="53" w:name="page54"/>
    <w:bookmarkEnd w:id="53"/>
    <w:p>
      <w:pPr>
        <w:jc w:val="both"/>
        <w:ind w:firstLine="648"/>
        <w:spacing w:after="0" w:line="311" w:lineRule="auto"/>
        <w:rPr>
          <w:sz w:val="20"/>
          <w:szCs w:val="20"/>
          <w:color w:val="auto"/>
        </w:rPr>
      </w:pPr>
      <w:r>
        <w:rPr>
          <w:rFonts w:ascii="Arial" w:cs="Arial" w:eastAsia="Arial" w:hAnsi="Arial"/>
          <w:sz w:val="18"/>
          <w:szCs w:val="18"/>
          <w:color w:val="auto"/>
        </w:rPr>
        <w:t>The following table describes the potential benefits to which Messrs. Amster and Segal and Ms. Yen would have been entitled under the arrangements described above, assuming that each such officer’s employment terminated as of December 31, 2014. Messrs. Roberts and Swank were not entitled to any benefits upon a termination of employment on December 31, 2014.</w:t>
      </w:r>
    </w:p>
    <w:p>
      <w:pPr>
        <w:spacing w:after="0" w:line="295"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24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Involuntary Termination</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Following a Change in Control</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120" w:type="dxa"/>
            <w:vAlign w:val="bottom"/>
            <w:shd w:val="clear" w:color="auto" w:fill="CCEEFF"/>
          </w:tcPr>
          <w:p>
            <w:pPr>
              <w:spacing w:after="0"/>
              <w:rPr>
                <w:sz w:val="21"/>
                <w:szCs w:val="21"/>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Acceleration(1)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440,237</w:t>
            </w:r>
          </w:p>
        </w:tc>
        <w:tc>
          <w:tcPr>
            <w:tcW w:w="0" w:type="dxa"/>
            <w:vAlign w:val="bottom"/>
          </w:tcPr>
          <w:p>
            <w:pPr>
              <w:spacing w:after="0"/>
              <w:rPr>
                <w:sz w:val="1"/>
                <w:szCs w:val="1"/>
                <w:color w:val="auto"/>
              </w:rPr>
            </w:pPr>
          </w:p>
        </w:tc>
      </w:tr>
      <w:tr>
        <w:trPr>
          <w:trHeight w:val="302"/>
        </w:trPr>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 Acceleration(2)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2,163,894</w:t>
            </w:r>
          </w:p>
        </w:tc>
        <w:tc>
          <w:tcPr>
            <w:tcW w:w="0" w:type="dxa"/>
            <w:vAlign w:val="bottom"/>
          </w:tcPr>
          <w:p>
            <w:pPr>
              <w:spacing w:after="0"/>
              <w:rPr>
                <w:sz w:val="1"/>
                <w:szCs w:val="1"/>
                <w:color w:val="auto"/>
              </w:rPr>
            </w:pPr>
          </w:p>
        </w:tc>
      </w:tr>
      <w:tr>
        <w:trPr>
          <w:trHeight w:val="309"/>
        </w:trPr>
        <w:tc>
          <w:tcPr>
            <w:tcW w:w="2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Value</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2,604,131</w:t>
            </w:r>
          </w:p>
        </w:tc>
        <w:tc>
          <w:tcPr>
            <w:tcW w:w="0" w:type="dxa"/>
            <w:vAlign w:val="bottom"/>
          </w:tcPr>
          <w:p>
            <w:pPr>
              <w:spacing w:after="0"/>
              <w:rPr>
                <w:sz w:val="1"/>
                <w:szCs w:val="1"/>
                <w:color w:val="auto"/>
              </w:rPr>
            </w:pPr>
          </w:p>
        </w:tc>
      </w:tr>
      <w:tr>
        <w:trPr>
          <w:trHeight w:val="170"/>
        </w:trPr>
        <w:tc>
          <w:tcPr>
            <w:tcW w:w="2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Ned D. Segal</w:t>
            </w:r>
          </w:p>
        </w:tc>
        <w:tc>
          <w:tcPr>
            <w:tcW w:w="1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Option Acceleration(1)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Stock Unit Acceleration(2)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1,858,150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Value</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1,873,317</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shd w:val="clear" w:color="auto" w:fill="CCEEFF"/>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Option Acceleration(1)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253,232</w:t>
            </w:r>
          </w:p>
        </w:tc>
        <w:tc>
          <w:tcPr>
            <w:tcW w:w="0" w:type="dxa"/>
            <w:vAlign w:val="bottom"/>
          </w:tcPr>
          <w:p>
            <w:pPr>
              <w:spacing w:after="0"/>
              <w:rPr>
                <w:sz w:val="1"/>
                <w:szCs w:val="1"/>
                <w:color w:val="auto"/>
              </w:rPr>
            </w:pPr>
          </w:p>
        </w:tc>
      </w:tr>
      <w:tr>
        <w:trPr>
          <w:trHeight w:val="302"/>
        </w:trPr>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 Acceleration(2)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764,363</w:t>
            </w:r>
          </w:p>
        </w:tc>
        <w:tc>
          <w:tcPr>
            <w:tcW w:w="0" w:type="dxa"/>
            <w:vAlign w:val="bottom"/>
          </w:tcPr>
          <w:p>
            <w:pPr>
              <w:spacing w:after="0"/>
              <w:rPr>
                <w:sz w:val="1"/>
                <w:szCs w:val="1"/>
                <w:color w:val="auto"/>
              </w:rPr>
            </w:pPr>
          </w:p>
        </w:tc>
      </w:tr>
      <w:tr>
        <w:trPr>
          <w:trHeight w:val="309"/>
        </w:trPr>
        <w:tc>
          <w:tcPr>
            <w:tcW w:w="2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Value</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1,017,595</w:t>
            </w:r>
          </w:p>
        </w:tc>
        <w:tc>
          <w:tcPr>
            <w:tcW w:w="0" w:type="dxa"/>
            <w:vAlign w:val="bottom"/>
          </w:tcPr>
          <w:p>
            <w:pPr>
              <w:spacing w:after="0"/>
              <w:rPr>
                <w:sz w:val="1"/>
                <w:szCs w:val="1"/>
                <w:color w:val="auto"/>
              </w:rPr>
            </w:pPr>
          </w:p>
        </w:tc>
      </w:tr>
      <w:tr>
        <w:trPr>
          <w:trHeight w:val="197"/>
        </w:trPr>
        <w:tc>
          <w:tcPr>
            <w:tcW w:w="2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jc w:val="both"/>
        <w:ind w:left="660" w:hanging="328"/>
        <w:spacing w:after="0" w:line="31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value of option acceleration shown in the table above assumes that the termination of the named executive officer’s employment occurred on December 31, 2014, and was calculated by multiplying the number of unvested option shares accelerated by the difference between $13.78, the closing price of our common stock on the last trading day of the year, and the exercise price of the option.</w:t>
      </w:r>
    </w:p>
    <w:p>
      <w:pPr>
        <w:jc w:val="both"/>
        <w:ind w:left="660" w:hanging="328"/>
        <w:spacing w:after="0" w:line="30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2014, and was calculated by multiplying the number of unvested shares accelerated by $13.78, the closing price of our common stock on the last trading day of the year. No value is assigned to the waiver of the performance conditions applicable to performance-contingent restricted stock units in connection with a change in control.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1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RESOLUTION REGARDING EXECUTIVE COMPENSATION</w:t>
      </w:r>
    </w:p>
    <w:p>
      <w:pPr>
        <w:spacing w:after="0" w:line="184"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In accordance with SEC rules, stockholders are being asked to vote to approve, on an advisory and non-binding basis, the compensation of our named executive officers as disclosed in this proxy statement. This is commonly referred to as a “Say-On-Pay” proposal.</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and the philosophy, policies and practices described in this proxy statement. Stockholders may express their views on the design and effectiveness of our executive compensation programs by voting on this proposal. As described in detail in our Compensation Discussion and Analysis, our executive compensation programs are designed to attract, incentivize and retain talented and experienced executives, to reward them for achievement of goals and align their interests with those of our stockholders. Please read the “Compensation Discussion and Analysis,” the accompanying compensation tables and narrative discussion for additional details about our executive compensation programs, including information about the fiscal year 2014 compensation of our named executive officers.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Accordingly, in accordance with Section 14A of the Exchange Act, we are asking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following resolution:</w:t>
      </w:r>
    </w:p>
    <w:p>
      <w:pPr>
        <w:spacing w:after="0" w:line="135" w:lineRule="exact"/>
        <w:rPr>
          <w:sz w:val="20"/>
          <w:szCs w:val="20"/>
          <w:color w:val="auto"/>
        </w:rPr>
      </w:pPr>
    </w:p>
    <w:p>
      <w:pPr>
        <w:ind w:left="420"/>
        <w:spacing w:after="0" w:line="324"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12"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advisory non-binding resolution regarding the compensation of our named executive officers, or you may “</w:t>
      </w:r>
      <w:r>
        <w:rPr>
          <w:rFonts w:ascii="Arial" w:cs="Arial" w:eastAsia="Arial" w:hAnsi="Arial"/>
          <w:sz w:val="18"/>
          <w:szCs w:val="18"/>
          <w:b w:val="1"/>
          <w:bCs w:val="1"/>
          <w:color w:val="auto"/>
        </w:rPr>
        <w:t>ABSTAIN</w:t>
      </w:r>
      <w:r>
        <w:rPr>
          <w:rFonts w:ascii="Arial" w:cs="Arial" w:eastAsia="Arial" w:hAnsi="Arial"/>
          <w:sz w:val="18"/>
          <w:szCs w:val="18"/>
          <w:color w:val="auto"/>
        </w:rPr>
        <w:t>” from voting on this matter. In order for Proposal 3 to be approved, a majority of all those outstanding shares that are represented in person or by proxy and that are entitled to vote on Proposal 3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Proposal 3. Abstentions and broker non-votes will be counted towards a quorum.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either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Proposal 3 is a non-routine matter, broker non-votes are expected to exist in connection with this matter.</w:t>
      </w:r>
    </w:p>
    <w:p>
      <w:pPr>
        <w:spacing w:after="0" w:line="138"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As an advisory vote, the result will not be binding on our board of directors or compensation committee. Our board of directors and our compensation committee value the opinions of our stockholders and expect to take into account the outcome of the vote when considering future executive compensation decisions to the extent they can determine the cause or causes of any significant negative voting results. We hold such advisory votes on the compensation of our named executive officers every three years and will hold another advisory vote at our 2018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69"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7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16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Accompanying this proxy statement and posted on our website with this proxy statement, is our Annual Report on Form 10-K for the fiscal year ended December 31, 2014. Copies of our Annual Report on Form 10-K for the fiscal year ended December 31, 2014, as filed with the SEC, are available free of charge on the investor relations portion of our website at http://ir.rpxcorp.com/annuals-proxies.cfm.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3"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2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Investor Relations</w:t>
      </w:r>
    </w:p>
    <w:p>
      <w:pPr>
        <w:spacing w:after="0" w:line="5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RPX Corporation</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One Market Plaza, Suite 800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San Francisco, CA 94105</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(415) 418-2563</w:t>
      </w:r>
    </w:p>
    <w:p>
      <w:pPr>
        <w:spacing w:after="0" w:line="266"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form of proxy and this proxy statement have been approved by the board of directors and are being mailed or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RPX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28, 2015</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23" w:right="2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51145" cy="7058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05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019"/>
          </w:cols>
          <w:pgMar w:left="14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51145" cy="6929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2"/>
    </w:lvl>
  </w:abstractNum>
  <w:abstractNum w:abstractNumId="10">
    <w:nsid w:val="7C3DBD3D"/>
    <w:multiLevelType w:val="hybridMultilevel"/>
    <w:lvl w:ilvl="0">
      <w:lvlJc w:val="left"/>
      <w:lvlText w:val="(%1)"/>
      <w:numFmt w:val="decimal"/>
      <w:start w:val="3"/>
    </w:lvl>
  </w:abstractNum>
  <w:abstractNum w:abstractNumId="11">
    <w:nsid w:val="737B8DDC"/>
    <w:multiLevelType w:val="hybridMultilevel"/>
    <w:lvl w:ilvl="0">
      <w:lvlJc w:val="left"/>
      <w:lvlText w:val="(%1)"/>
      <w:numFmt w:val="decimal"/>
      <w:start w:val="4"/>
    </w:lvl>
  </w:abstractNum>
  <w:abstractNum w:abstractNumId="12">
    <w:nsid w:val="6CEAF087"/>
    <w:multiLevelType w:val="hybridMultilevel"/>
    <w:lvl w:ilvl="0">
      <w:lvlJc w:val="left"/>
      <w:lvlText w:val="%1."/>
      <w:numFmt w:val="decimal"/>
      <w:start w:val="1"/>
    </w:lvl>
    <w:lvl w:ilvl="1">
      <w:lvlJc w:val="left"/>
      <w:lvlText w:val="%2."/>
      <w:numFmt w:val="decimal"/>
      <w:start w:val="4"/>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2"/>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0"/>
    </w:lvl>
  </w:abstractNum>
  <w:abstractNum w:abstractNumId="32">
    <w:nsid w:val="70A64E2A"/>
    <w:multiLevelType w:val="hybridMultilevel"/>
    <w:lvl w:ilvl="0">
      <w:lvlJc w:val="left"/>
      <w:lvlText w:val="(%1)"/>
      <w:numFmt w:val="decimal"/>
      <w:start w:val="12"/>
    </w:lvl>
  </w:abstractNum>
  <w:abstractNum w:abstractNumId="33">
    <w:nsid w:val="6A2342EC"/>
    <w:multiLevelType w:val="hybridMultilevel"/>
    <w:lvl w:ilvl="0">
      <w:lvlJc w:val="left"/>
      <w:lvlText w:val="(%1)"/>
      <w:numFmt w:val="decimal"/>
      <w:start w:val="18"/>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4"/>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3"/>
    </w:lvl>
  </w:abstractNum>
  <w:abstractNum w:abstractNumId="46">
    <w:nsid w:val="684A481A"/>
    <w:multiLevelType w:val="hybridMultilevel"/>
    <w:lvl w:ilvl="0">
      <w:lvlJc w:val="left"/>
      <w:lvlText w:val="(%1)"/>
      <w:numFmt w:val="decimal"/>
      <w:start w:val="8"/>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1"/>
    </w:lvl>
    <w:lvl w:ilvl="1">
      <w:lvlJc w:val="left"/>
      <w:lvlText w:val="(%2)"/>
      <w:numFmt w:val="lowerRoman"/>
      <w:start w:val="1"/>
    </w:lvl>
  </w:abstractNum>
  <w:abstractNum w:abstractNumId="49">
    <w:nsid w:val="3DC240FB"/>
    <w:multiLevelType w:val="hybridMultilevel"/>
    <w:lvl w:ilvl="0">
      <w:lvlJc w:val="left"/>
      <w:lvlText w:val="(%1)"/>
      <w:numFmt w:val="lowerRoman"/>
      <w:start w:val="3"/>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2019-12-09T00:25:59Z</dcterms:created>
  <dcterms:modified xsi:type="dcterms:W3CDTF">2019-12-09T00:25:59Z</dcterms:modified>
</cp:coreProperties>
</file>