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9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7"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39" w:lineRule="exact"/>
        <w:rPr>
          <w:sz w:val="24"/>
          <w:szCs w:val="24"/>
          <w:color w:val="auto"/>
        </w:rPr>
      </w:pPr>
    </w:p>
    <w:tbl>
      <w:tblPr>
        <w:tblLayout w:type="fixed"/>
        <w:tblInd w:w="19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5240" w:type="dxa"/>
            <w:vAlign w:val="bottom"/>
          </w:tcPr>
          <w:p>
            <w:pPr>
              <w:jc w:val="center"/>
              <w:ind w:right="1521"/>
              <w:spacing w:after="0"/>
              <w:rPr>
                <w:sz w:val="20"/>
                <w:szCs w:val="20"/>
                <w:color w:val="auto"/>
              </w:rPr>
            </w:pPr>
            <w:r>
              <w:rPr>
                <w:rFonts w:ascii="Arial" w:cs="Arial" w:eastAsia="Arial" w:hAnsi="Arial"/>
                <w:sz w:val="20"/>
                <w:szCs w:val="20"/>
                <w:b w:val="1"/>
                <w:bCs w:val="1"/>
                <w:color w:val="auto"/>
                <w:w w:val="89"/>
              </w:rPr>
              <w:t>Commission File Number: 001-35146</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562"/>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43"/>
                <w:szCs w:val="43"/>
                <w:b w:val="1"/>
                <w:bCs w:val="1"/>
                <w:color w:val="auto"/>
                <w:w w:val="95"/>
              </w:rPr>
              <w:t>RPX Corporation</w:t>
            </w:r>
          </w:p>
        </w:tc>
      </w:tr>
      <w:tr>
        <w:trPr>
          <w:trHeight w:val="171"/>
        </w:trPr>
        <w:tc>
          <w:tcPr>
            <w:tcW w:w="2000" w:type="dxa"/>
            <w:vAlign w:val="bottom"/>
          </w:tcPr>
          <w:p>
            <w:pPr>
              <w:spacing w:after="0"/>
              <w:rPr>
                <w:sz w:val="14"/>
                <w:szCs w:val="14"/>
                <w:color w:val="auto"/>
              </w:rPr>
            </w:pPr>
          </w:p>
        </w:tc>
        <w:tc>
          <w:tcPr>
            <w:tcW w:w="5240" w:type="dxa"/>
            <w:vAlign w:val="bottom"/>
          </w:tcPr>
          <w:p>
            <w:pPr>
              <w:jc w:val="center"/>
              <w:ind w:right="1501"/>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345"/>
        </w:trPr>
        <w:tc>
          <w:tcPr>
            <w:tcW w:w="200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tcPr>
          <w:p>
            <w:pPr>
              <w:jc w:val="center"/>
              <w:ind w:left="4001"/>
              <w:spacing w:after="0"/>
              <w:rPr>
                <w:sz w:val="20"/>
                <w:szCs w:val="20"/>
                <w:color w:val="auto"/>
              </w:rPr>
            </w:pPr>
            <w:r>
              <w:rPr>
                <w:rFonts w:ascii="Arial" w:cs="Arial" w:eastAsia="Arial" w:hAnsi="Arial"/>
                <w:sz w:val="18"/>
                <w:szCs w:val="18"/>
                <w:b w:val="1"/>
                <w:bCs w:val="1"/>
                <w:color w:val="auto"/>
                <w:w w:val="89"/>
              </w:rPr>
              <w:t>26-2990113</w:t>
            </w:r>
          </w:p>
        </w:tc>
      </w:tr>
      <w:tr>
        <w:trPr>
          <w:trHeight w:val="149"/>
        </w:trPr>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40" w:type="dxa"/>
            <w:vAlign w:val="bottom"/>
          </w:tcPr>
          <w:p>
            <w:pPr>
              <w:jc w:val="center"/>
              <w:ind w:left="40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240" w:type="dxa"/>
            <w:vAlign w:val="bottom"/>
          </w:tcPr>
          <w:p>
            <w:pPr>
              <w:jc w:val="center"/>
              <w:ind w:left="400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000" w:type="dxa"/>
            <w:vAlign w:val="bottom"/>
          </w:tcPr>
          <w:p>
            <w:pPr>
              <w:spacing w:after="0"/>
              <w:rPr>
                <w:sz w:val="24"/>
                <w:szCs w:val="24"/>
                <w:color w:val="auto"/>
              </w:rPr>
            </w:pPr>
          </w:p>
        </w:tc>
        <w:tc>
          <w:tcPr>
            <w:tcW w:w="5240" w:type="dxa"/>
            <w:vAlign w:val="bottom"/>
          </w:tcPr>
          <w:p>
            <w:pPr>
              <w:jc w:val="center"/>
              <w:ind w:right="1501"/>
              <w:spacing w:after="0"/>
              <w:rPr>
                <w:sz w:val="20"/>
                <w:szCs w:val="20"/>
                <w:color w:val="auto"/>
              </w:rPr>
            </w:pPr>
            <w:r>
              <w:rPr>
                <w:rFonts w:ascii="Arial" w:cs="Arial" w:eastAsia="Arial" w:hAnsi="Arial"/>
                <w:sz w:val="18"/>
                <w:szCs w:val="18"/>
                <w:b w:val="1"/>
                <w:bCs w:val="1"/>
                <w:color w:val="auto"/>
                <w:w w:val="99"/>
              </w:rPr>
              <w:t>ONE MARKET PLAZA, SUITE 800</w:t>
            </w:r>
          </w:p>
        </w:tc>
      </w:tr>
      <w:tr>
        <w:trPr>
          <w:trHeight w:val="212"/>
        </w:trPr>
        <w:tc>
          <w:tcPr>
            <w:tcW w:w="2000" w:type="dxa"/>
            <w:vAlign w:val="bottom"/>
          </w:tcPr>
          <w:p>
            <w:pPr>
              <w:spacing w:after="0"/>
              <w:rPr>
                <w:sz w:val="18"/>
                <w:szCs w:val="18"/>
                <w:color w:val="auto"/>
              </w:rPr>
            </w:pPr>
          </w:p>
        </w:tc>
        <w:tc>
          <w:tcPr>
            <w:tcW w:w="5240" w:type="dxa"/>
            <w:vAlign w:val="bottom"/>
          </w:tcPr>
          <w:p>
            <w:pPr>
              <w:jc w:val="center"/>
              <w:ind w:right="1521"/>
              <w:spacing w:after="0"/>
              <w:rPr>
                <w:sz w:val="20"/>
                <w:szCs w:val="20"/>
                <w:color w:val="auto"/>
              </w:rPr>
            </w:pPr>
            <w:r>
              <w:rPr>
                <w:rFonts w:ascii="Arial" w:cs="Arial" w:eastAsia="Arial" w:hAnsi="Arial"/>
                <w:sz w:val="18"/>
                <w:szCs w:val="18"/>
                <w:b w:val="1"/>
                <w:bCs w:val="1"/>
                <w:color w:val="auto"/>
                <w:w w:val="98"/>
              </w:rPr>
              <w:t>SAN FRANCISCO, CALIFORNIA 94105</w:t>
            </w:r>
          </w:p>
        </w:tc>
      </w:tr>
      <w:tr>
        <w:trPr>
          <w:trHeight w:val="186"/>
        </w:trPr>
        <w:tc>
          <w:tcPr>
            <w:tcW w:w="2000" w:type="dxa"/>
            <w:vAlign w:val="bottom"/>
          </w:tcPr>
          <w:p>
            <w:pPr>
              <w:spacing w:after="0"/>
              <w:rPr>
                <w:sz w:val="16"/>
                <w:szCs w:val="16"/>
                <w:color w:val="auto"/>
              </w:rPr>
            </w:pPr>
          </w:p>
        </w:tc>
        <w:tc>
          <w:tcPr>
            <w:tcW w:w="5240" w:type="dxa"/>
            <w:vAlign w:val="bottom"/>
          </w:tcPr>
          <w:p>
            <w:pPr>
              <w:jc w:val="center"/>
              <w:ind w:right="1521"/>
              <w:spacing w:after="0"/>
              <w:rPr>
                <w:sz w:val="20"/>
                <w:szCs w:val="20"/>
                <w:color w:val="auto"/>
              </w:rPr>
            </w:pPr>
            <w:r>
              <w:rPr>
                <w:rFonts w:ascii="Arial" w:cs="Arial" w:eastAsia="Arial" w:hAnsi="Arial"/>
                <w:sz w:val="14"/>
                <w:szCs w:val="14"/>
                <w:b w:val="1"/>
                <w:bCs w:val="1"/>
                <w:color w:val="auto"/>
                <w:w w:val="93"/>
              </w:rPr>
              <w:t>(Address of Principal Executive Offices and Zip Code)</w:t>
            </w: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304"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98" w:lineRule="exact"/>
        <w:rPr>
          <w:sz w:val="24"/>
          <w:szCs w:val="24"/>
          <w:color w:val="auto"/>
        </w:rPr>
      </w:pPr>
    </w:p>
    <w:p>
      <w:pPr>
        <w:sectPr>
          <w:pgSz w:w="11900" w:h="16838" w:orient="portrait"/>
          <w:cols w:equalWidth="0" w:num="4">
            <w:col w:w="2180" w:space="720"/>
            <w:col w:w="5000" w:space="720"/>
            <w:col w:w="1760" w:space="720"/>
            <w:col w:w="280"/>
          </w:cols>
          <w:pgMar w:left="240" w:top="233" w:right="279" w:bottom="144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24" w:lineRule="exact"/>
        <w:rPr>
          <w:sz w:val="24"/>
          <w:szCs w:val="24"/>
          <w:color w:val="auto"/>
        </w:rPr>
      </w:pPr>
    </w:p>
    <w:p>
      <w:pPr>
        <w:sectPr>
          <w:pgSz w:w="11900" w:h="16838" w:orient="portrait"/>
          <w:cols w:equalWidth="0" w:num="5">
            <w:col w:w="2200" w:space="720"/>
            <w:col w:w="160" w:space="40"/>
            <w:col w:w="4780" w:space="720"/>
            <w:col w:w="1760" w:space="720"/>
            <w:col w:w="280"/>
          </w:cols>
          <w:pgMar w:left="240" w:top="233"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sectPr>
          <w:pgSz w:w="11900" w:h="16838" w:orient="portrait"/>
          <w:cols w:equalWidth="0" w:num="4">
            <w:col w:w="7380" w:space="140"/>
            <w:col w:w="320" w:space="80"/>
            <w:col w:w="140" w:space="160"/>
            <w:col w:w="3160"/>
          </w:cols>
          <w:pgMar w:left="240" w:top="233" w:right="279" w:bottom="1440" w:gutter="0" w:footer="0" w:header="0"/>
          <w:type w:val="continuous"/>
        </w:sectPr>
      </w:pPr>
    </w:p>
    <w:p>
      <w:pPr>
        <w:spacing w:after="0"/>
        <w:rPr>
          <w:sz w:val="20"/>
          <w:szCs w:val="20"/>
          <w:color w:val="auto"/>
        </w:rPr>
      </w:pPr>
      <w:r>
        <w:rPr>
          <w:rFonts w:ascii="Arial" w:cs="Arial" w:eastAsia="Arial" w:hAnsi="Arial"/>
          <w:sz w:val="14"/>
          <w:szCs w:val="14"/>
          <w:color w:val="auto"/>
        </w:rPr>
        <w:t>There were 52,474,936 shares of the registrant’s common stock issued and outstanding as of October 31, 2013.</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r>
      <w:tr>
        <w:trPr>
          <w:trHeight w:val="196"/>
        </w:trPr>
        <w:tc>
          <w:tcPr>
            <w:tcW w:w="600" w:type="dxa"/>
            <w:vAlign w:val="bottom"/>
            <w:gridSpan w:val="2"/>
          </w:tcPr>
          <w:p>
            <w:pPr>
              <w:spacing w:after="0" w:line="170"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PART I</w:t>
              </w:r>
            </w:hyperlink>
          </w:p>
        </w:tc>
        <w:tc>
          <w:tcPr>
            <w:tcW w:w="320" w:type="dxa"/>
            <w:vAlign w:val="bottom"/>
          </w:tcPr>
          <w:p>
            <w:pPr>
              <w:spacing w:after="0"/>
              <w:rPr>
                <w:sz w:val="17"/>
                <w:szCs w:val="17"/>
                <w:color w:val="auto"/>
              </w:rPr>
            </w:pPr>
          </w:p>
        </w:tc>
        <w:tc>
          <w:tcPr>
            <w:tcW w:w="9580" w:type="dxa"/>
            <w:vAlign w:val="bottom"/>
            <w:gridSpan w:val="18"/>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81"/>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320" w:type="dxa"/>
            <w:vAlign w:val="bottom"/>
          </w:tcPr>
          <w:p>
            <w:pPr>
              <w:spacing w:after="0"/>
              <w:rPr>
                <w:sz w:val="24"/>
                <w:szCs w:val="24"/>
                <w:color w:val="auto"/>
              </w:rPr>
            </w:pPr>
          </w:p>
        </w:tc>
        <w:tc>
          <w:tcPr>
            <w:tcW w:w="15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740" w:type="dxa"/>
            <w:vAlign w:val="bottom"/>
            <w:tcBorders>
              <w:top w:val="single" w:sz="8" w:color="0000FF"/>
            </w:tcBorders>
            <w:gridSpan w:val="3"/>
          </w:tcPr>
          <w:p>
            <w:pPr>
              <w:spacing w:after="0"/>
              <w:rPr>
                <w:sz w:val="24"/>
                <w:szCs w:val="24"/>
                <w:color w:val="auto"/>
              </w:rPr>
            </w:pPr>
          </w:p>
        </w:tc>
        <w:tc>
          <w:tcPr>
            <w:tcW w:w="734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2013 and December 31, 2012 (unaudited)</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2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and Nine Months Ended September 30, 2013 and 2012 (unaudited)</w:t>
              </w:r>
            </w:hyperlink>
          </w:p>
        </w:tc>
        <w:tc>
          <w:tcPr>
            <w:tcW w:w="6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for the Three and Nine Months Ended September 30, 2013 and</w:t>
              </w:r>
            </w:hyperlink>
          </w:p>
        </w:tc>
        <w:tc>
          <w:tcPr>
            <w:tcW w:w="4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gridSpan w:val="18"/>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2012 (unaudited)</w:t>
              </w:r>
            </w:hyperlink>
          </w:p>
        </w:tc>
        <w:tc>
          <w:tcPr>
            <w:tcW w:w="78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for the Nine Months Ended September 30, 2013 and 2012 (unaudited)</w:t>
              </w:r>
            </w:hyperlink>
          </w:p>
        </w:tc>
        <w:tc>
          <w:tcPr>
            <w:tcW w:w="780" w:type="dxa"/>
            <w:vAlign w:val="bottom"/>
            <w:gridSpan w:val="3"/>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8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 (unaudited)</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3"/>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3120" w:type="dxa"/>
            <w:vAlign w:val="bottom"/>
            <w:gridSpan w:val="5"/>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15</w:t>
              </w:r>
            </w:hyperlink>
          </w:p>
        </w:tc>
        <w:tc>
          <w:tcPr>
            <w:tcW w:w="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Quantitative and Qualitative Disclosures About Market Risk</w:t>
              </w:r>
            </w:hyperlink>
          </w:p>
        </w:tc>
        <w:tc>
          <w:tcPr>
            <w:tcW w:w="2120" w:type="dxa"/>
            <w:vAlign w:val="bottom"/>
            <w:gridSpan w:val="2"/>
          </w:tcPr>
          <w:p>
            <w:pPr>
              <w:spacing w:after="0"/>
              <w:rPr>
                <w:sz w:val="21"/>
                <w:szCs w:val="21"/>
                <w:color w:val="auto"/>
              </w:rPr>
            </w:pPr>
          </w:p>
        </w:tc>
        <w:tc>
          <w:tcPr>
            <w:tcW w:w="3120" w:type="dxa"/>
            <w:vAlign w:val="bottom"/>
            <w:gridSpan w:val="5"/>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21"/>
                <w:szCs w:val="2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40" w:type="dxa"/>
            <w:vAlign w:val="bottom"/>
            <w:tcBorders>
              <w:left w:val="single" w:sz="8" w:color="0000FF"/>
            </w:tcBorders>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5240" w:type="dxa"/>
            <w:vAlign w:val="bottom"/>
            <w:gridSpan w:val="7"/>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c>
          <w:tcPr>
            <w:tcW w:w="20" w:type="dxa"/>
            <w:vAlign w:val="bottom"/>
          </w:tcPr>
          <w:p>
            <w:pPr>
              <w:spacing w:after="0"/>
              <w:rPr>
                <w:sz w:val="21"/>
                <w:szCs w:val="2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24">
              <w:r>
                <w:rPr>
                  <w:rFonts w:ascii="Arial" w:cs="Arial" w:eastAsia="Arial" w:hAnsi="Arial"/>
                  <w:sz w:val="18"/>
                  <w:szCs w:val="18"/>
                  <w:color w:val="0000FF"/>
                  <w:w w:val="95"/>
                </w:rPr>
                <w:t>OTHER INFORMATION</w:t>
              </w:r>
            </w:hyperlink>
          </w:p>
        </w:tc>
        <w:tc>
          <w:tcPr>
            <w:tcW w:w="770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76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Risk Factors</w:t>
              </w:r>
            </w:hyperlink>
          </w:p>
        </w:tc>
        <w:tc>
          <w:tcPr>
            <w:tcW w:w="400" w:type="dxa"/>
            <w:vAlign w:val="bottom"/>
            <w:gridSpan w:val="2"/>
          </w:tcPr>
          <w:p>
            <w:pPr>
              <w:spacing w:after="0"/>
              <w:rPr>
                <w:sz w:val="21"/>
                <w:szCs w:val="21"/>
                <w:color w:val="auto"/>
              </w:rPr>
            </w:pPr>
          </w:p>
        </w:tc>
        <w:tc>
          <w:tcPr>
            <w:tcW w:w="8280" w:type="dxa"/>
            <w:vAlign w:val="bottom"/>
            <w:gridSpan w:val="13"/>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c>
          <w:tcPr>
            <w:tcW w:w="20" w:type="dxa"/>
            <w:vAlign w:val="bottom"/>
          </w:tcPr>
          <w:p>
            <w:pPr>
              <w:spacing w:after="0"/>
              <w:rPr>
                <w:sz w:val="21"/>
                <w:szCs w:val="2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Unregistered Sales of Equity Securities and Use of Proceeds</w:t>
              </w:r>
            </w:hyperlink>
          </w:p>
        </w:tc>
        <w:tc>
          <w:tcPr>
            <w:tcW w:w="7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10"/>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Defaults Upon Senior Securities</w:t>
              </w:r>
            </w:hyperlink>
          </w:p>
        </w:tc>
        <w:tc>
          <w:tcPr>
            <w:tcW w:w="2020" w:type="dxa"/>
            <w:vAlign w:val="bottom"/>
          </w:tcPr>
          <w:p>
            <w:pPr>
              <w:spacing w:after="0"/>
              <w:rPr>
                <w:sz w:val="21"/>
                <w:szCs w:val="21"/>
                <w:color w:val="auto"/>
              </w:rPr>
            </w:pPr>
          </w:p>
        </w:tc>
        <w:tc>
          <w:tcPr>
            <w:tcW w:w="5240" w:type="dxa"/>
            <w:vAlign w:val="bottom"/>
            <w:gridSpan w:val="7"/>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Mine Safety Disclosures</w:t>
              </w:r>
            </w:hyperlink>
          </w:p>
        </w:tc>
        <w:tc>
          <w:tcPr>
            <w:tcW w:w="7260" w:type="dxa"/>
            <w:vAlign w:val="bottom"/>
            <w:gridSpan w:val="8"/>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7820" w:type="dxa"/>
            <w:vAlign w:val="bottom"/>
            <w:gridSpan w:val="11"/>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2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Exhibits</w:t>
              </w:r>
            </w:hyperlink>
          </w:p>
        </w:tc>
        <w:tc>
          <w:tcPr>
            <w:tcW w:w="700" w:type="dxa"/>
            <w:vAlign w:val="bottom"/>
            <w:gridSpan w:val="4"/>
          </w:tcPr>
          <w:p>
            <w:pPr>
              <w:spacing w:after="0"/>
              <w:rPr>
                <w:sz w:val="21"/>
                <w:szCs w:val="21"/>
                <w:color w:val="auto"/>
              </w:rPr>
            </w:pPr>
          </w:p>
        </w:tc>
        <w:tc>
          <w:tcPr>
            <w:tcW w:w="8280" w:type="dxa"/>
            <w:vAlign w:val="bottom"/>
            <w:gridSpan w:val="13"/>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Signatures</w:t>
              </w:r>
            </w:hyperlink>
          </w:p>
        </w:tc>
        <w:tc>
          <w:tcPr>
            <w:tcW w:w="8820" w:type="dxa"/>
            <w:vAlign w:val="bottom"/>
            <w:gridSpan w:val="16"/>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20"/>
          </w:cols>
          <w:pgMar w:left="240" w:top="1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45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rPr>
              <w:t>PART I. FINANCIAL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1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5"/>
              </w:rPr>
              <w:t>RPX Corporation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5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5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88"/>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5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1"/>
              </w:rPr>
              <w:t>(unaudited)</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73,638</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144,993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126,092</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25,144</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33,775</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5,237</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4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7,658</w:t>
            </w:r>
          </w:p>
        </w:tc>
      </w:tr>
      <w:tr>
        <w:trPr>
          <w:trHeight w:val="23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current assets</w:t>
            </w:r>
          </w:p>
        </w:tc>
        <w:tc>
          <w:tcPr>
            <w:tcW w:w="4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316,413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271,544</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199,314</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3,144</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w:t>
            </w: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16,460</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552,637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493,967</w:t>
            </w:r>
          </w:p>
        </w:tc>
      </w:tr>
      <w:tr>
        <w:trPr>
          <w:trHeight w:val="20"/>
        </w:trPr>
        <w:tc>
          <w:tcPr>
            <w:tcW w:w="1280" w:type="dxa"/>
            <w:vAlign w:val="bottom"/>
            <w:tcBorders>
              <w:top w:val="single" w:sz="8" w:color="CCEEFF"/>
            </w:tcBorders>
            <w:gridSpan w:val="2"/>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7,206</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101,249</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Deferred payment obligations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r>
      <w:tr>
        <w:trPr>
          <w:trHeight w:val="23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current liabilities</w:t>
            </w:r>
          </w:p>
        </w:tc>
        <w:tc>
          <w:tcPr>
            <w:tcW w:w="4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116,384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111,336</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Deferred tax liabilities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18,108</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r>
      <w:tr>
        <w:trPr>
          <w:trHeight w:val="23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liabilities</w:t>
            </w:r>
          </w:p>
        </w:tc>
        <w:tc>
          <w:tcPr>
            <w:tcW w:w="4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140,046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133,708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299,995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281,530</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78,744</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w w:val="96"/>
              </w:rPr>
              <w:t>Accumulated other comprehensive income (loss)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4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412,591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360,259</w:t>
            </w:r>
          </w:p>
        </w:tc>
      </w:tr>
      <w:tr>
        <w:trPr>
          <w:trHeight w:val="25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4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552,637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493,967</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146,131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60,508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8,395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7,556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28,399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6"/>
              </w:rPr>
              <w:t>Net income available to common stockholders per common share: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Weighted-average shares used in computing net income available to</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stockholders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52,267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50,457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51,751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49,410</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54,055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8,397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Unrealized holding gains arising during the period</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Less: reclassification adjustment for (gains) losses included in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9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5160" w:type="dxa"/>
            <w:vAlign w:val="bottom"/>
          </w:tcPr>
          <w:p>
            <w:pPr>
              <w:ind w:left="180"/>
              <w:spacing w:after="0"/>
              <w:rPr>
                <w:sz w:val="20"/>
                <w:szCs w:val="20"/>
                <w:color w:val="auto"/>
              </w:rPr>
            </w:pPr>
            <w:r>
              <w:rPr>
                <w:rFonts w:ascii="Arial" w:cs="Arial" w:eastAsia="Arial" w:hAnsi="Arial"/>
                <w:sz w:val="18"/>
                <w:szCs w:val="18"/>
                <w:color w:val="auto"/>
                <w:w w:val="92"/>
              </w:rPr>
              <w:t>Net unrealized gains (losses) on available-for-sale securities, net of</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tax</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8,417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28,881</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235"/>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33,789</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28,859</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76,767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61,208</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7,493</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(5,796)</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Imputed interest on deferred payment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(Gain) loss on sale of patent assets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3,773</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Deferred taxes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(1,534)</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3,163</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Other receivables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33,775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5,874</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Deposit</w:t>
            </w: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(2,856)</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(9,642)</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156,526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80,665</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investments classified as available-for-sale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(134,155)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(150,227)</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 classified as available-for-sale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115,122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153,920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Sales of investments classified as available-for-sale</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1,099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(45,765)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(Increase) decrease in restricted cash</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647</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property and equipment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(1,626)</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Acquisitions of patent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(65,056)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sale of patent assets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200</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(107,959)</w:t>
            </w:r>
          </w:p>
        </w:tc>
      </w:tr>
      <w:tr>
        <w:trPr>
          <w:trHeight w:val="233"/>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Repayments of principal on deferred payment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other obligations</w:t>
            </w:r>
          </w:p>
        </w:tc>
        <w:tc>
          <w:tcPr>
            <w:tcW w:w="2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500</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exercise of stock options and other common stock issuances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2,839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2,752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5,796</w:t>
            </w:r>
          </w:p>
        </w:tc>
      </w:tr>
      <w:tr>
        <w:trPr>
          <w:trHeight w:val="31"/>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3,985</w:t>
            </w: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58,976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(23,309)</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73,638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106,749</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132,614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83,440</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Non-cash investing and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 in patent assets purchased and accrued but not paid</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3,400</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250</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fixed assets purchased and accrued but not paid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 in other assets purchased and accrued but not paid</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565</w:t>
            </w:r>
          </w:p>
        </w:tc>
      </w:tr>
      <w:tr>
        <w:trPr>
          <w:trHeight w:val="31"/>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9"/>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 assets received in barter transactions</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54</w:t>
            </w:r>
          </w:p>
        </w:tc>
      </w:tr>
      <w:tr>
        <w:trPr>
          <w:trHeight w:val="31"/>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As of and for the three and nine months ended September 30, 2013, the effect of the insurance policies that have been issued was not material to the Company’s results of operations or financial condition.</w:t>
      </w:r>
    </w:p>
    <w:p>
      <w:pPr>
        <w:spacing w:after="0" w:line="160"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The accompanying condensed consolidated balance sheet as of September 30, 2013, the condensed consolidated statements of operations and the condensed consolidated statements of comprehensive income for the three and nine months ended September 30, 2013 and 2012, and the condensed consolidated statements of cash flows for the nine months ended September 30, 2013 and 2012, are unaudited. The condensed consolidated balance sheet as of December 31, 2012 was derived from the audited consolidated financial statements which are included in the Company’s Form 10-K for the fiscal year ended December 31, 2012, which was filed with the Securities and Exchange Commission (“SEC”) on March 11, 2013. The unaudited condensed consolidated financial statements should be read in conjunction with the audited financial statements and accompanying notes included in the Company’s Annual Report on Form 10-K for the year ended December 31, 2012.</w:t>
      </w:r>
    </w:p>
    <w:p>
      <w:pPr>
        <w:spacing w:after="0" w:line="17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and nine months ended September 30, 2013 are not necessarily indicative of the results that may be expected for any subsequent interim period or for the year ending December 31, 2013.</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 xml:space="preserve">In February 2013, the Financial Accounting Standards Board (“FASB”) issued Accounting Standards Update (“ASU”) 2013-02, </w:t>
      </w:r>
      <w:r>
        <w:rPr>
          <w:rFonts w:ascii="Arial" w:cs="Arial" w:eastAsia="Arial" w:hAnsi="Arial"/>
          <w:sz w:val="16"/>
          <w:szCs w:val="16"/>
          <w:i w:val="1"/>
          <w:iCs w:val="1"/>
          <w:color w:val="auto"/>
        </w:rPr>
        <w:t>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Reclassified Out of Accumulated Other Comprehensive Income </w:t>
      </w:r>
      <w:r>
        <w:rPr>
          <w:rFonts w:ascii="Arial" w:cs="Arial" w:eastAsia="Arial" w:hAnsi="Arial"/>
          <w:sz w:val="16"/>
          <w:szCs w:val="16"/>
          <w:color w:val="auto"/>
        </w:rPr>
        <w:t>(“ASU 2013-02”), which amends</w:t>
      </w:r>
      <w:r>
        <w:rPr>
          <w:rFonts w:ascii="Arial" w:cs="Arial" w:eastAsia="Arial" w:hAnsi="Arial"/>
          <w:sz w:val="16"/>
          <w:szCs w:val="16"/>
          <w:i w:val="1"/>
          <w:iCs w:val="1"/>
          <w:color w:val="auto"/>
        </w:rPr>
        <w:t xml:space="preserve"> Comprehensive Income (Topic 220) </w:t>
      </w:r>
      <w:r>
        <w:rPr>
          <w:rFonts w:ascii="Arial" w:cs="Arial" w:eastAsia="Arial" w:hAnsi="Arial"/>
          <w:sz w:val="16"/>
          <w:szCs w:val="16"/>
          <w:color w:val="auto"/>
        </w:rPr>
        <w:t>in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(“ASC”). These 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the Company’s interim and annual fiscal periods beginning January 1, 2013. The adoption of ASU 2013-02 did not have a material impact on the Company’s consolidated financial statements.</w:t>
      </w:r>
    </w:p>
    <w:p>
      <w:pPr>
        <w:spacing w:after="0" w:line="16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 xml:space="preserve">In October 2012, the FASB issued ASU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are effective for the Company’s interim and annual fiscal periods beginning January 1, 2013. The adoption of ASU 2012-04 did not have a material impact on the Company’s consolidated financial statements.</w:t>
      </w:r>
    </w:p>
    <w:p>
      <w:pPr>
        <w:spacing w:after="0" w:line="18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(“ASU 2012-02”), which amends ASU 2011-08,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8"/>
          <w:szCs w:val="18"/>
          <w:i w:val="1"/>
          <w:iCs w:val="1"/>
          <w:color w:val="auto"/>
        </w:rPr>
        <w:t>Intangibles - Goodwill and Other -</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Intangibles Other than Goodwill</w:t>
      </w:r>
      <w:r>
        <w:rPr>
          <w:rFonts w:ascii="Arial" w:cs="Arial" w:eastAsia="Arial" w:hAnsi="Arial"/>
          <w:sz w:val="18"/>
          <w:szCs w:val="18"/>
          <w:color w:val="auto"/>
        </w:rPr>
        <w:t>. The amendments in ASU 2012-02 are effective for the Company’s interim and annual fiscal periods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January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1, 2013. The adoption of ASU 2012-02 did not have a material impact on the Company’s consolidated financial statements. As of September 30, 2013, the date of the Company’s 2013 annual assessment, the Company’s implied fair value was substantially in excess of its net book value, including goodwill. As such, the Company did not recognize an impairment charge during the three months ended September 30, 2013.</w:t>
      </w:r>
    </w:p>
    <w:p>
      <w:pPr>
        <w:spacing w:after="0" w:line="16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81" w:lineRule="exact"/>
        <w:rPr>
          <w:sz w:val="20"/>
          <w:szCs w:val="20"/>
          <w:color w:val="auto"/>
        </w:rPr>
      </w:pPr>
    </w:p>
    <w:p>
      <w:pPr>
        <w:ind w:right="800" w:firstLine="446"/>
        <w:spacing w:after="0" w:line="308" w:lineRule="auto"/>
        <w:rPr>
          <w:sz w:val="20"/>
          <w:szCs w:val="20"/>
          <w:color w:val="auto"/>
        </w:rPr>
      </w:pPr>
      <w:r>
        <w:rPr>
          <w:rFonts w:ascii="Arial" w:cs="Arial" w:eastAsia="Arial" w:hAnsi="Arial"/>
          <w:sz w:val="17"/>
          <w:szCs w:val="17"/>
          <w:color w:val="auto"/>
        </w:rPr>
        <w:t>Basic and diluted net income per share available to common stockholders are presented in conformity with the two-class method required for participating securities. The holders of restricted common stock are entitled to receive non-forfeitable dividends if declared.</w:t>
      </w:r>
    </w:p>
    <w:p>
      <w:pPr>
        <w:spacing w:after="0" w:line="147"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between common and restricted common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calculation of basic and diluted net income per share available to common stockholders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8,397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33,789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Allocation of net income to participating stockholders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8,395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33,767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8,395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33,767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Undistributed earnings re-allocated to common stockholders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diluted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8,395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33,767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28,399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shares: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Weighted-average shares used in computing basic net income</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52,267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50,457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49,410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 to common stockholders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Diluted shares: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Weighted-average shares used in computing basic net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 to common 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49,410</w:t>
            </w: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7"/>
              </w:rPr>
              <w:t>Dilutive effect of stock options and restricted stock units using</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treasury-stock method</w:t>
            </w:r>
          </w:p>
        </w:tc>
        <w:tc>
          <w:tcPr>
            <w:tcW w:w="2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Weighted-average shares used in computing diluted net income</w:t>
            </w:r>
          </w:p>
        </w:tc>
        <w:tc>
          <w:tcPr>
            <w:tcW w:w="2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54,055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52,127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51,711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 to common stockholders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common share available to common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0.55</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For the three and nine months ended September 30, 2013 and 2012, the following securities were not included in the calculation of diluted shares outstanding, as the effect would have been anti-dilutive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3060" w:type="dxa"/>
            <w:vAlign w:val="bottom"/>
            <w:gridSpan w:val="3"/>
          </w:tcPr>
          <w:p>
            <w:pPr>
              <w:jc w:val="right"/>
              <w:ind w:right="212"/>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00" w:type="dxa"/>
            <w:vAlign w:val="bottom"/>
            <w:gridSpan w:val="2"/>
          </w:tcPr>
          <w:p>
            <w:pPr>
              <w:ind w:left="5740"/>
              <w:spacing w:after="0"/>
              <w:rPr>
                <w:sz w:val="20"/>
                <w:szCs w:val="20"/>
                <w:color w:val="auto"/>
              </w:rPr>
            </w:pPr>
            <w:r>
              <w:rPr>
                <w:rFonts w:ascii="Arial" w:cs="Arial" w:eastAsia="Arial" w:hAnsi="Arial"/>
                <w:sz w:val="16"/>
                <w:szCs w:val="16"/>
                <w:b w:val="1"/>
                <w:bCs w:val="1"/>
                <w:color w:val="auto"/>
                <w:w w:val="95"/>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1,059</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1,508</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r>
      <w:tr>
        <w:trPr>
          <w:trHeight w:val="243"/>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Shares of common stock subject to repurchase</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838</w:t>
            </w: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81"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The following tables present the financial assets measured at fair value on a recurring basis as of September 30, 2013 and December 31, 2012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September 30, 2013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Pr>
          <w:p>
            <w:pPr>
              <w:spacing w:after="0"/>
              <w:rPr>
                <w:sz w:val="20"/>
                <w:szCs w:val="20"/>
                <w:color w:val="auto"/>
              </w:rPr>
            </w:pPr>
          </w:p>
        </w:tc>
        <w:tc>
          <w:tcPr>
            <w:tcW w:w="1180" w:type="dxa"/>
            <w:vAlign w:val="bottom"/>
          </w:tcPr>
          <w:p>
            <w:pPr>
              <w:jc w:val="center"/>
              <w:ind w:right="191"/>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56,198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56,198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3,127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24,534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128,573</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128,573</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5,497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144,993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144,993</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69"/>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December 31, 2012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Pr>
          <w:p>
            <w:pPr>
              <w:spacing w:after="0"/>
              <w:rPr>
                <w:sz w:val="20"/>
                <w:szCs w:val="20"/>
                <w:color w:val="auto"/>
              </w:rPr>
            </w:pPr>
          </w:p>
        </w:tc>
        <w:tc>
          <w:tcPr>
            <w:tcW w:w="1180" w:type="dxa"/>
            <w:vAlign w:val="bottom"/>
          </w:tcPr>
          <w:p>
            <w:pPr>
              <w:jc w:val="center"/>
              <w:ind w:right="191"/>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19,800</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19,800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3,992</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32,792</w:t>
            </w:r>
          </w:p>
        </w:tc>
      </w:tr>
      <w:tr>
        <w:trPr>
          <w:trHeight w:val="67"/>
        </w:trPr>
        <w:tc>
          <w:tcPr>
            <w:tcW w:w="6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105,515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13,697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6,880</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126,092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126,092</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As of September 30, 2013 and December 31, 2012, the Company did not use level 3 inputs to measure financial assets or liabilities at fair value.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81"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The following table summarizes the Company’s investments in available-for-sale securities as of September 30, 2013 and December 31, 2012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rPr>
              <w:t>September 30, 2013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Unrealized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060" w:type="dxa"/>
            <w:vAlign w:val="bottom"/>
          </w:tcPr>
          <w:p>
            <w:pPr>
              <w:jc w:val="right"/>
              <w:ind w:right="13"/>
              <w:spacing w:after="0"/>
              <w:rPr>
                <w:sz w:val="20"/>
                <w:szCs w:val="20"/>
                <w:color w:val="auto"/>
              </w:rPr>
            </w:pPr>
            <w:r>
              <w:rPr>
                <w:rFonts w:ascii="Arial" w:cs="Arial" w:eastAsia="Arial" w:hAnsi="Arial"/>
                <w:sz w:val="16"/>
                <w:szCs w:val="16"/>
                <w:b w:val="1"/>
                <w:bCs w:val="1"/>
                <w:color w:val="auto"/>
              </w:rPr>
              <w:t>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144,935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144,993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jc w:val="right"/>
              <w:ind w:right="373"/>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Unrealized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060" w:type="dxa"/>
            <w:vAlign w:val="bottom"/>
          </w:tcPr>
          <w:p>
            <w:pPr>
              <w:jc w:val="right"/>
              <w:ind w:right="13"/>
              <w:spacing w:after="0"/>
              <w:rPr>
                <w:sz w:val="20"/>
                <w:szCs w:val="20"/>
                <w:color w:val="auto"/>
              </w:rPr>
            </w:pPr>
            <w:r>
              <w:rPr>
                <w:rFonts w:ascii="Arial" w:cs="Arial" w:eastAsia="Arial" w:hAnsi="Arial"/>
                <w:sz w:val="16"/>
                <w:szCs w:val="16"/>
                <w:b w:val="1"/>
                <w:bCs w:val="1"/>
                <w:color w:val="auto"/>
              </w:rPr>
              <w:t>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13,697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126,113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126,092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446"/>
        <w:spacing w:after="0" w:line="286" w:lineRule="auto"/>
        <w:rPr>
          <w:sz w:val="20"/>
          <w:szCs w:val="20"/>
          <w:color w:val="auto"/>
        </w:rPr>
      </w:pPr>
      <w:r>
        <w:rPr>
          <w:rFonts w:ascii="Arial" w:cs="Arial" w:eastAsia="Arial" w:hAnsi="Arial"/>
          <w:sz w:val="17"/>
          <w:szCs w:val="17"/>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net in the Company’s condensed consolidated statements of operations and have not been material for all periods presented.</w:t>
      </w:r>
    </w:p>
    <w:p>
      <w:pPr>
        <w:spacing w:after="0" w:line="166"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weighted-average remaining maturity of the Company’s investment portfolio was less than one year as of September 30, 2013 and December 31, 2012. As of September 30, 2013, no individual securities incurred continuous unrealized losses for greater than 12 months.</w:t>
      </w:r>
    </w:p>
    <w:p>
      <w:pPr>
        <w:spacing w:after="0" w:line="16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403,875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489,176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(278,518)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199,314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210,658</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September 30, 2013, the estimated economic useful lives of the Company’s patent assets generally ranged from 24 to 60 months. As of September 30, 2013, the weighted-average estimated economic useful life at the time of acquisition of all patent assets acquired since the Company’s inception, excluding fully amortized patent assets, was 44 months.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expected future annual amortization expense of patent assets as of September 30, 2013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(remainder)</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25,715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81,411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33,553</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1,368</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210,658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Amortization expense was $28.2 million and $21.5 million for the three months ended September 30, 2013 and 2012, respectively, and $74.5 million and $59.2 million for the nine months ended September 30, 2013 and 2012, respectively.</w:t>
      </w:r>
    </w:p>
    <w:p>
      <w:pPr>
        <w:spacing w:after="0" w:line="1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960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3,144</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Depreciation and amortization expense was $0.4 million for both the three months ended September 30, 2013 and 2012, and $1.2 million and $0.9 million for the nine months ended September 30, 2013 and 2012, respectively. Stock-based compensation capitalized as part of the cost of internal-use software was nil and $0.1 million for the three months ended September 30, 2013 and 2012, respectively, and nil and $0.3 million for the nine months ended September 30, 2013 and 2012, respectively.</w:t>
      </w:r>
    </w:p>
    <w:p>
      <w:pPr>
        <w:spacing w:after="0" w:line="18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as of September 30, 2013 and December 31, 2012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Net Carrying</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Net Carrying</w:t>
            </w:r>
          </w:p>
        </w:tc>
      </w:tr>
      <w:tr>
        <w:trPr>
          <w:trHeight w:val="210"/>
        </w:trPr>
        <w:tc>
          <w:tcPr>
            <w:tcW w:w="26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Carrying Amount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6"/>
                <w:szCs w:val="16"/>
                <w:b w:val="1"/>
                <w:bCs w:val="1"/>
                <w:color w:val="auto"/>
              </w:rPr>
              <w:t>Amount</w:t>
            </w:r>
          </w:p>
        </w:tc>
      </w:tr>
      <w:tr>
        <w:trPr>
          <w:trHeight w:val="33"/>
        </w:trPr>
        <w:tc>
          <w:tcPr>
            <w:tcW w:w="26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Proprietary data and models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1,236</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258</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in-progress</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57"/>
        </w:trPr>
        <w:tc>
          <w:tcPr>
            <w:tcW w:w="264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6,298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3,226</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80"/>
        </w:trPr>
        <w:tc>
          <w:tcPr>
            <w:tcW w:w="9940" w:type="dxa"/>
            <w:vAlign w:val="bottom"/>
            <w:gridSpan w:val="2"/>
          </w:tcPr>
          <w:p>
            <w:pPr>
              <w:ind w:left="460"/>
              <w:spacing w:after="0"/>
              <w:rPr>
                <w:sz w:val="20"/>
                <w:szCs w:val="20"/>
                <w:color w:val="auto"/>
              </w:rPr>
            </w:pPr>
            <w:r>
              <w:rPr>
                <w:rFonts w:ascii="Arial" w:cs="Arial" w:eastAsia="Arial" w:hAnsi="Arial"/>
                <w:sz w:val="18"/>
                <w:szCs w:val="18"/>
                <w:color w:val="auto"/>
                <w:w w:val="91"/>
              </w:rPr>
              <w:t>The estimated future amortization expenses for intangible assets as of September 30, 2013 are summarized below (in thousands):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2013 (remainder)</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2014</w:t>
            </w:r>
          </w:p>
        </w:tc>
        <w:tc>
          <w:tcPr>
            <w:tcW w:w="8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2016</w:t>
            </w:r>
          </w:p>
        </w:tc>
        <w:tc>
          <w:tcPr>
            <w:tcW w:w="8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2,088</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Amortization expense was $0.3 million and $0.4 million for the three months ended September 30, 2013 and 2012, respectively, and $1.1 million for both the nine months ended September 30, 2013 and 2012.</w:t>
      </w:r>
    </w:p>
    <w:p>
      <w:pPr>
        <w:spacing w:after="0" w:line="16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639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7,206</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and other assets purchased but not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right="8380" w:hanging="492"/>
        <w:spacing w:after="0" w:line="397" w:lineRule="auto"/>
        <w:tabs>
          <w:tab w:leader="none" w:pos="5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The Company generally does not enter into long-term minimum purchase commitments. Its principal long-term commitments consist of obligations under operating leases for office space. There were no substantial changes to its contractual obligations or commitments during the nine months ended September 30, 2013 as presented under the heading “Commitments and Contingencies” in Note 14 of the Notes to Consolidated Financial Statements in Part II, Item 8</w:t>
      </w:r>
      <w:r>
        <w:rPr>
          <w:rFonts w:ascii="Arial" w:cs="Arial" w:eastAsia="Arial" w:hAnsi="Arial"/>
          <w:sz w:val="18"/>
          <w:szCs w:val="18"/>
          <w:i w:val="1"/>
          <w:iCs w:val="1"/>
          <w:color w:val="auto"/>
        </w:rPr>
        <w:t>.</w:t>
      </w:r>
      <w:r>
        <w:rPr>
          <w:rFonts w:ascii="Arial" w:cs="Arial" w:eastAsia="Arial" w:hAnsi="Arial"/>
          <w:sz w:val="18"/>
          <w:szCs w:val="18"/>
          <w:color w:val="auto"/>
        </w:rPr>
        <w:t xml:space="preserve"> “Consolidated Financial Statements and Supplementary Data” included in the Annual Report on Form 10-K for its fiscal year ended December 31, 2012.</w:t>
      </w:r>
    </w:p>
    <w:p>
      <w:pPr>
        <w:spacing w:after="0" w:line="188"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Rent expense related to non-cancelable operating leases was $1.1 million and $0.6 million for the three months ended September 30, 2013 and 2012, respectively, and $2.5 million and $1.8 million for the nine months ended September 30, 2013 and 2012,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legal contingencies. A liability is recorded when and if it is determined that such a liability for litigation or contingencies is both probable and reasonably estimable. No liability for litigation or legal contingencies was recorded as of September 30, 2013 or December 31, 2012.</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9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February 2013, Volkswagen Group of America, Inc. (“Volkswagen”) filed a third-party complaint against the Company as part of an existing patent infringement lawsuit in the U.S. District Court for the Eastern District of Texas that was originally filed by Norman IP Holdings, LLC (“Norman”) and in which Volkswagen is a defendant. The complaint relates to a patent license and acquisition transaction that the Company entered into with Norman and Saxon Innovations, LLC (“Saxon”) in January 2010.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claims allege that the Company, together with Norman and Saxon, violated federal antitrust law and Texas antitrust law. Volkswagen seeks declaratory relief, unspecified monetary damages, and injunctive relief. The Company is not currently able to determine whether there is a reasonable possibility that a loss has been incurred, nor can it estimate the range of the potential loss that may result from this litigation.</w:t>
      </w:r>
    </w:p>
    <w:p>
      <w:pPr>
        <w:spacing w:after="0" w:line="18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The Company is not currently able to determine whether there is a reasonable possibility that a loss has been incurred, nor can it estimate the potential loss or range of the potential loss that may result from this litigation.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September 30, 2013 or December 31, 2012. The Company has no reason to believe that there is any material liability related to such indemnification provisions. The Company does not indemnify its clients for patent infringement.</w:t>
      </w:r>
    </w:p>
    <w:p>
      <w:pPr>
        <w:spacing w:after="0" w:line="178"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In August 2012, the Company began offering insurance to cover certain costs of litigation brought against its insured clients by NPEs. As of September 30, 2013, the Company has a total of 23 active policies and has recorded a reserve for known and incurred but not reported claims that represent estimated claim costs and related expenses. Such estimates are based on individual case estimates for the reserve for known and incurred but not reported claims and estimates of incurred but not reported losses. The financial statement impact of the reserve for known and incurred but not reported claims was not material to the Company’s results of operations for the three and nine months ended September 30, 2013 or financial condition as of September 30, 2013.</w:t>
      </w:r>
    </w:p>
    <w:p>
      <w:pPr>
        <w:spacing w:after="0" w:line="2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Company regularly reviews loss reserves using a variety of actuarial techniques and updates them as its loss experience develops. Any changes in estimates are reflected in the Company’s operating results for the period in which the estimates are changed.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Purchase Commitments</w:t>
      </w:r>
    </w:p>
    <w:p>
      <w:pPr>
        <w:spacing w:after="0" w:line="90" w:lineRule="exact"/>
        <w:rPr>
          <w:sz w:val="20"/>
          <w:szCs w:val="20"/>
          <w:color w:val="auto"/>
        </w:rPr>
      </w:pPr>
    </w:p>
    <w:p>
      <w:pPr>
        <w:ind w:right="200" w:firstLine="486"/>
        <w:spacing w:after="0" w:line="381" w:lineRule="auto"/>
        <w:rPr>
          <w:sz w:val="20"/>
          <w:szCs w:val="20"/>
          <w:color w:val="auto"/>
        </w:rPr>
      </w:pPr>
      <w:r>
        <w:rPr>
          <w:rFonts w:ascii="Arial" w:cs="Arial" w:eastAsia="Arial" w:hAnsi="Arial"/>
          <w:sz w:val="15"/>
          <w:szCs w:val="15"/>
          <w:color w:val="auto"/>
        </w:rPr>
        <w:t>During the three months ended September 30, 2013, the Company entered into various agreements to acquire patent assets for an aggregate purchase price of $7.1 million. Pursuant to these agreements, the Company paid the applicable purchase price and acquired the patent assets in October 2013.</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Plans</w:t>
      </w:r>
    </w:p>
    <w:p>
      <w:pPr>
        <w:spacing w:after="0" w:line="2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A summary of the Company’s activity under its equity award plans and related information is as follows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Available</w:t>
            </w: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for Grant</w:t>
            </w: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2012</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5,710</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Shares authorized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September 30, 2013</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2,433</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4,334</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35,624</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September 30, 2013</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2,065</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17,080</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 September 30, 2013</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4,087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33,674</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486"/>
        <w:spacing w:after="0" w:line="342" w:lineRule="auto"/>
        <w:rPr>
          <w:sz w:val="20"/>
          <w:szCs w:val="20"/>
          <w:color w:val="auto"/>
        </w:rPr>
      </w:pPr>
      <w:r>
        <w:rPr>
          <w:rFonts w:ascii="Arial" w:cs="Arial" w:eastAsia="Arial" w:hAnsi="Arial"/>
          <w:sz w:val="16"/>
          <w:szCs w:val="16"/>
          <w:color w:val="auto"/>
        </w:rPr>
        <w:t>The total intrinsic value for options exercised during the three months ended September 30, 2013 and 2012 was $2.6 million and $3.2 million, respectively, and $11.3 million and $21.9 million for options exercised during the nine months ended September 30, 2013 and 2012,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restricted stock unit activity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Grant Date Fair</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74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340" w:type="dxa"/>
            <w:vAlign w:val="bottom"/>
          </w:tcPr>
          <w:p>
            <w:pPr>
              <w:spacing w:after="0"/>
              <w:rPr>
                <w:sz w:val="18"/>
                <w:szCs w:val="18"/>
                <w:color w:val="auto"/>
              </w:rPr>
            </w:pPr>
          </w:p>
        </w:tc>
        <w:tc>
          <w:tcPr>
            <w:tcW w:w="1140" w:type="dxa"/>
            <w:vAlign w:val="bottom"/>
          </w:tcPr>
          <w:p>
            <w:pPr>
              <w:jc w:val="center"/>
              <w:ind w:right="25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2012</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September 30, 2013</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36,423</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77"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Stock-based compensation expense for employees and non-employee directors is based on the fair value of the award on the date of grant and is recognized on a straight-line basis over the requisite service period of the award. The Company estimates the fair value of stock options using the Black-Scholes option pricing model. Option valuation models, including the Black-Scholes option pricing model, require the input of various assumptions such as expected term, expected volatility and risk-free interest rates.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has limited information on its past volatility and has a limited operating history. Therefore, it has estimated volatility by evaluating the historical volatility of publicly traded industry peer companies. For purposes of identifying these peer companies, the Company considered the industry, stage of development, size and financial leverage of potential comparable companies. The estimated forfeiture rate is derived from the Company’s historical data, and the risk-free interest rate is based on the yield available on U.S. Treasury zero-coupon issues similar in duration to the expected term of the Company’s stock options.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There were no stock options granted to employees or non-employee directors during the three months ended September 30, 2013 or 2012. The weighted-average assumptions used to estimate the fair value of stock options granted to employees and non-employee directors during the nine months ended September 30, 2013 and 2012 and the resulting fair values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60" w:type="dxa"/>
            <w:vAlign w:val="bottom"/>
            <w:gridSpan w:val="3"/>
          </w:tcPr>
          <w:p>
            <w:pPr>
              <w:ind w:left="32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8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0.93%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6.0</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$9.02</w:t>
            </w:r>
          </w:p>
        </w:tc>
      </w:tr>
      <w:tr>
        <w:trPr>
          <w:trHeight w:val="27"/>
        </w:trPr>
        <w:tc>
          <w:tcPr>
            <w:tcW w:w="8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fair value of restricted stock units granted to employees and non-employee directors is measured by reference to the fair value of the underlying shares on the date of grant.</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Stock-based compensation expense related to stock options granted to employees and non-employee directors was $1.8 million for both the three months ended September 30, 2013 and 2012, and $6.7 million and $5.7 million for the nine months ended September 30, 2013 and 2012, respectively. Stock-based compensation expense related to restricted stock units granted to employees and non-employee directors was $2.1 million and $0.6 million for the three months ended September 30, 2013 and 2012, respectively, and $5.1 million and $1.5 million for the nine months ended September 30, 2013 and 2012, respectively.</w:t>
      </w:r>
    </w:p>
    <w:p>
      <w:pPr>
        <w:spacing w:after="0" w:line="188"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As of September 30, 2013, there was $12.4 million and $23.3 million of unrecognized compensation cost related to stock options and restricted stock units, respectively, which was expected to be recognized over a weighted-average period of 2.2 years and 3.1 years,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7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Company periodically grants equity awards to non-employees in exchange for goods and services. No awards were granted to non-employees in exchange for goods and services during the three or nine months ended September 30, 2013 and 2012, respectively.</w:t>
      </w:r>
    </w:p>
    <w:p>
      <w:pPr>
        <w:spacing w:after="0" w:line="1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Non-employee stock-based compensation expense related to stock options was $0.1 million for both the three months ended September 30, 2013 and 2012, and $0.2 million and $0.3 million for the nine months ended September 30, 2013 and 2012, respectively. Non-employee stock-based compensation expense related to restricted stock units was nil and $0.1 million for the three months ended September 30, 2013 and 2012, respectively, and $0.2 million and $0.3 million for the nine months ended September 30, 2013 and 2012, respectively.</w:t>
      </w:r>
    </w:p>
    <w:p>
      <w:pPr>
        <w:spacing w:after="0" w:line="18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37% for each of the three and nine months ended September 30, 2013 and 2012.</w:t>
      </w:r>
    </w:p>
    <w:p>
      <w:pPr>
        <w:spacing w:after="0" w:line="24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Company’s 2010 tax year is currently under examination by the State of California Franchise Tax Board. The Company does not expect a material impact on its consolidated financial statements as a result of this examination. The 2010 through 2012 tax periods remain open to examination by the Internal Revenue Service and the 2009 through 2012 tax periods remain open to examination by most state tax authorities. For the Company’s foreign jurisdictions, the 2009 through 2012 tax years remain open to examination by their respective tax authorities.</w:t>
      </w:r>
    </w:p>
    <w:p>
      <w:pPr>
        <w:spacing w:after="0" w:line="16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During the three and nine months ended September 30, 2013, four members of the Company’s Board of Directors also served on the boards of directors of RPX clients. During the three and nine months ended September 30, 2012, two members of the Company’s Board of Directors also served on the boards of directors of RPX clients. The Company recognized subscription revenue from these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clients in the amount of $1.3 million and $0.9 million for the three months ended September 30, 2013 and 2012, respectively, and $3.8 million and $2.5 million for the nine months ended September 30, 2013 and 2012, respectively. As of September 30, 2013 and December 31, 2012, there were no receivables due from these clients.</w:t>
      </w:r>
    </w:p>
    <w:p>
      <w:pPr>
        <w:spacing w:after="0" w:line="17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any of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7"/>
          </w:tcPr>
          <w:p>
            <w:pPr>
              <w:ind w:left="740"/>
              <w:spacing w:after="0"/>
              <w:rPr>
                <w:sz w:val="20"/>
                <w:szCs w:val="20"/>
                <w:color w:val="auto"/>
              </w:rPr>
            </w:pPr>
            <w:r>
              <w:rPr>
                <w:rFonts w:ascii="Arial" w:cs="Arial" w:eastAsia="Arial" w:hAnsi="Arial"/>
                <w:sz w:val="16"/>
                <w:szCs w:val="16"/>
                <w:b w:val="1"/>
                <w:bCs w:val="1"/>
                <w:color w:val="auto"/>
              </w:rPr>
              <w:t>Three Months Ended September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60" w:type="dxa"/>
            <w:vAlign w:val="bottom"/>
            <w:gridSpan w:val="7"/>
          </w:tcPr>
          <w:p>
            <w:pPr>
              <w:ind w:left="840"/>
              <w:spacing w:after="0"/>
              <w:rPr>
                <w:sz w:val="20"/>
                <w:szCs w:val="20"/>
                <w:color w:val="auto"/>
              </w:rPr>
            </w:pPr>
            <w:r>
              <w:rPr>
                <w:rFonts w:ascii="Arial" w:cs="Arial" w:eastAsia="Arial" w:hAnsi="Arial"/>
                <w:sz w:val="16"/>
                <w:szCs w:val="16"/>
                <w:b w:val="1"/>
                <w:bCs w:val="1"/>
                <w:color w:val="auto"/>
              </w:rPr>
              <w:t>Nine Months Ended September 30,</w:t>
            </w:r>
          </w:p>
        </w:tc>
        <w:tc>
          <w:tcPr>
            <w:tcW w:w="86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1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1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35,842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26,974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108,445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82,066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1440" w:type="dxa"/>
            <w:vAlign w:val="bottom"/>
          </w:tcPr>
          <w:p>
            <w:pPr>
              <w:ind w:left="40"/>
              <w:spacing w:after="0"/>
              <w:rPr>
                <w:sz w:val="20"/>
                <w:szCs w:val="20"/>
                <w:color w:val="auto"/>
              </w:rPr>
            </w:pPr>
            <w:r>
              <w:rPr>
                <w:rFonts w:ascii="Arial" w:cs="Arial" w:eastAsia="Arial" w:hAnsi="Arial"/>
                <w:sz w:val="18"/>
                <w:szCs w:val="18"/>
                <w:color w:val="auto"/>
              </w:rPr>
              <w:t>Japan</w:t>
            </w:r>
          </w:p>
        </w:tc>
        <w:tc>
          <w:tcPr>
            <w:tcW w:w="4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9,531</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29,623</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13,181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39,161</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34,465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57"/>
        </w:trPr>
        <w:tc>
          <w:tcPr>
            <w:tcW w:w="14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58,554</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47,044</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177,229</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146,131</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 information by location is presented below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46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40" w:type="dxa"/>
            <w:vAlign w:val="bottom"/>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on March 11, 2013.</w:t>
      </w:r>
    </w:p>
    <w:p>
      <w:pPr>
        <w:spacing w:after="0" w:line="181" w:lineRule="exact"/>
        <w:rPr>
          <w:sz w:val="20"/>
          <w:szCs w:val="20"/>
          <w:color w:val="auto"/>
        </w:rPr>
      </w:pPr>
    </w:p>
    <w:p>
      <w:pPr>
        <w:ind w:right="20"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Securities and Exchange Commission on March 11, 2013.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38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2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During the nine months ended September 30, 2013, our revenue grew to $177.2 million from $146.1 million for the nine months ended September 30, 2012. Our client count increased by 20 clients bringing our total client network to 160 as of September 30, 2013. At September 30, 2013, we had deferred revenue of $105.2 million.</w:t>
      </w:r>
    </w:p>
    <w:p>
      <w:pPr>
        <w:spacing w:after="0" w:line="18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 During the nine months ended September 30, 2013, we completed 28 acquisitions of patent assets and our gross and net acquisition spend totaled $91.1 million and $86.1 million, respectively. From our inception through September 30, 2013, we have completed 148 acquisitions of patent assets with gross and net acquisition spend of $714.6 million and $492.5 million, respectively.</w:t>
      </w:r>
    </w:p>
    <w:p>
      <w:pPr>
        <w:spacing w:after="0" w:line="178"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During the nine months ended September 30, 2013, we completed a divestiture of a patent asset portfolio in the open market. This divestiture had an immaterial impact to our results of operations and financial condition. We expect to divest patent portfolios as a normal part of our business, and these divestitures will result in a gain or loss in the period in which the transaction occurs. The gain or loss is based on the sale price relative to the carrying value of the patent assets divested.</w:t>
      </w:r>
    </w:p>
    <w:p>
      <w:pPr>
        <w:spacing w:after="0" w:line="187"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who must be members of our client network, to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better manage and mitigate the risk of NPE patent litigation. As of and for the three and nine months ended September 30, 2013, the effect of the insurance policies that have been issued was not material to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Subscription revenue includes membership subscription services and premiums earned from insurance policies.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we started to recognize revenue from insurance premiums. Although we expect this revenue to increase as we sell more policies in the future, for the three and nine months ended September 30, 2013, revenue from insurance premiums was not material to the Company’s results of operations. We also recognize revenue from the sale of licenses and advisory fee income in connection with structured acquisitions, which we collectively refer to as fee-related revenue.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Cost of revenue primarily consists of amortization expenses related to acquired patent assets. Acquired patent assets are capitalized and amortized ratably over their estimated useful lives. Also included in the cost of revenue are expenses incurred to maintain our patents and prosecute our patent applications and amortization expense for acquired intangible assets and internally developed software. With the launch of our insurance offering in August 2012, cost of revenue also includes premiums ceded to reinsurers and loss reserves. We expect our cost of revenue to increase in the future as we add additional patent assets to our existing portfolio to support our existing and future clients and as our insurance business grows. Our cost of revenue is primarily driven by the amortization of previously acquired patent assets, which are typically amortized over an estimated useful life of 24 to 60 months. However, from time to time, we may acquire patent assets with an estimated useful life that is significantly less than the historical weighted-average of patent assets previously acquired, resulting in increased patent asset amortization expense in immediate periods following acquisition.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and nine months ended September 30, 2013, as compared to those described in our Annual Report on Form 10-K filed with the SEC on March 11, 2013.</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29,766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60,508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17,130</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28,859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24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320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5580"/>
              <w:spacing w:after="0"/>
              <w:rPr>
                <w:sz w:val="20"/>
                <w:szCs w:val="20"/>
                <w:color w:val="auto"/>
              </w:rPr>
            </w:pPr>
            <w:r>
              <w:rPr>
                <w:rFonts w:ascii="Arial" w:cs="Arial" w:eastAsia="Arial" w:hAnsi="Arial"/>
                <w:sz w:val="16"/>
                <w:szCs w:val="16"/>
                <w:b w:val="1"/>
                <w:bCs w:val="1"/>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2012</w:t>
            </w:r>
          </w:p>
        </w:tc>
      </w:tr>
      <w:tr>
        <w:trPr>
          <w:trHeight w:val="33"/>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41</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(Gain) loss on sale of patent assets, net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12</w:t>
            </w:r>
          </w:p>
        </w:tc>
      </w:tr>
      <w:tr>
        <w:trPr>
          <w:trHeight w:val="27"/>
        </w:trPr>
        <w:tc>
          <w:tcPr>
            <w:tcW w:w="4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revenue for the three months ended September 30, 2013 was $58.6 million compared to $47.0 million during the same period a year ago, an increase of $11.5 million, or 24%. Subscription revenue, which includes membership subscription services and premiums earned from insurance policies, for the three months ended September 30, 2013 was $57.8 million compared to $47.0 million for the three months ended September 30, 2012, an increase of $10.8 million, or 23%. The increase in subscription revenue was attributable to an increase in membership fees, which was composed of $8.8 million from new clients who joined our network subsequent to September 30, 2012 and $2.0 million from clients who joined our network prior to September 30, 2012. As of September 30, 2013 we had a total client network of 160 companies as compared to 128 as of September 30, 2012. Revenue for the three months ended September 30, 2013 also included $0.7 million of fee-related revenue, as compared to nil in the same period in 2012.</w:t>
      </w:r>
    </w:p>
    <w:p>
      <w:pPr>
        <w:spacing w:after="0" w:line="23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revenue for the nine months ended September 30, 2013 was $177.2 million compared to $146.1 million during the same period a year ago, an increase of $31.1 million, or 21%. Subscription revenue for the nine months ended September 30, 2013 was $166.8 million compared to $136.7 million for the nine months ended September 30, 2012, an increase of $30.1 million, or 22%. The increase in subscription revenue was attributable to an increase in membership fees, which was composed of $17.6 million from new clients who joined our network subsequent to September 30, 2012 and $12.5 million from clients who joined our network prior to September 30, 2012. Revenue for the nine months ended September 30, 2013 also included $10.4 million of fee-related revenue, as compared to $9.4 million in the same period in 2012.</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cost of revenue for the three months ended September 30, 2013 was $29.8 million compared to $22.0 million during the same period a year ago, an increase of $7.8 million, or 35%. The increase was primarily attributable to a $6.7 million increase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patent amortization expense and a $0.7 million increase in the provision for known and incurred but not reported claims from our liability insurance policy business. The increase in patent amortization expense was a result of an increase in our patent assets and a shorter amortization period for certain patent assets acquired during the three months ended September 30, 2013. The weighted-average estimated economic useful life at the time of acquisition of the patent assets acquired during the three months ended September 30, 2013 was 30 months compared to the 44 months weighted-average estimated economic useful life of the patent assets acquired since inception, excluding fully amortized patent assets.</w:t>
      </w:r>
    </w:p>
    <w:p>
      <w:pPr>
        <w:spacing w:after="0" w:line="17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Our cost of revenue for the nine months ended September 30, 2013 was $78.1 million compared to $60.5 million during the same period a year ago, an increase of $17.6 million, or 29%. The increase was primarily attributable to a $15.3 million increase in patent amortization expense and a $0.5 million increase in patent maintenance and prosecution expenses, as a result of an increase in our patent assets and a $1.1 million increase in the provision for known and incurred but not reported claims from our liability insurance policy business. Cost of revenue for the nine months ended September 30, 2013 also included $0.5 million of fees paid to a third-party service provider in connection with our performance of advisory services.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selling, general and administrative expenses for the three months ended September 30, 2013 were $15.6 million compared to $13.1 million during the same period a year ago, an increase of $2.4 million, or 19%. The increase was primarily due to a $1.4 million increase in stock-based compensation expense and a $0.5 million increase in rent expense.</w:t>
      </w:r>
    </w:p>
    <w:p>
      <w:pPr>
        <w:spacing w:after="0" w:line="18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selling, general and administrative expenses for the nine months ended September 30, 2013 were $45.8 million compared to $39.9 million during the same period a year ago, an increase of $5.9 million, or 15%. The increase was primarily due to a $5.6 million increase in personnel-related costs, including $4.6 million of stock-based compensation expense, attributable to increasing our headcount to 136 as of September 30, 2013 compared to 126 as of September 30, 2012, and a $0.7 million increase in rent expense.</w:t>
      </w:r>
    </w:p>
    <w:p>
      <w:pPr>
        <w:spacing w:after="0" w:line="18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We expect that in the foreseeable future, selling, general and administrative expenses will increase as we seek to serve more clients, develop new products and services, and support our operations.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Our provision for income taxes was $4.9 million and $4.4 million for the three months ended September 30, 2013 and 2012, respectively, and $19.6 million and $17.1 million for the nine months ended September 30, 2013 and 2012, respectively. Our effective tax rate, including the impact of discrete benefit items, was 37% for both the three and nine months ended September 30, 2013 and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We have financed substantially all of our operations and patent asset acquisitions through the sale of equity securities, subscription fees collected from our clients and patent-seller financing. As of September 30, 2013, we had $132.6 million of cash and cash equivalents and $145.0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(107,959)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58,976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Cash provided by operating activities for the nine months ended September 30, 2013 was $156.5 million, consisting of adjustments for non-cash items totaling $88.0 million, changes in working capital and non-current assets and liabilities of $34.8 million, and net income of $33.8 million. Non-cash adjustments to net income primarily consisted of $76.8 million of depreciation and amortization, $12.1 million of stock-based compensation, $4.5 million of amortization of premium on investments, partially offset by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reduction of $2.8 million due to excess tax benefit from stock-based compensation and a $2.8 million net decrease in our deferred tax liabilities. The change in working capital resulted primarily from a $33.8 million decrease in other receivables representing the collection of client contributions outstanding as a result of the completion of a syndicated patent acquisition and licensing transaction and a $0.9 million increase in deferred revenue. The increase in deferred revenue was due to $167.7 million in billings to new and existing clients and was partially offset by revenue recognized during the period of $166.8 million. The amount of deferred revenue in any given period varies with the addition of new clients, the mix of payment terms that we offer and the cumulative impact of the timing of invoicing existing clients that have joined our network at various points since our inception.</w:t>
      </w:r>
    </w:p>
    <w:p>
      <w:pPr>
        <w:spacing w:after="0" w:line="17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Cash provided by operating activities for the nine months ended September 30, 2012 was $80.7 million, consisting of net income of $28.9 million; adjustments for non-cash items of $65.0 million primarily due to $61.2 million of depreciation and amortization, $7.5 million of stock-based compensation, $3.8 million of amortization of premium on investments and reduction of $5.8 million due to excess tax benefit from stock-based compensation and a $1.5 million net increase in our deferred tax assets; and a reduction in working capital and non-current assets and liabilities totaling $13.2 million primarily from a $10.0 million increase due to a refundable deposit to a third party, a $2.9 million decrease in accrued liabilities and a $9.6 million decrease in deferred revenue, which was partially offset by a $5.9 million decrease in prepaid expenses and other assets, a $3.2 million decrease in accounts receivable due to collections from our clients. The decrease in deferred revenue is due to $137.0 million of revenue and other adjustments recognized during the period and was partially offset by billings to new and existing clients of $127.4 million.</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Cash used in investing activities for the nine months ended September 30, 2013 was $104.5 million, of which $82.8 million represented our acquisitions of patent assets, $17.9 million represented net purchases of short-term marketable securities, $2.1 million represented our acquisitions of property and equipment and $1.8 million represented our increase in restricted cash. We expect our cash used in investing activities to increase in the future as we acquire additional patents.</w:t>
      </w:r>
    </w:p>
    <w:p>
      <w:pPr>
        <w:spacing w:after="0" w:line="187"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Cash used in investing activities for the nine months ended September 30, 2012 was $108.0 million, of which $65.1 million represented our acquisitions of patent assets, $45.8 million represented our business acquisition of Altitude Capital and $1.6 million represented our acquisitions of property and equipment. The increase was partially offset by $3.7 million in proceeds from net maturities of short-term marketable securities.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2013 was $6.9 million, the result of proceeds from exercise of stock options of $4.2 million and excess tax benefit from stock-based compensation of $2.8 million.</w:t>
      </w:r>
    </w:p>
    <w:p>
      <w:pPr>
        <w:spacing w:after="0" w:line="170"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Cash provided by financing activities for the nine months ended September 30, 2012 was $4.0 million, of which $5.8 million was due to excess tax benefit from stock-based compensation and $2.8 million represented proceeds from exercise of stock options. The increase was partially offset by $5.2 million of principal payments for our deferred payment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7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We generally do not enter into long-term minimum purchase commitments. Our principal long-term commitments consist of obligations under operating leases for office space. There were no substantial changes to our contractual obligations or commitments during the nine months ended September 30, 2013 as presented under the heading “Contractual Obligations and Commitments” in Part II, Item 7 “Management’s Discussion and Analysis of Financial Condition and Results of Operations” or the heading “Commitments and Contingencies” in Note 14 of the Notes to Consolidated Financial Statements in Part II, Item 8 “Consolidated Financial Statements and Supplementary Data” included in our Annual Report on Form 10-K for our fiscal year ended December 31, 2012.</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Purchase Commitments</w:t>
      </w:r>
    </w:p>
    <w:p>
      <w:pPr>
        <w:spacing w:after="0" w:line="90"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During the three months ended September 30, 2013, we entered into various agreements to acquire patent assets for an aggregate purchase price of $7.1 million. Pursuant to these agreements, we paid the applicable purchase price and acquired the patent assets in October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At September 30, 2013,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 xml:space="preserve">In February 2013, the FASB issued Accounting Standards Update (“ASU”) 2013-02, </w:t>
      </w:r>
      <w:r>
        <w:rPr>
          <w:rFonts w:ascii="Arial" w:cs="Arial" w:eastAsia="Arial" w:hAnsi="Arial"/>
          <w:sz w:val="17"/>
          <w:szCs w:val="17"/>
          <w:i w:val="1"/>
          <w:iCs w:val="1"/>
          <w:color w:val="auto"/>
        </w:rPr>
        <w:t>Reporting of Amounts of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(“ASU 2013-02”), which amends</w:t>
      </w:r>
      <w:r>
        <w:rPr>
          <w:rFonts w:ascii="Arial" w:cs="Arial" w:eastAsia="Arial" w:hAnsi="Arial"/>
          <w:sz w:val="17"/>
          <w:szCs w:val="17"/>
          <w:i w:val="1"/>
          <w:iCs w:val="1"/>
          <w:color w:val="auto"/>
        </w:rPr>
        <w:t xml:space="preserve"> Comprehensive Income (Topic 220) </w:t>
      </w:r>
      <w:r>
        <w:rPr>
          <w:rFonts w:ascii="Arial" w:cs="Arial" w:eastAsia="Arial" w:hAnsi="Arial"/>
          <w:sz w:val="17"/>
          <w:szCs w:val="17"/>
          <w:color w:val="auto"/>
        </w:rPr>
        <w:t>in the Accounting Standards Codification (“ASC”). These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our interim and annual fiscal periods beginning January 1, 2013. The adoption of ASU 2013-02 did not have a material impact on our consolidated financial statements.</w:t>
      </w:r>
    </w:p>
    <w:p>
      <w:pPr>
        <w:spacing w:after="0" w:line="17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In October 2012, the FASB issued ASU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are effective for our interim and annual fiscal periods beginning January 1, 2013. The adoption of ASU 2012-04 did not have a material impact on our consolidated financial statements.</w:t>
      </w:r>
    </w:p>
    <w:p>
      <w:pPr>
        <w:spacing w:after="0" w:line="18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 xml:space="preserve">In July 2012, the FASB issued ASU 2012-02, </w:t>
      </w:r>
      <w:r>
        <w:rPr>
          <w:rFonts w:ascii="Arial" w:cs="Arial" w:eastAsia="Arial" w:hAnsi="Arial"/>
          <w:sz w:val="17"/>
          <w:szCs w:val="17"/>
          <w:i w:val="1"/>
          <w:iCs w:val="1"/>
          <w:color w:val="auto"/>
        </w:rPr>
        <w:t>Intangibles - Goodwill and Other (Topic 350): Testing Indefinite-Lived Intangible Assets for Impairment</w:t>
      </w:r>
      <w:r>
        <w:rPr>
          <w:rFonts w:ascii="Arial" w:cs="Arial" w:eastAsia="Arial" w:hAnsi="Arial"/>
          <w:sz w:val="17"/>
          <w:szCs w:val="17"/>
          <w:color w:val="auto"/>
        </w:rPr>
        <w:t xml:space="preserve"> (“ASU 2012-02”), which amends ASU 2011-08, </w:t>
      </w:r>
      <w:r>
        <w:rPr>
          <w:rFonts w:ascii="Arial" w:cs="Arial" w:eastAsia="Arial" w:hAnsi="Arial"/>
          <w:sz w:val="17"/>
          <w:szCs w:val="17"/>
          <w:i w:val="1"/>
          <w:iCs w:val="1"/>
          <w:color w:val="auto"/>
        </w:rPr>
        <w:t>Intangibles - Goodwill and Other (Topic 350): Testing Indefinite-Lived Intangible Assets for Impairment</w:t>
      </w:r>
      <w:r>
        <w:rPr>
          <w:rFonts w:ascii="Arial" w:cs="Arial" w:eastAsia="Arial" w:hAnsi="Arial"/>
          <w:sz w:val="17"/>
          <w:szCs w:val="17"/>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7"/>
          <w:szCs w:val="17"/>
          <w:i w:val="1"/>
          <w:iCs w:val="1"/>
          <w:color w:val="auto"/>
        </w:rPr>
        <w:t>Intangibles - Goodwill and Other -</w:t>
      </w:r>
      <w:r>
        <w:rPr>
          <w:rFonts w:ascii="Arial" w:cs="Arial" w:eastAsia="Arial" w:hAnsi="Arial"/>
          <w:sz w:val="17"/>
          <w:szCs w:val="17"/>
          <w:color w:val="auto"/>
        </w:rPr>
        <w:t xml:space="preserve"> </w:t>
      </w:r>
      <w:r>
        <w:rPr>
          <w:rFonts w:ascii="Arial" w:cs="Arial" w:eastAsia="Arial" w:hAnsi="Arial"/>
          <w:sz w:val="17"/>
          <w:szCs w:val="17"/>
          <w:i w:val="1"/>
          <w:iCs w:val="1"/>
          <w:color w:val="auto"/>
        </w:rPr>
        <w:t>General Intangibles Other than Goodwill</w:t>
      </w:r>
      <w:r>
        <w:rPr>
          <w:rFonts w:ascii="Arial" w:cs="Arial" w:eastAsia="Arial" w:hAnsi="Arial"/>
          <w:sz w:val="17"/>
          <w:szCs w:val="17"/>
          <w:color w:val="auto"/>
        </w:rPr>
        <w:t>. The amendments in ASU 2012-02 are effective for our interim and annual fiscal periods beginning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2013. The adoption of ASU 2012-02 did not have a material impact on our consolidated financial statements. As of September 30, 2013, the date of our 2013 annual assessment, our implied fair value was substantially in excess of our net book value, including goodwill. As such, we did not recognize an impairment charge during the three months ended September 30, 2013.</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subject to fluctuations due to changes in foreign currency exchange rates, particularly changes in the Japanese Yen and the European Euro relative to the U.S. Dollar. To date, we have not entered into any foreign currency hedging contracts.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We had cash, cash equivalents and short-term investments of $277.6 million as of September 30, 2013. Our cash balances deposited in U.S. banks are non-interest bearing and insured up to the FDIC limits. Cash equivalents consist of institutional money market funds, municipal bonds and commercial paper denominated primarily in U.S. Dollars. Interest rate fluctuations affect the returns on our invested funds.</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As of September 30, 2013, our short-term investments of $145.0 million were primarily invested in municipal bonds, commercial paper, U.S. government and agency securities and corporate bonds maturing between 90 days and 12 months. As of September 30, 2013, our investments were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September 30, 2013, we had not recorded an impairment related to our investments in the condensed consolidated statement of operations.</w:t>
      </w:r>
    </w:p>
    <w:p>
      <w:pPr>
        <w:spacing w:after="0" w:line="19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If overall interest rates had changed by 10% during the nine months ended September 30, 2013, the fair value of our investments would not have been materially affected.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believe that inflation has not had a material impact on our consolidated results of operations for the nine months ended September 30, 2013. There can be no assurance that future inflation will not have an adverse impact on our condensed consolidated results of operations or financial condition.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2013, our Chief Executive Officer and Chief Financial Officer concluded that, as of such date, the Company’s disclosure controls and procedures were effective at the reasonable assurance level.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which occurred during the period covered by this Quarterly Report on Form 10-Q which has materially affected, or is reasonably likely to materially affect, our internal control over financial reporting.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Refer to Note 10,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6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were incorporated in July 2008. 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 by companies we target to become clients. Our efforts to sell our solution to new and existing clients may not continue to be successful. We evaluate our business model from time to time in order to address the evolving needs of our clients and prospective clients, particularly in an industry that continues to develop and change. Furthermore, because we are a relatively new company with a limited operating history, current and prospective clients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lower subscription fees from clients whose annual subscription fees decrease due to declining operating income or revenue of such clients;</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right="1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50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21" w:lineRule="exact"/>
        <w:rPr>
          <w:rFonts w:ascii="Arial" w:cs="Arial" w:eastAsia="Arial" w:hAnsi="Arial"/>
          <w:sz w:val="18"/>
          <w:szCs w:val="18"/>
          <w:color w:val="auto"/>
        </w:rPr>
      </w:pPr>
    </w:p>
    <w:p>
      <w:pPr>
        <w:ind w:left="820" w:right="100" w:hanging="326"/>
        <w:spacing w:after="0" w:line="325"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22"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We have limited experience with respect to determining the appropriate metrics for establishing the annual subscription fees for our patent risk management solution. If the market for our solution develops more slowly than we anticipate, or if competitors introduce new solutions that compete with ours, we may be unable to renew our memberships or attract new clients at favorable prices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the same pricing model we have historically used. In the future, it is possible that competitive dynamics in our market may require us to change our pricing model, reduce our subscription fee rates, or consider adding new pricing programs or discounts, which could harm our operating results. If we introduce a higher fee schedule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88"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September 30, 2013 was 2.6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78"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a published fee schedule applicable to all of our clients that commence their membership while that fee schedule is in effect. Clients under such agreements are able to renew their memberships perpetually under the fee schedule in effect at the time that they became members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jc w:val="both"/>
        <w:ind w:right="340" w:firstLine="446"/>
        <w:spacing w:after="0" w:line="312" w:lineRule="auto"/>
        <w:rPr>
          <w:sz w:val="20"/>
          <w:szCs w:val="20"/>
          <w:color w:val="auto"/>
        </w:rPr>
      </w:pPr>
      <w:r>
        <w:rPr>
          <w:rFonts w:ascii="Arial" w:cs="Arial" w:eastAsia="Arial" w:hAnsi="Arial"/>
          <w:sz w:val="16"/>
          <w:szCs w:val="16"/>
          <w:color w:val="auto"/>
        </w:rPr>
        <w:t>Each client’s subscription fee is reset annually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4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Our fee schedules generally provide that our subscription fee as a percentage of the client’s operating income decreases as their operating income goes up. In addition, many of our clients’ fee schedules are subject to an annual cap. As a result, if one of our clients acquires another client, our future revenue would be reduced as a result of the application of our fee schedule to the combined entity rather than to each entity separately. Any reduction in subscription fees could harm our business and operating results.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more small and mid-size companies, our growth may slow, and our business may be harmed.</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have invested management time and resources into developing products designed to provide insurance against NPE patent infringement claims. We have little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20" w:firstLine="446"/>
        <w:spacing w:after="0" w:line="293" w:lineRule="auto"/>
        <w:rPr>
          <w:sz w:val="20"/>
          <w:szCs w:val="20"/>
          <w:color w:val="auto"/>
        </w:rPr>
      </w:pPr>
      <w:r>
        <w:rPr>
          <w:rFonts w:ascii="Arial" w:cs="Arial" w:eastAsia="Arial" w:hAnsi="Arial"/>
          <w:sz w:val="16"/>
          <w:szCs w:val="16"/>
          <w:color w:val="auto"/>
        </w:rPr>
        <w:t>We have invested management time and financial resources in the development of products designed to provide insurance against some of the costs resulting from NPE patent claims. We have also provided capital to develop and operate this business. We have little prior experience in designing insurance products, operating an insurance business, attracting policyholders or establishing the pricing or terms of insurance policies.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estimate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We utilize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66"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right="160"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8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22"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11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expect to increase future expenditures to develop and expand our business, including making substantial expenditures to develop new solutions. To further one of those new solutions, we formed a risk retention group which issues insurance policies to cover the costs of NPE patent claims. Developing and offering this new solution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8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nine months ended September 30, 2013, our 10 highest revenue-generating clients accounted for approximately 27%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We recently started to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and which could cause our expenses and earnings to vary significantly from quarter to quarter. If we do not estimate our underwriting risks and set our premiums successfully, we may incur larger losses on our policies than we expect, which could have an adverse effect on our results of operations and financial condition. Under accounting principles generally accepted in the United States of America, while revenue is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160" w:firstLine="446"/>
        <w:spacing w:after="0" w:line="286" w:lineRule="auto"/>
        <w:rPr>
          <w:sz w:val="20"/>
          <w:szCs w:val="20"/>
          <w:color w:val="auto"/>
        </w:rPr>
      </w:pPr>
      <w:r>
        <w:rPr>
          <w:rFonts w:ascii="Arial" w:cs="Arial" w:eastAsia="Arial" w:hAnsi="Arial"/>
          <w:sz w:val="17"/>
          <w:szCs w:val="17"/>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w:t>
      </w:r>
    </w:p>
    <w:p>
      <w:pPr>
        <w:spacing w:after="0" w:line="166" w:lineRule="exact"/>
        <w:rPr>
          <w:sz w:val="20"/>
          <w:szCs w:val="20"/>
          <w:color w:val="auto"/>
        </w:rPr>
      </w:pPr>
    </w:p>
    <w:p>
      <w:pPr>
        <w:ind w:right="700" w:firstLine="446"/>
        <w:spacing w:after="0" w:line="277" w:lineRule="auto"/>
        <w:rPr>
          <w:sz w:val="20"/>
          <w:szCs w:val="20"/>
          <w:color w:val="auto"/>
        </w:rPr>
      </w:pPr>
      <w:r>
        <w:rPr>
          <w:rFonts w:ascii="Arial" w:cs="Arial" w:eastAsia="Arial" w:hAnsi="Arial"/>
          <w:sz w:val="18"/>
          <w:szCs w:val="18"/>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69" w:lineRule="exact"/>
        <w:rPr>
          <w:sz w:val="20"/>
          <w:szCs w:val="20"/>
          <w:color w:val="auto"/>
        </w:rPr>
      </w:pPr>
    </w:p>
    <w:p>
      <w:pPr>
        <w:ind w:right="560"/>
        <w:spacing w:after="0" w:line="347" w:lineRule="auto"/>
        <w:rPr>
          <w:sz w:val="20"/>
          <w:szCs w:val="20"/>
          <w:color w:val="auto"/>
        </w:rPr>
      </w:pPr>
      <w:r>
        <w:rPr>
          <w:rFonts w:ascii="Arial" w:cs="Arial" w:eastAsia="Arial" w:hAnsi="Arial"/>
          <w:sz w:val="15"/>
          <w:szCs w:val="15"/>
          <w:b w:val="1"/>
          <w:bCs w:val="1"/>
          <w:i w:val="1"/>
          <w:iCs w:val="1"/>
          <w:color w:val="auto"/>
        </w:rPr>
        <w:t>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challenge our ability to provide satisfactory service and support to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6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4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6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effectively adapt to changes in the company’s management team, our ability to execute our business plan may suffer, which could have an adverse effect on our future growth, operating results and stock price.</w:t>
      </w:r>
    </w:p>
    <w:p>
      <w:pPr>
        <w:spacing w:after="0" w:line="22"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In May 2013, Ned Segal assumed the position of Chief Financial Officer. As a result of this and other periodic changes in personnel and positions, the members of our management team must assume new responsibilities. Our ability to execute our business plan will depend in part on the ability of our management team to develop new working relationships and adapt to changing responsibilities. Our stock price will also depend in part on our investors’ confidence in our management team. Any actual or perceived inability of our management team to execute our business plan could have an adverse effect on our future growth, operating results and stock price.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22"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incur significant increased costs that may adversely affect our operating results and financial condition.</w:t>
      </w:r>
    </w:p>
    <w:p>
      <w:pPr>
        <w:spacing w:after="0" w:line="77"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 2002 and the Dodd-Frank Wall Street Reform and Consumer Protection Act, as well as rules implemented by the SEC and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w:t>
      </w:r>
    </w:p>
    <w:p>
      <w:pPr>
        <w:spacing w:after="0" w:line="18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rates or exposure to additional tax liabilities could adversely affect our earnings and financial condition.</w:t>
      </w:r>
    </w:p>
    <w:p>
      <w:pPr>
        <w:spacing w:after="0" w:line="77"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are subject to income taxes in the United States and various foreign jurisdictions. Significant judgment is required in determining our provision for income taxes and other tax liabilities. In the ordinary course of our business, there are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jc w:val="both"/>
        <w:ind w:right="80" w:firstLine="446"/>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United States and various foreign jurisdictions. We are routinely under audit by tax authorities with respect to these non-income taxes and may have exposure to additional non-income tax liabilities that could have an adverse effect on our results of operations and financial condition.</w:t>
      </w:r>
    </w:p>
    <w:p>
      <w:pPr>
        <w:spacing w:after="0" w:line="166"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addition, our future effective tax rates could be favorably or unfavorably affected by changes in tax rates, changes in the valuation of our deferred tax assets or liabilities, changes in our legal structure or changes in tax laws or their interpretation. Such changes could have a material adverse impact on our financial results.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could vary as a result of the methods, estimates and judgments we use in applying our accounting policies.</w:t>
      </w:r>
    </w:p>
    <w:p>
      <w:pPr>
        <w:spacing w:after="0" w:line="8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As of September 30, 2013, we had secured quota share reinsurance for 50% of the risk underwritten through our NPE insurance product offering. The availability and cost of reinsurance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underwrite or look for alternatives to reinsurance. This, in turn, could have a material adverse effect on our financial condition or results of operations.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25"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right="8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20% of our outstanding common stock and will be able to exercise substantial influence over all matters requiring stockholder approval. This concentration of ownership limits your ability to influence corporate matters.</w:t>
      </w:r>
    </w:p>
    <w:p>
      <w:pPr>
        <w:spacing w:after="0" w:line="33"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As of September 30, 2013, affiliates of Charles River Ventures, KPCB Holdings, Inc. and affiliates of Index Ventures each beneficially owned approximately 4%, 4% and 5%, respectively, of our outstanding common stock, and our directors and executive officers and their affiliates, in the aggregate, beneficially owned approximately an additional 7% of our outstanding common stock. As a result, these stockholders will be able to exercise substantial influence over all matters requiring stockholder approval, including the election 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Charles River Ventures and KPCB Holdings, Inc. currently has a representative on our Board of Directors.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2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181"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color w:val="auto"/>
        </w:rPr>
        <w:t>As of September 30, 2013, some of our existing stockholders have demand and piggyback rights to require us to register with the SEC approximately 10,000,000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ectPr>
          <w:pgSz w:w="11900" w:h="16838" w:orient="portrait"/>
          <w:cols w:equalWidth="0" w:num="1">
            <w:col w:w="11420"/>
          </w:cols>
          <w:pgMar w:left="240" w:top="125" w:right="239" w:bottom="1440" w:gutter="0" w:footer="0" w:header="0"/>
        </w:sectPr>
      </w:pP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21" w:lineRule="exact"/>
        <w:rPr>
          <w:sz w:val="20"/>
          <w:szCs w:val="20"/>
          <w:color w:val="auto"/>
        </w:rPr>
      </w:pPr>
    </w:p>
    <w:p>
      <w:pPr>
        <w:sectPr>
          <w:pgSz w:w="11900" w:h="16838" w:orient="portrait"/>
          <w:cols w:equalWidth="0" w:num="2">
            <w:col w:w="6200" w:space="120"/>
            <w:col w:w="5100"/>
          </w:cols>
          <w:pgMar w:left="240" w:top="125" w:right="239" w:bottom="1440" w:gutter="0" w:footer="0" w:header="0"/>
          <w:type w:val="continuous"/>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300" w:type="dxa"/>
            <w:vAlign w:val="bottom"/>
            <w:gridSpan w:val="3"/>
          </w:tcPr>
          <w:p>
            <w:pPr>
              <w:ind w:left="1720"/>
              <w:spacing w:after="0"/>
              <w:rPr>
                <w:sz w:val="20"/>
                <w:szCs w:val="20"/>
                <w:color w:val="auto"/>
              </w:rPr>
            </w:pPr>
            <w:r>
              <w:rPr>
                <w:rFonts w:ascii="Arial" w:cs="Arial" w:eastAsia="Arial" w:hAnsi="Arial"/>
                <w:sz w:val="18"/>
                <w:szCs w:val="18"/>
                <w:color w:val="auto"/>
              </w:rPr>
              <w:t>RPX CORPORATION</w:t>
            </w:r>
          </w:p>
        </w:tc>
      </w:tr>
      <w:tr>
        <w:trPr>
          <w:trHeight w:val="270"/>
        </w:trPr>
        <w:tc>
          <w:tcPr>
            <w:tcW w:w="3480" w:type="dxa"/>
            <w:vAlign w:val="bottom"/>
          </w:tcPr>
          <w:p>
            <w:pPr>
              <w:spacing w:after="0"/>
              <w:rPr>
                <w:sz w:val="23"/>
                <w:szCs w:val="23"/>
                <w:color w:val="auto"/>
              </w:rPr>
            </w:pPr>
          </w:p>
        </w:tc>
        <w:tc>
          <w:tcPr>
            <w:tcW w:w="2700" w:type="dxa"/>
            <w:vAlign w:val="bottom"/>
            <w:gridSpan w:val="2"/>
          </w:tcPr>
          <w:p>
            <w:pPr>
              <w:ind w:left="1720"/>
              <w:spacing w:after="0"/>
              <w:rPr>
                <w:sz w:val="20"/>
                <w:szCs w:val="20"/>
                <w:color w:val="auto"/>
              </w:rPr>
            </w:pPr>
            <w:r>
              <w:rPr>
                <w:rFonts w:ascii="Arial" w:cs="Arial" w:eastAsia="Arial" w:hAnsi="Arial"/>
                <w:sz w:val="18"/>
                <w:szCs w:val="18"/>
                <w:color w:val="auto"/>
              </w:rPr>
              <w:t>(Registrant)</w:t>
            </w:r>
          </w:p>
        </w:tc>
        <w:tc>
          <w:tcPr>
            <w:tcW w:w="4600" w:type="dxa"/>
            <w:vAlign w:val="bottom"/>
          </w:tcPr>
          <w:p>
            <w:pPr>
              <w:spacing w:after="0"/>
              <w:rPr>
                <w:sz w:val="23"/>
                <w:szCs w:val="23"/>
                <w:color w:val="auto"/>
              </w:rPr>
            </w:pPr>
          </w:p>
        </w:tc>
      </w:tr>
      <w:tr>
        <w:trPr>
          <w:trHeight w:val="594"/>
        </w:trPr>
        <w:tc>
          <w:tcPr>
            <w:tcW w:w="3480" w:type="dxa"/>
            <w:vAlign w:val="bottom"/>
          </w:tcPr>
          <w:p>
            <w:pPr>
              <w:spacing w:after="0"/>
              <w:rPr>
                <w:sz w:val="20"/>
                <w:szCs w:val="20"/>
                <w:color w:val="auto"/>
              </w:rPr>
            </w:pPr>
            <w:r>
              <w:rPr>
                <w:rFonts w:ascii="Arial" w:cs="Arial" w:eastAsia="Arial" w:hAnsi="Arial"/>
                <w:sz w:val="18"/>
                <w:szCs w:val="18"/>
                <w:color w:val="auto"/>
              </w:rPr>
              <w:t>Date: November 6, 2013</w:t>
            </w:r>
          </w:p>
        </w:tc>
        <w:tc>
          <w:tcPr>
            <w:tcW w:w="2700" w:type="dxa"/>
            <w:vAlign w:val="bottom"/>
            <w:gridSpan w:val="2"/>
          </w:tcPr>
          <w:p>
            <w:pPr>
              <w:ind w:left="1720"/>
              <w:spacing w:after="0"/>
              <w:rPr>
                <w:sz w:val="20"/>
                <w:szCs w:val="20"/>
                <w:color w:val="auto"/>
              </w:rPr>
            </w:pPr>
            <w:r>
              <w:rPr>
                <w:rFonts w:ascii="Arial" w:cs="Arial" w:eastAsia="Arial" w:hAnsi="Arial"/>
                <w:sz w:val="18"/>
                <w:szCs w:val="18"/>
                <w:color w:val="auto"/>
              </w:rPr>
              <w:t>By:</w:t>
            </w:r>
          </w:p>
        </w:tc>
        <w:tc>
          <w:tcPr>
            <w:tcW w:w="4600" w:type="dxa"/>
            <w:vAlign w:val="bottom"/>
          </w:tcPr>
          <w:p>
            <w:pPr>
              <w:ind w:left="120"/>
              <w:spacing w:after="0"/>
              <w:rPr>
                <w:sz w:val="20"/>
                <w:szCs w:val="20"/>
                <w:color w:val="auto"/>
              </w:rPr>
            </w:pPr>
            <w:r>
              <w:rPr>
                <w:rFonts w:ascii="Arial" w:cs="Arial" w:eastAsia="Arial" w:hAnsi="Arial"/>
                <w:sz w:val="18"/>
                <w:szCs w:val="18"/>
                <w:color w:val="auto"/>
              </w:rPr>
              <w:t>/s/ JOHN A. AMSTER</w:t>
            </w:r>
          </w:p>
        </w:tc>
      </w:tr>
      <w:tr>
        <w:trPr>
          <w:trHeight w:val="27"/>
        </w:trPr>
        <w:tc>
          <w:tcPr>
            <w:tcW w:w="3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John A. Amster</w:t>
            </w:r>
          </w:p>
        </w:tc>
      </w:tr>
      <w:tr>
        <w:trPr>
          <w:trHeight w:val="270"/>
        </w:trPr>
        <w:tc>
          <w:tcPr>
            <w:tcW w:w="34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70"/>
        </w:trPr>
        <w:tc>
          <w:tcPr>
            <w:tcW w:w="34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480" w:type="dxa"/>
            <w:vAlign w:val="bottom"/>
          </w:tcPr>
          <w:p>
            <w:pPr>
              <w:spacing w:after="0"/>
              <w:rPr>
                <w:sz w:val="20"/>
                <w:szCs w:val="20"/>
                <w:color w:val="auto"/>
              </w:rPr>
            </w:pPr>
            <w:r>
              <w:rPr>
                <w:rFonts w:ascii="Arial" w:cs="Arial" w:eastAsia="Arial" w:hAnsi="Arial"/>
                <w:sz w:val="18"/>
                <w:szCs w:val="18"/>
                <w:color w:val="auto"/>
              </w:rPr>
              <w:t>Date: November 6, 2013</w:t>
            </w:r>
          </w:p>
        </w:tc>
        <w:tc>
          <w:tcPr>
            <w:tcW w:w="2700" w:type="dxa"/>
            <w:vAlign w:val="bottom"/>
            <w:gridSpan w:val="2"/>
          </w:tcPr>
          <w:p>
            <w:pPr>
              <w:ind w:left="1720"/>
              <w:spacing w:after="0"/>
              <w:rPr>
                <w:sz w:val="20"/>
                <w:szCs w:val="20"/>
                <w:color w:val="auto"/>
              </w:rPr>
            </w:pPr>
            <w:r>
              <w:rPr>
                <w:rFonts w:ascii="Arial" w:cs="Arial" w:eastAsia="Arial" w:hAnsi="Arial"/>
                <w:sz w:val="18"/>
                <w:szCs w:val="18"/>
                <w:color w:val="auto"/>
              </w:rPr>
              <w:t>By:</w:t>
            </w:r>
          </w:p>
        </w:tc>
        <w:tc>
          <w:tcPr>
            <w:tcW w:w="4600" w:type="dxa"/>
            <w:vAlign w:val="bottom"/>
          </w:tcPr>
          <w:p>
            <w:pPr>
              <w:ind w:left="120"/>
              <w:spacing w:after="0"/>
              <w:rPr>
                <w:sz w:val="20"/>
                <w:szCs w:val="20"/>
                <w:color w:val="auto"/>
              </w:rPr>
            </w:pPr>
            <w:r>
              <w:rPr>
                <w:rFonts w:ascii="Arial" w:cs="Arial" w:eastAsia="Arial" w:hAnsi="Arial"/>
                <w:sz w:val="18"/>
                <w:szCs w:val="18"/>
                <w:color w:val="auto"/>
              </w:rPr>
              <w:t>/s/ NED SEGAL</w:t>
            </w:r>
          </w:p>
        </w:tc>
      </w:tr>
      <w:tr>
        <w:trPr>
          <w:trHeight w:val="27"/>
        </w:trPr>
        <w:tc>
          <w:tcPr>
            <w:tcW w:w="34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Ned Segal</w:t>
            </w:r>
          </w:p>
        </w:tc>
      </w:tr>
      <w:tr>
        <w:trPr>
          <w:trHeight w:val="270"/>
        </w:trPr>
        <w:tc>
          <w:tcPr>
            <w:tcW w:w="34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34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480" w:type="dxa"/>
            <w:vAlign w:val="bottom"/>
          </w:tcPr>
          <w:p>
            <w:pPr>
              <w:spacing w:after="0"/>
              <w:rPr>
                <w:sz w:val="24"/>
                <w:szCs w:val="24"/>
                <w:color w:val="auto"/>
              </w:rPr>
            </w:pPr>
          </w:p>
        </w:tc>
        <w:tc>
          <w:tcPr>
            <w:tcW w:w="2700" w:type="dxa"/>
            <w:vAlign w:val="bottom"/>
            <w:gridSpan w:val="2"/>
          </w:tcPr>
          <w:p>
            <w:pPr>
              <w:ind w:left="2100"/>
              <w:spacing w:after="0"/>
              <w:rPr>
                <w:sz w:val="20"/>
                <w:szCs w:val="20"/>
                <w:color w:val="auto"/>
              </w:rPr>
            </w:pPr>
            <w:r>
              <w:rPr>
                <w:rFonts w:ascii="Arial" w:cs="Arial" w:eastAsia="Arial" w:hAnsi="Arial"/>
                <w:sz w:val="18"/>
                <w:szCs w:val="18"/>
                <w:color w:val="auto"/>
              </w:rPr>
              <w:t>36</w:t>
            </w:r>
          </w:p>
        </w:tc>
        <w:tc>
          <w:tcPr>
            <w:tcW w:w="4600" w:type="dxa"/>
            <w:vAlign w:val="bottom"/>
          </w:tcPr>
          <w:p>
            <w:pPr>
              <w:spacing w:after="0"/>
              <w:rPr>
                <w:sz w:val="24"/>
                <w:szCs w:val="24"/>
                <w:color w:val="auto"/>
              </w:rPr>
            </w:pPr>
          </w:p>
        </w:tc>
      </w:tr>
    </w:tbl>
    <w:p>
      <w:pPr>
        <w:sectPr>
          <w:pgSz w:w="11900" w:h="16838" w:orient="portrait"/>
          <w:cols w:equalWidth="0" w:num="1">
            <w:col w:w="10820"/>
          </w:cols>
          <w:pgMar w:left="240" w:top="125" w:right="8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Ned Segal, certify that:</w:t>
      </w:r>
    </w:p>
    <w:p>
      <w:pPr>
        <w:spacing w:after="0" w:line="90" w:lineRule="exact"/>
        <w:rPr>
          <w:sz w:val="20"/>
          <w:szCs w:val="20"/>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September 30, 2013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September 30, 2013 of RPX Corporation, (the “Company”) as filed with the Securities and Exchange Commission on the date hereof (the “Report”), I, Ned Segal,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1."/>
      <w:numFmt w:val="decimal"/>
      <w:start w:val="6"/>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2019-12-07T23:23:56Z</dcterms:created>
  <dcterms:modified xsi:type="dcterms:W3CDTF">2019-12-07T23:23:56Z</dcterms:modified>
</cp:coreProperties>
</file>