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20"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SCHEDULE 14A</w:t>
      </w:r>
    </w:p>
    <w:p>
      <w:pPr>
        <w:spacing w:after="0" w:line="72"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right="4960" w:firstLine="8"/>
        <w:spacing w:after="0" w:line="356"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3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09"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RPX Corporation</w:t>
      </w:r>
    </w:p>
    <w:p>
      <w:pPr>
        <w:spacing w:after="0" w:line="224"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spacing w:after="0"/>
        <w:tabs>
          <w:tab w:leader="none" w:pos="2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sz w:val="24"/>
          <w:szCs w:val="24"/>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filing fee is calculated and state how it was determined):</w:t>
      </w:r>
    </w:p>
    <w:p>
      <w:pPr>
        <w:spacing w:after="0" w:line="61"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360" w:hanging="352"/>
        <w:spacing w:after="0"/>
        <w:tabs>
          <w:tab w:leader="none" w:pos="3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sz w:val="24"/>
          <w:szCs w:val="24"/>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11180"/>
          </w:cols>
          <w:pgMar w:left="240" w:top="693"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3064510</wp:posOffset>
            </wp:positionH>
            <wp:positionV relativeFrom="page">
              <wp:posOffset>431800</wp:posOffset>
            </wp:positionV>
            <wp:extent cx="14408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75438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17,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RPX Corporation: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annual meeting of stockholders for RPX Corporation (the “Company”) will be held at the offices of the Company at One Market Plaza, Steuart Tower, Suite 800, San Francisco, California 94105, on Tuesday, June 17, 2014, at 10:00 a.m. local time. The purposes of the meeting are:</w:t>
      </w:r>
    </w:p>
    <w:p>
      <w:pPr>
        <w:spacing w:after="0" w:line="147"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the three Class III directors named in this proxy statement (Proposal 1);</w:t>
      </w:r>
    </w:p>
    <w:p>
      <w:pPr>
        <w:spacing w:after="0" w:line="23"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2014 (Proposal 2); and</w:t>
      </w:r>
    </w:p>
    <w:p>
      <w:pPr>
        <w:ind w:left="420" w:hanging="398"/>
        <w:spacing w:after="0"/>
        <w:tabs>
          <w:tab w:leader="none" w:pos="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fixed the close of business on April 24, 2014 as the record date for determining holders of our common stock entitled to notice of, and to vote at, the annual meeting or any adjournments or postponements thereof. A complete list of such stockholders will be available for examination at our offices in San Francisco, California during normal business hours for a period of ten days prior to the annual meeting.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Your vote is important. Please vote by using the Internet or by telephone or, if you received a paper copy of the proxy card by mail, by signing and returning the enclosed proxy card. Instructions for your voting options are described on the Notice of Internet Availability of Proxy Materials or proxy card.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17, 2014: The proxy statement and annual report are available at http://ir.rpxcorp.com/annual-proxy.cfm.</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14605</wp:posOffset>
            </wp:positionV>
            <wp:extent cx="155194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Martin E. Roberts</w:t>
      </w:r>
    </w:p>
    <w:p>
      <w:pPr>
        <w:spacing w:after="0" w:line="1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Secretary of the Company</w:t>
      </w: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29, 2014</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June 17, 2014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77"/>
              </w:rPr>
              <w:t>Page</w:t>
            </w:r>
          </w:p>
        </w:tc>
        <w:tc>
          <w:tcPr>
            <w:tcW w:w="0" w:type="dxa"/>
            <w:vAlign w:val="bottom"/>
          </w:tcPr>
          <w:p>
            <w:pPr>
              <w:spacing w:after="0"/>
              <w:rPr>
                <w:sz w:val="1"/>
                <w:szCs w:val="1"/>
                <w:color w:val="auto"/>
              </w:rPr>
            </w:pPr>
          </w:p>
        </w:tc>
      </w:tr>
      <w:tr>
        <w:trPr>
          <w:trHeight w:val="183"/>
        </w:trPr>
        <w:tc>
          <w:tcPr>
            <w:tcW w:w="10600" w:type="dxa"/>
            <w:vAlign w:val="bottom"/>
            <w:gridSpan w:val="33"/>
          </w:tcPr>
          <w:p>
            <w:pPr>
              <w:spacing w:after="0" w:line="163" w:lineRule="exact"/>
              <w:rPr>
                <w:rFonts w:ascii="Arial" w:cs="Arial" w:eastAsia="Arial" w:hAnsi="Arial"/>
                <w:sz w:val="15"/>
                <w:szCs w:val="15"/>
                <w:color w:val="0000EE"/>
              </w:rPr>
            </w:pPr>
            <w:hyperlink w:anchor="page3">
              <w:r>
                <w:rPr>
                  <w:rFonts w:ascii="Arial" w:cs="Arial" w:eastAsia="Arial" w:hAnsi="Arial"/>
                  <w:sz w:val="15"/>
                  <w:szCs w:val="15"/>
                  <w:color w:val="0000EE"/>
                </w:rPr>
                <w:t>QUESTIONS AND ANSWERS ABOUT THIS PROXY MATERIAL AND VOTING</w:t>
              </w:r>
            </w:hyperlink>
          </w:p>
        </w:tc>
        <w:tc>
          <w:tcPr>
            <w:tcW w:w="180" w:type="dxa"/>
            <w:vAlign w:val="bottom"/>
            <w:gridSpan w:val="2"/>
          </w:tcPr>
          <w:p>
            <w:pPr>
              <w:jc w:val="center"/>
              <w:ind w:left="23"/>
              <w:spacing w:after="0" w:line="169" w:lineRule="exact"/>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0000EE"/>
            </w:tcBorders>
            <w:gridSpan w:val="16"/>
            <w:vMerge w:val="restart"/>
          </w:tcPr>
          <w:p>
            <w:pPr>
              <w:spacing w:after="0"/>
              <w:rPr>
                <w:rFonts w:ascii="Arial" w:cs="Arial" w:eastAsia="Arial" w:hAnsi="Arial"/>
                <w:sz w:val="15"/>
                <w:szCs w:val="15"/>
                <w:color w:val="0000EE"/>
                <w:w w:val="95"/>
              </w:rPr>
            </w:pPr>
            <w:hyperlink w:anchor="page10">
              <w:r>
                <w:rPr>
                  <w:rFonts w:ascii="Arial" w:cs="Arial" w:eastAsia="Arial" w:hAnsi="Arial"/>
                  <w:sz w:val="15"/>
                  <w:szCs w:val="15"/>
                  <w:color w:val="0000EE"/>
                  <w:w w:val="95"/>
                </w:rPr>
                <w:t>PROPOSAL 1: ELECTION OF DIRECTORS</w:t>
              </w:r>
            </w:hyperlink>
          </w:p>
        </w:tc>
        <w:tc>
          <w:tcPr>
            <w:tcW w:w="2440" w:type="dxa"/>
            <w:vAlign w:val="bottom"/>
            <w:tcBorders>
              <w:top w:val="single" w:sz="8" w:color="0000EE"/>
            </w:tcBorders>
            <w:gridSpan w:val="13"/>
            <w:vMerge w:val="restart"/>
          </w:tcPr>
          <w:p>
            <w:pPr>
              <w:spacing w:after="0" w:line="20" w:lineRule="exact"/>
              <w:rPr>
                <w:sz w:val="1"/>
                <w:szCs w:val="1"/>
                <w:color w:val="auto"/>
              </w:rPr>
            </w:pPr>
          </w:p>
        </w:tc>
        <w:tc>
          <w:tcPr>
            <w:tcW w:w="5320" w:type="dxa"/>
            <w:vAlign w:val="bottom"/>
            <w:gridSpan w:val="4"/>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840" w:type="dxa"/>
            <w:vAlign w:val="bottom"/>
            <w:tcBorders>
              <w:bottom w:val="single" w:sz="8" w:color="0000EE"/>
            </w:tcBorders>
            <w:gridSpan w:val="16"/>
            <w:vMerge w:val="continue"/>
          </w:tcPr>
          <w:p>
            <w:pPr>
              <w:spacing w:after="0"/>
              <w:rPr>
                <w:sz w:val="15"/>
                <w:szCs w:val="15"/>
                <w:color w:val="auto"/>
              </w:rPr>
            </w:pPr>
          </w:p>
        </w:tc>
        <w:tc>
          <w:tcPr>
            <w:tcW w:w="2440" w:type="dxa"/>
            <w:vAlign w:val="bottom"/>
            <w:gridSpan w:val="13"/>
            <w:vMerge w:val="continue"/>
          </w:tcPr>
          <w:p>
            <w:pPr>
              <w:spacing w:after="0"/>
              <w:rPr>
                <w:sz w:val="15"/>
                <w:szCs w:val="15"/>
                <w:color w:val="auto"/>
              </w:rPr>
            </w:pPr>
          </w:p>
        </w:tc>
        <w:tc>
          <w:tcPr>
            <w:tcW w:w="53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center"/>
              <w:spacing w:after="0" w:line="169" w:lineRule="exact"/>
              <w:rPr>
                <w:rFonts w:ascii="Arial" w:cs="Arial" w:eastAsia="Arial" w:hAnsi="Arial"/>
                <w:sz w:val="15"/>
                <w:szCs w:val="15"/>
                <w:color w:val="0000EE"/>
                <w:w w:val="95"/>
              </w:rPr>
            </w:pPr>
            <w:hyperlink w:anchor="page10">
              <w:r>
                <w:rPr>
                  <w:rFonts w:ascii="Arial" w:cs="Arial" w:eastAsia="Arial" w:hAnsi="Arial"/>
                  <w:sz w:val="15"/>
                  <w:szCs w:val="15"/>
                  <w:color w:val="0000EE"/>
                  <w:w w:val="95"/>
                </w:rPr>
                <w:t>8</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220" w:type="dxa"/>
            <w:vAlign w:val="bottom"/>
            <w:gridSpan w:val="32"/>
            <w:vMerge w:val="restart"/>
          </w:tcPr>
          <w:p>
            <w:pPr>
              <w:spacing w:after="0"/>
              <w:rPr>
                <w:rFonts w:ascii="Arial" w:cs="Arial" w:eastAsia="Arial" w:hAnsi="Arial"/>
                <w:sz w:val="15"/>
                <w:szCs w:val="15"/>
                <w:color w:val="0000EE"/>
              </w:rPr>
            </w:pPr>
            <w:hyperlink w:anchor="page11">
              <w:r>
                <w:rPr>
                  <w:rFonts w:ascii="Arial" w:cs="Arial" w:eastAsia="Arial" w:hAnsi="Arial"/>
                  <w:sz w:val="15"/>
                  <w:szCs w:val="15"/>
                  <w:color w:val="0000EE"/>
                </w:rPr>
                <w:t>Nominees for Election as Class III Directors at the Annual Meeting</w:t>
              </w:r>
            </w:hyperlink>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center"/>
              <w:spacing w:after="0" w:line="169" w:lineRule="exact"/>
              <w:rPr>
                <w:rFonts w:ascii="Arial" w:cs="Arial" w:eastAsia="Arial" w:hAnsi="Arial"/>
                <w:sz w:val="15"/>
                <w:szCs w:val="15"/>
                <w:color w:val="0000EE"/>
                <w:w w:val="95"/>
              </w:rPr>
            </w:pPr>
            <w:hyperlink w:anchor="page11">
              <w:r>
                <w:rPr>
                  <w:rFonts w:ascii="Arial" w:cs="Arial" w:eastAsia="Arial" w:hAnsi="Arial"/>
                  <w:sz w:val="15"/>
                  <w:szCs w:val="15"/>
                  <w:color w:val="0000EE"/>
                  <w:w w:val="95"/>
                </w:rPr>
                <w:t>8</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40" w:type="dxa"/>
            <w:vAlign w:val="bottom"/>
            <w:tcBorders>
              <w:top w:val="single" w:sz="8" w:color="0000EE"/>
            </w:tcBorders>
            <w:gridSpan w:val="24"/>
            <w:vMerge w:val="restart"/>
          </w:tcPr>
          <w:p>
            <w:pPr>
              <w:spacing w:after="0"/>
              <w:rPr>
                <w:rFonts w:ascii="Arial" w:cs="Arial" w:eastAsia="Arial" w:hAnsi="Arial"/>
                <w:sz w:val="15"/>
                <w:szCs w:val="15"/>
                <w:color w:val="0000EE"/>
                <w:w w:val="91"/>
              </w:rPr>
            </w:pPr>
            <w:hyperlink w:anchor="page12">
              <w:r>
                <w:rPr>
                  <w:rFonts w:ascii="Arial" w:cs="Arial" w:eastAsia="Arial" w:hAnsi="Arial"/>
                  <w:sz w:val="15"/>
                  <w:szCs w:val="15"/>
                  <w:color w:val="0000EE"/>
                  <w:w w:val="91"/>
                </w:rPr>
                <w:t>Required Vote and Recommendation of the Board for Proposal 1</w:t>
              </w:r>
            </w:hyperlink>
          </w:p>
        </w:tc>
        <w:tc>
          <w:tcPr>
            <w:tcW w:w="160" w:type="dxa"/>
            <w:vAlign w:val="bottom"/>
            <w:tcBorders>
              <w:top w:val="single" w:sz="8" w:color="0000EE"/>
            </w:tcBorders>
            <w:gridSpan w:val="2"/>
            <w:vMerge w:val="restart"/>
          </w:tcPr>
          <w:p>
            <w:pPr>
              <w:spacing w:after="0" w:line="20" w:lineRule="exact"/>
              <w:rPr>
                <w:sz w:val="1"/>
                <w:szCs w:val="1"/>
                <w:color w:val="auto"/>
              </w:rPr>
            </w:pPr>
          </w:p>
        </w:tc>
        <w:tc>
          <w:tcPr>
            <w:tcW w:w="6120" w:type="dxa"/>
            <w:vAlign w:val="bottom"/>
            <w:gridSpan w:val="6"/>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3940" w:type="dxa"/>
            <w:vAlign w:val="bottom"/>
            <w:tcBorders>
              <w:bottom w:val="single" w:sz="8" w:color="0000EE"/>
            </w:tcBorders>
            <w:gridSpan w:val="24"/>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12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center"/>
              <w:spacing w:after="0" w:line="169" w:lineRule="exact"/>
              <w:rPr>
                <w:rFonts w:ascii="Arial" w:cs="Arial" w:eastAsia="Arial" w:hAnsi="Arial"/>
                <w:sz w:val="15"/>
                <w:szCs w:val="15"/>
                <w:color w:val="0000EE"/>
                <w:w w:val="95"/>
              </w:rPr>
            </w:pPr>
            <w:hyperlink w:anchor="page12">
              <w:r>
                <w:rPr>
                  <w:rFonts w:ascii="Arial" w:cs="Arial" w:eastAsia="Arial" w:hAnsi="Arial"/>
                  <w:sz w:val="15"/>
                  <w:szCs w:val="15"/>
                  <w:color w:val="0000EE"/>
                  <w:w w:val="95"/>
                </w:rPr>
                <w:t>9</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gridSpan w:val="17"/>
            <w:vMerge w:val="restart"/>
          </w:tcPr>
          <w:p>
            <w:pPr>
              <w:spacing w:after="0"/>
              <w:rPr>
                <w:rFonts w:ascii="Arial" w:cs="Arial" w:eastAsia="Arial" w:hAnsi="Arial"/>
                <w:sz w:val="15"/>
                <w:szCs w:val="15"/>
                <w:color w:val="0000EE"/>
                <w:w w:val="93"/>
              </w:rPr>
            </w:pPr>
            <w:hyperlink w:anchor="page12">
              <w:r>
                <w:rPr>
                  <w:rFonts w:ascii="Arial" w:cs="Arial" w:eastAsia="Arial" w:hAnsi="Arial"/>
                  <w:sz w:val="15"/>
                  <w:szCs w:val="15"/>
                  <w:color w:val="0000EE"/>
                  <w:w w:val="93"/>
                </w:rPr>
                <w:t>Continuing Directors Not Standing for Election</w:t>
              </w:r>
            </w:hyperlink>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2880" w:type="dxa"/>
            <w:vAlign w:val="bottom"/>
            <w:tcBorders>
              <w:bottom w:val="single" w:sz="8" w:color="0000EE"/>
            </w:tcBorders>
            <w:gridSpan w:val="17"/>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center"/>
              <w:spacing w:after="0"/>
              <w:rPr>
                <w:rFonts w:ascii="Arial" w:cs="Arial" w:eastAsia="Arial" w:hAnsi="Arial"/>
                <w:sz w:val="15"/>
                <w:szCs w:val="15"/>
                <w:color w:val="0000EE"/>
                <w:w w:val="95"/>
              </w:rPr>
            </w:pPr>
            <w:hyperlink w:anchor="page12">
              <w:r>
                <w:rPr>
                  <w:rFonts w:ascii="Arial" w:cs="Arial" w:eastAsia="Arial" w:hAnsi="Arial"/>
                  <w:sz w:val="15"/>
                  <w:szCs w:val="15"/>
                  <w:color w:val="0000EE"/>
                  <w:w w:val="95"/>
                </w:rPr>
                <w:t>9</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gridSpan w:val="9"/>
            <w:vMerge w:val="restart"/>
          </w:tcPr>
          <w:p>
            <w:pPr>
              <w:spacing w:after="0"/>
              <w:rPr>
                <w:rFonts w:ascii="Arial" w:cs="Arial" w:eastAsia="Arial" w:hAnsi="Arial"/>
                <w:sz w:val="15"/>
                <w:szCs w:val="15"/>
                <w:color w:val="0000EE"/>
                <w:w w:val="95"/>
              </w:rPr>
            </w:pPr>
            <w:hyperlink w:anchor="page15">
              <w:r>
                <w:rPr>
                  <w:rFonts w:ascii="Arial" w:cs="Arial" w:eastAsia="Arial" w:hAnsi="Arial"/>
                  <w:sz w:val="15"/>
                  <w:szCs w:val="15"/>
                  <w:color w:val="0000EE"/>
                  <w:w w:val="95"/>
                </w:rPr>
                <w:t>CORPORATE GOVERNANCE</w:t>
              </w:r>
            </w:hyperlink>
          </w:p>
        </w:tc>
        <w:tc>
          <w:tcPr>
            <w:tcW w:w="8620" w:type="dxa"/>
            <w:vAlign w:val="bottom"/>
            <w:gridSpan w:val="24"/>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980" w:type="dxa"/>
            <w:vAlign w:val="bottom"/>
            <w:tcBorders>
              <w:bottom w:val="single" w:sz="8" w:color="0000EE"/>
            </w:tcBorders>
            <w:gridSpan w:val="9"/>
            <w:vMerge w:val="continue"/>
          </w:tcPr>
          <w:p>
            <w:pPr>
              <w:spacing w:after="0"/>
              <w:rPr>
                <w:sz w:val="15"/>
                <w:szCs w:val="15"/>
                <w:color w:val="auto"/>
              </w:rPr>
            </w:pPr>
          </w:p>
        </w:tc>
        <w:tc>
          <w:tcPr>
            <w:tcW w:w="8620" w:type="dxa"/>
            <w:vAlign w:val="bottom"/>
            <w:gridSpan w:val="24"/>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5">
              <w:r>
                <w:rPr>
                  <w:rFonts w:ascii="Arial" w:cs="Arial" w:eastAsia="Arial" w:hAnsi="Arial"/>
                  <w:sz w:val="15"/>
                  <w:szCs w:val="15"/>
                  <w:color w:val="0000EE"/>
                  <w:w w:val="83"/>
                </w:rPr>
                <w:t>12</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gridSpan w:val="6"/>
            <w:vMerge w:val="restart"/>
          </w:tcPr>
          <w:p>
            <w:pPr>
              <w:spacing w:after="0"/>
              <w:rPr>
                <w:rFonts w:ascii="Arial" w:cs="Arial" w:eastAsia="Arial" w:hAnsi="Arial"/>
                <w:sz w:val="15"/>
                <w:szCs w:val="15"/>
                <w:color w:val="0000EE"/>
                <w:w w:val="89"/>
              </w:rPr>
            </w:pPr>
            <w:hyperlink w:anchor="page15">
              <w:r>
                <w:rPr>
                  <w:rFonts w:ascii="Arial" w:cs="Arial" w:eastAsia="Arial" w:hAnsi="Arial"/>
                  <w:sz w:val="15"/>
                  <w:szCs w:val="15"/>
                  <w:color w:val="0000EE"/>
                  <w:w w:val="89"/>
                </w:rPr>
                <w:t>Independent Directors</w:t>
              </w:r>
            </w:hyperlink>
          </w:p>
        </w:tc>
        <w:tc>
          <w:tcPr>
            <w:tcW w:w="8880" w:type="dxa"/>
            <w:vAlign w:val="bottom"/>
            <w:gridSpan w:val="26"/>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1340" w:type="dxa"/>
            <w:vAlign w:val="bottom"/>
            <w:tcBorders>
              <w:bottom w:val="single" w:sz="8" w:color="0000EE"/>
            </w:tcBorders>
            <w:gridSpan w:val="6"/>
            <w:vMerge w:val="continue"/>
          </w:tcPr>
          <w:p>
            <w:pPr>
              <w:spacing w:after="0"/>
              <w:rPr>
                <w:sz w:val="15"/>
                <w:szCs w:val="15"/>
                <w:color w:val="auto"/>
              </w:rPr>
            </w:pPr>
          </w:p>
        </w:tc>
        <w:tc>
          <w:tcPr>
            <w:tcW w:w="8880" w:type="dxa"/>
            <w:vAlign w:val="bottom"/>
            <w:gridSpan w:val="26"/>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5">
              <w:r>
                <w:rPr>
                  <w:rFonts w:ascii="Arial" w:cs="Arial" w:eastAsia="Arial" w:hAnsi="Arial"/>
                  <w:sz w:val="15"/>
                  <w:szCs w:val="15"/>
                  <w:color w:val="0000EE"/>
                  <w:w w:val="83"/>
                </w:rPr>
                <w:t>12</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220" w:type="dxa"/>
            <w:vAlign w:val="bottom"/>
            <w:gridSpan w:val="32"/>
            <w:vMerge w:val="restart"/>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Board Committees</w:t>
              </w:r>
            </w:hyperlink>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5">
              <w:r>
                <w:rPr>
                  <w:rFonts w:ascii="Arial" w:cs="Arial" w:eastAsia="Arial" w:hAnsi="Arial"/>
                  <w:sz w:val="15"/>
                  <w:szCs w:val="15"/>
                  <w:color w:val="0000EE"/>
                  <w:w w:val="83"/>
                </w:rPr>
                <w:t>12</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tcPr>
          <w:p>
            <w:pPr>
              <w:spacing w:after="0" w:line="163" w:lineRule="exact"/>
              <w:rPr>
                <w:rFonts w:ascii="Arial" w:cs="Arial" w:eastAsia="Arial" w:hAnsi="Arial"/>
                <w:sz w:val="15"/>
                <w:szCs w:val="15"/>
                <w:color w:val="0000EE"/>
              </w:rPr>
            </w:pPr>
            <w:hyperlink w:anchor="page17">
              <w:r>
                <w:rPr>
                  <w:rFonts w:ascii="Arial" w:cs="Arial" w:eastAsia="Arial" w:hAnsi="Arial"/>
                  <w:sz w:val="15"/>
                  <w:szCs w:val="15"/>
                  <w:color w:val="0000EE"/>
                </w:rPr>
                <w:t>Compensation Committee Interlocks and Insider Participation</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7">
              <w:r>
                <w:rPr>
                  <w:rFonts w:ascii="Arial" w:cs="Arial" w:eastAsia="Arial" w:hAnsi="Arial"/>
                  <w:sz w:val="15"/>
                  <w:szCs w:val="15"/>
                  <w:color w:val="0000EE"/>
                  <w:w w:val="83"/>
                </w:rPr>
                <w:t>14</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960" w:type="dxa"/>
            <w:vAlign w:val="bottom"/>
            <w:tcBorders>
              <w:top w:val="single" w:sz="8" w:color="0000EE"/>
            </w:tcBorders>
            <w:gridSpan w:val="10"/>
            <w:vMerge w:val="restart"/>
          </w:tcPr>
          <w:p>
            <w:pPr>
              <w:spacing w:after="0"/>
              <w:rPr>
                <w:rFonts w:ascii="Arial" w:cs="Arial" w:eastAsia="Arial" w:hAnsi="Arial"/>
                <w:sz w:val="15"/>
                <w:szCs w:val="15"/>
                <w:color w:val="0000EE"/>
                <w:w w:val="90"/>
              </w:rPr>
            </w:pPr>
            <w:hyperlink w:anchor="page17">
              <w:r>
                <w:rPr>
                  <w:rFonts w:ascii="Arial" w:cs="Arial" w:eastAsia="Arial" w:hAnsi="Arial"/>
                  <w:sz w:val="15"/>
                  <w:szCs w:val="15"/>
                  <w:color w:val="0000EE"/>
                  <w:w w:val="90"/>
                </w:rPr>
                <w:t>Board Meetings and Attendance</w:t>
              </w:r>
            </w:hyperlink>
          </w:p>
        </w:tc>
        <w:tc>
          <w:tcPr>
            <w:tcW w:w="1800" w:type="dxa"/>
            <w:vAlign w:val="bottom"/>
            <w:tcBorders>
              <w:top w:val="single" w:sz="8" w:color="0000EE"/>
            </w:tcBorders>
            <w:gridSpan w:val="12"/>
            <w:vMerge w:val="restart"/>
          </w:tcPr>
          <w:p>
            <w:pPr>
              <w:spacing w:after="0" w:line="20" w:lineRule="exact"/>
              <w:rPr>
                <w:sz w:val="1"/>
                <w:szCs w:val="1"/>
                <w:color w:val="auto"/>
              </w:rPr>
            </w:pPr>
          </w:p>
        </w:tc>
        <w:tc>
          <w:tcPr>
            <w:tcW w:w="6460" w:type="dxa"/>
            <w:vAlign w:val="bottom"/>
            <w:gridSpan w:val="10"/>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top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1960" w:type="dxa"/>
            <w:vAlign w:val="bottom"/>
            <w:tcBorders>
              <w:bottom w:val="single" w:sz="8" w:color="0000EE"/>
            </w:tcBorders>
            <w:gridSpan w:val="10"/>
            <w:vMerge w:val="continue"/>
          </w:tcPr>
          <w:p>
            <w:pPr>
              <w:spacing w:after="0"/>
              <w:rPr>
                <w:sz w:val="15"/>
                <w:szCs w:val="15"/>
                <w:color w:val="auto"/>
              </w:rPr>
            </w:pPr>
          </w:p>
        </w:tc>
        <w:tc>
          <w:tcPr>
            <w:tcW w:w="1800" w:type="dxa"/>
            <w:vAlign w:val="bottom"/>
            <w:gridSpan w:val="12"/>
            <w:vMerge w:val="continue"/>
          </w:tcPr>
          <w:p>
            <w:pPr>
              <w:spacing w:after="0"/>
              <w:rPr>
                <w:sz w:val="15"/>
                <w:szCs w:val="15"/>
                <w:color w:val="auto"/>
              </w:rPr>
            </w:pPr>
          </w:p>
        </w:tc>
        <w:tc>
          <w:tcPr>
            <w:tcW w:w="6460" w:type="dxa"/>
            <w:vAlign w:val="bottom"/>
            <w:gridSpan w:val="10"/>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7">
              <w:r>
                <w:rPr>
                  <w:rFonts w:ascii="Arial" w:cs="Arial" w:eastAsia="Arial" w:hAnsi="Arial"/>
                  <w:sz w:val="15"/>
                  <w:szCs w:val="15"/>
                  <w:color w:val="0000EE"/>
                  <w:w w:val="83"/>
                </w:rPr>
                <w:t>14</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60" w:type="dxa"/>
            <w:vAlign w:val="bottom"/>
            <w:gridSpan w:val="20"/>
            <w:vMerge w:val="restart"/>
          </w:tcPr>
          <w:p>
            <w:pPr>
              <w:spacing w:after="0"/>
              <w:rPr>
                <w:rFonts w:ascii="Arial" w:cs="Arial" w:eastAsia="Arial" w:hAnsi="Arial"/>
                <w:sz w:val="15"/>
                <w:szCs w:val="15"/>
                <w:color w:val="0000EE"/>
                <w:w w:val="92"/>
              </w:rPr>
            </w:pPr>
            <w:hyperlink w:anchor="page17">
              <w:r>
                <w:rPr>
                  <w:rFonts w:ascii="Arial" w:cs="Arial" w:eastAsia="Arial" w:hAnsi="Arial"/>
                  <w:sz w:val="15"/>
                  <w:szCs w:val="15"/>
                  <w:color w:val="0000EE"/>
                  <w:w w:val="92"/>
                </w:rPr>
                <w:t>Director Attendance at Annual Meetings of Stockholders</w:t>
              </w:r>
            </w:hyperlink>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3460" w:type="dxa"/>
            <w:vAlign w:val="bottom"/>
            <w:tcBorders>
              <w:bottom w:val="single" w:sz="8" w:color="0000EE"/>
            </w:tcBorders>
            <w:gridSpan w:val="20"/>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 w:type="dxa"/>
            <w:vAlign w:val="bottom"/>
            <w:gridSpan w:val="3"/>
          </w:tcPr>
          <w:p>
            <w:pPr>
              <w:jc w:val="center"/>
              <w:spacing w:after="0"/>
              <w:rPr>
                <w:rFonts w:ascii="Arial" w:cs="Arial" w:eastAsia="Arial" w:hAnsi="Arial"/>
                <w:sz w:val="15"/>
                <w:szCs w:val="15"/>
                <w:color w:val="0000EE"/>
                <w:w w:val="83"/>
              </w:rPr>
            </w:pPr>
            <w:hyperlink w:anchor="page17">
              <w:r>
                <w:rPr>
                  <w:rFonts w:ascii="Arial" w:cs="Arial" w:eastAsia="Arial" w:hAnsi="Arial"/>
                  <w:sz w:val="15"/>
                  <w:szCs w:val="15"/>
                  <w:color w:val="0000EE"/>
                  <w:w w:val="83"/>
                </w:rPr>
                <w:t>14</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20" w:type="dxa"/>
            <w:vAlign w:val="bottom"/>
            <w:gridSpan w:val="3"/>
            <w:vMerge w:val="restart"/>
          </w:tcPr>
          <w:p>
            <w:pPr>
              <w:spacing w:after="0"/>
              <w:rPr>
                <w:rFonts w:ascii="Arial" w:cs="Arial" w:eastAsia="Arial" w:hAnsi="Arial"/>
                <w:sz w:val="15"/>
                <w:szCs w:val="15"/>
                <w:color w:val="0000EE"/>
                <w:w w:val="91"/>
              </w:rPr>
            </w:pPr>
            <w:hyperlink w:anchor="page17">
              <w:r>
                <w:rPr>
                  <w:rFonts w:ascii="Arial" w:cs="Arial" w:eastAsia="Arial" w:hAnsi="Arial"/>
                  <w:sz w:val="15"/>
                  <w:szCs w:val="15"/>
                  <w:color w:val="0000EE"/>
                  <w:w w:val="91"/>
                </w:rPr>
                <w:t>Board Leadership</w:t>
              </w:r>
            </w:hyperlink>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1120" w:type="dxa"/>
            <w:vAlign w:val="bottom"/>
            <w:tcBorders>
              <w:bottom w:val="single" w:sz="8" w:color="0000EE"/>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 w:type="dxa"/>
            <w:vAlign w:val="bottom"/>
            <w:gridSpan w:val="3"/>
          </w:tcPr>
          <w:p>
            <w:pPr>
              <w:jc w:val="center"/>
              <w:spacing w:after="0"/>
              <w:rPr>
                <w:rFonts w:ascii="Arial" w:cs="Arial" w:eastAsia="Arial" w:hAnsi="Arial"/>
                <w:sz w:val="15"/>
                <w:szCs w:val="15"/>
                <w:color w:val="0000EE"/>
                <w:w w:val="83"/>
              </w:rPr>
            </w:pPr>
            <w:hyperlink w:anchor="page17">
              <w:r>
                <w:rPr>
                  <w:rFonts w:ascii="Arial" w:cs="Arial" w:eastAsia="Arial" w:hAnsi="Arial"/>
                  <w:sz w:val="15"/>
                  <w:szCs w:val="15"/>
                  <w:color w:val="0000EE"/>
                  <w:w w:val="83"/>
                </w:rPr>
                <w:t>14</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gridSpan w:val="2"/>
            <w:vMerge w:val="restart"/>
          </w:tcPr>
          <w:p>
            <w:pPr>
              <w:spacing w:after="0"/>
              <w:rPr>
                <w:rFonts w:ascii="Arial" w:cs="Arial" w:eastAsia="Arial" w:hAnsi="Arial"/>
                <w:sz w:val="15"/>
                <w:szCs w:val="15"/>
                <w:color w:val="0000EE"/>
                <w:w w:val="90"/>
              </w:rPr>
            </w:pPr>
            <w:hyperlink w:anchor="page18">
              <w:r>
                <w:rPr>
                  <w:rFonts w:ascii="Arial" w:cs="Arial" w:eastAsia="Arial" w:hAnsi="Arial"/>
                  <w:sz w:val="15"/>
                  <w:szCs w:val="15"/>
                  <w:color w:val="0000EE"/>
                  <w:w w:val="90"/>
                </w:rPr>
                <w:t>Risk Oversight</w:t>
              </w:r>
            </w:hyperlink>
          </w:p>
        </w:tc>
        <w:tc>
          <w:tcPr>
            <w:tcW w:w="9320" w:type="dxa"/>
            <w:vAlign w:val="bottom"/>
            <w:gridSpan w:val="30"/>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900" w:type="dxa"/>
            <w:vAlign w:val="bottom"/>
            <w:tcBorders>
              <w:bottom w:val="single" w:sz="8" w:color="0000EE"/>
            </w:tcBorders>
            <w:gridSpan w:val="2"/>
            <w:vMerge w:val="continue"/>
          </w:tcPr>
          <w:p>
            <w:pPr>
              <w:spacing w:after="0"/>
              <w:rPr>
                <w:sz w:val="15"/>
                <w:szCs w:val="15"/>
                <w:color w:val="auto"/>
              </w:rPr>
            </w:pPr>
          </w:p>
        </w:tc>
        <w:tc>
          <w:tcPr>
            <w:tcW w:w="9320" w:type="dxa"/>
            <w:vAlign w:val="bottom"/>
            <w:gridSpan w:val="30"/>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8">
              <w:r>
                <w:rPr>
                  <w:rFonts w:ascii="Arial" w:cs="Arial" w:eastAsia="Arial" w:hAnsi="Arial"/>
                  <w:sz w:val="15"/>
                  <w:szCs w:val="15"/>
                  <w:color w:val="0000EE"/>
                  <w:w w:val="83"/>
                </w:rPr>
                <w:t>15</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220" w:type="dxa"/>
            <w:vAlign w:val="bottom"/>
            <w:gridSpan w:val="32"/>
            <w:vMerge w:val="restart"/>
          </w:tcPr>
          <w:p>
            <w:pPr>
              <w:spacing w:after="0"/>
              <w:rPr>
                <w:rFonts w:ascii="Arial" w:cs="Arial" w:eastAsia="Arial" w:hAnsi="Arial"/>
                <w:sz w:val="15"/>
                <w:szCs w:val="15"/>
                <w:color w:val="0000EE"/>
              </w:rPr>
            </w:pPr>
            <w:hyperlink w:anchor="page18">
              <w:r>
                <w:rPr>
                  <w:rFonts w:ascii="Arial" w:cs="Arial" w:eastAsia="Arial" w:hAnsi="Arial"/>
                  <w:sz w:val="15"/>
                  <w:szCs w:val="15"/>
                  <w:color w:val="0000EE"/>
                </w:rPr>
                <w:t>Code of Business Conduct</w:t>
              </w:r>
            </w:hyperlink>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8">
              <w:r>
                <w:rPr>
                  <w:rFonts w:ascii="Arial" w:cs="Arial" w:eastAsia="Arial" w:hAnsi="Arial"/>
                  <w:sz w:val="15"/>
                  <w:szCs w:val="15"/>
                  <w:color w:val="0000EE"/>
                  <w:w w:val="83"/>
                </w:rPr>
                <w:t>15</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tcPr>
          <w:p>
            <w:pPr>
              <w:spacing w:after="0" w:line="163" w:lineRule="exact"/>
              <w:rPr>
                <w:rFonts w:ascii="Arial" w:cs="Arial" w:eastAsia="Arial" w:hAnsi="Arial"/>
                <w:sz w:val="15"/>
                <w:szCs w:val="15"/>
                <w:color w:val="0000EE"/>
              </w:rPr>
            </w:pPr>
            <w:hyperlink w:anchor="page18">
              <w:r>
                <w:rPr>
                  <w:rFonts w:ascii="Arial" w:cs="Arial" w:eastAsia="Arial" w:hAnsi="Arial"/>
                  <w:sz w:val="15"/>
                  <w:szCs w:val="15"/>
                  <w:color w:val="0000EE"/>
                </w:rPr>
                <w:t>Communications to the Board of Directors</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8">
              <w:r>
                <w:rPr>
                  <w:rFonts w:ascii="Arial" w:cs="Arial" w:eastAsia="Arial" w:hAnsi="Arial"/>
                  <w:sz w:val="15"/>
                  <w:szCs w:val="15"/>
                  <w:color w:val="0000EE"/>
                  <w:w w:val="83"/>
                </w:rPr>
                <w:t>16</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580" w:type="dxa"/>
            <w:vAlign w:val="bottom"/>
            <w:tcBorders>
              <w:top w:val="single" w:sz="8" w:color="0000EE"/>
            </w:tcBorders>
            <w:gridSpan w:val="16"/>
            <w:vMerge w:val="restart"/>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Director Compensation</w:t>
              </w:r>
            </w:hyperlink>
          </w:p>
        </w:tc>
        <w:tc>
          <w:tcPr>
            <w:tcW w:w="7640" w:type="dxa"/>
            <w:vAlign w:val="bottom"/>
            <w:gridSpan w:val="16"/>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2580" w:type="dxa"/>
            <w:vAlign w:val="bottom"/>
            <w:gridSpan w:val="16"/>
            <w:vMerge w:val="continue"/>
          </w:tcPr>
          <w:p>
            <w:pPr>
              <w:spacing w:after="0"/>
              <w:rPr>
                <w:sz w:val="15"/>
                <w:szCs w:val="15"/>
                <w:color w:val="auto"/>
              </w:rPr>
            </w:pPr>
          </w:p>
        </w:tc>
        <w:tc>
          <w:tcPr>
            <w:tcW w:w="7640" w:type="dxa"/>
            <w:vAlign w:val="bottom"/>
            <w:gridSpan w:val="16"/>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9">
              <w:r>
                <w:rPr>
                  <w:rFonts w:ascii="Arial" w:cs="Arial" w:eastAsia="Arial" w:hAnsi="Arial"/>
                  <w:sz w:val="15"/>
                  <w:szCs w:val="15"/>
                  <w:color w:val="0000EE"/>
                  <w:w w:val="83"/>
                </w:rPr>
                <w:t>16</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tcPr>
          <w:p>
            <w:pPr>
              <w:spacing w:after="0" w:line="163" w:lineRule="exact"/>
              <w:rPr>
                <w:rFonts w:ascii="Arial" w:cs="Arial" w:eastAsia="Arial" w:hAnsi="Arial"/>
                <w:sz w:val="15"/>
                <w:szCs w:val="15"/>
                <w:color w:val="0000EE"/>
              </w:rPr>
            </w:pPr>
            <w:hyperlink w:anchor="page19">
              <w:r>
                <w:rPr>
                  <w:rFonts w:ascii="Arial" w:cs="Arial" w:eastAsia="Arial" w:hAnsi="Arial"/>
                  <w:sz w:val="15"/>
                  <w:szCs w:val="15"/>
                  <w:color w:val="0000EE"/>
                </w:rPr>
                <w:t>2013 Director Compensation Table</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19">
              <w:r>
                <w:rPr>
                  <w:rFonts w:ascii="Arial" w:cs="Arial" w:eastAsia="Arial" w:hAnsi="Arial"/>
                  <w:sz w:val="15"/>
                  <w:szCs w:val="15"/>
                  <w:color w:val="0000EE"/>
                  <w:w w:val="83"/>
                </w:rPr>
                <w:t>17</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33"/>
          </w:tcPr>
          <w:p>
            <w:pPr>
              <w:spacing w:after="0" w:line="163" w:lineRule="exact"/>
              <w:rPr>
                <w:rFonts w:ascii="Arial" w:cs="Arial" w:eastAsia="Arial" w:hAnsi="Arial"/>
                <w:sz w:val="15"/>
                <w:szCs w:val="15"/>
                <w:color w:val="0000EE"/>
              </w:rPr>
            </w:pPr>
            <w:hyperlink w:anchor="page21">
              <w:r>
                <w:rPr>
                  <w:rFonts w:ascii="Arial" w:cs="Arial" w:eastAsia="Arial" w:hAnsi="Arial"/>
                  <w:sz w:val="15"/>
                  <w:szCs w:val="15"/>
                  <w:color w:val="0000EE"/>
                </w:rPr>
                <w:t>PROPOSAL 2: RATIFICATION OF SELECTION OF INDEPENDENT REGISTERED PUBLIC ACCOUNTING FIRM</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1">
              <w:r>
                <w:rPr>
                  <w:rFonts w:ascii="Arial" w:cs="Arial" w:eastAsia="Arial" w:hAnsi="Arial"/>
                  <w:sz w:val="15"/>
                  <w:szCs w:val="15"/>
                  <w:color w:val="0000EE"/>
                  <w:w w:val="83"/>
                </w:rPr>
                <w:t>18</w:t>
              </w:r>
            </w:hyperlink>
          </w:p>
        </w:tc>
        <w:tc>
          <w:tcPr>
            <w:tcW w:w="0" w:type="dxa"/>
            <w:vAlign w:val="bottom"/>
          </w:tcPr>
          <w:p>
            <w:pPr>
              <w:spacing w:after="0"/>
              <w:rPr>
                <w:sz w:val="1"/>
                <w:szCs w:val="1"/>
                <w:color w:val="auto"/>
              </w:rPr>
            </w:pPr>
          </w:p>
        </w:tc>
      </w:tr>
      <w:tr>
        <w:trPr>
          <w:trHeight w:val="20"/>
        </w:trPr>
        <w:tc>
          <w:tcPr>
            <w:tcW w:w="380" w:type="dxa"/>
            <w:vAlign w:val="bottom"/>
            <w:tcBorders>
              <w:top w:val="single" w:sz="8" w:color="0000EE"/>
            </w:tcBorders>
          </w:tcPr>
          <w:p>
            <w:pPr>
              <w:spacing w:after="0" w:line="20" w:lineRule="exact"/>
              <w:rPr>
                <w:sz w:val="1"/>
                <w:szCs w:val="1"/>
                <w:color w:val="auto"/>
              </w:rPr>
            </w:pPr>
          </w:p>
        </w:tc>
        <w:tc>
          <w:tcPr>
            <w:tcW w:w="7080" w:type="dxa"/>
            <w:vAlign w:val="bottom"/>
            <w:tcBorders>
              <w:top w:val="single" w:sz="8" w:color="0000EE"/>
            </w:tcBorders>
            <w:gridSpan w:val="31"/>
            <w:vMerge w:val="restart"/>
          </w:tcPr>
          <w:p>
            <w:pPr>
              <w:spacing w:after="0"/>
              <w:rPr>
                <w:rFonts w:ascii="Arial" w:cs="Arial" w:eastAsia="Arial" w:hAnsi="Arial"/>
                <w:sz w:val="15"/>
                <w:szCs w:val="15"/>
                <w:color w:val="0000EE"/>
              </w:rPr>
            </w:pPr>
            <w:hyperlink w:anchor="page21">
              <w:r>
                <w:rPr>
                  <w:rFonts w:ascii="Arial" w:cs="Arial" w:eastAsia="Arial" w:hAnsi="Arial"/>
                  <w:sz w:val="15"/>
                  <w:szCs w:val="15"/>
                  <w:color w:val="0000EE"/>
                </w:rPr>
                <w:t>Independent Registered Public Accounting Firm’s Fees</w:t>
              </w:r>
            </w:hyperlink>
          </w:p>
        </w:tc>
        <w:tc>
          <w:tcPr>
            <w:tcW w:w="3140" w:type="dxa"/>
            <w:vAlign w:val="bottom"/>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7080" w:type="dxa"/>
            <w:vAlign w:val="bottom"/>
            <w:gridSpan w:val="31"/>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1">
              <w:r>
                <w:rPr>
                  <w:rFonts w:ascii="Arial" w:cs="Arial" w:eastAsia="Arial" w:hAnsi="Arial"/>
                  <w:sz w:val="15"/>
                  <w:szCs w:val="15"/>
                  <w:color w:val="0000EE"/>
                  <w:w w:val="83"/>
                </w:rPr>
                <w:t>18</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360" w:type="dxa"/>
            <w:vAlign w:val="bottom"/>
            <w:tcBorders>
              <w:top w:val="single" w:sz="8" w:color="0000EE"/>
            </w:tcBorders>
            <w:gridSpan w:val="19"/>
            <w:vMerge w:val="restart"/>
          </w:tcPr>
          <w:p>
            <w:pPr>
              <w:spacing w:after="0"/>
              <w:rPr>
                <w:rFonts w:ascii="Arial" w:cs="Arial" w:eastAsia="Arial" w:hAnsi="Arial"/>
                <w:sz w:val="15"/>
                <w:szCs w:val="15"/>
                <w:color w:val="0000EE"/>
              </w:rPr>
            </w:pPr>
            <w:hyperlink w:anchor="page21">
              <w:r>
                <w:rPr>
                  <w:rFonts w:ascii="Arial" w:cs="Arial" w:eastAsia="Arial" w:hAnsi="Arial"/>
                  <w:sz w:val="15"/>
                  <w:szCs w:val="15"/>
                  <w:color w:val="0000EE"/>
                </w:rPr>
                <w:t>Pre-Approval Policies and Procedures</w:t>
              </w:r>
            </w:hyperlink>
          </w:p>
        </w:tc>
        <w:tc>
          <w:tcPr>
            <w:tcW w:w="6860" w:type="dxa"/>
            <w:vAlign w:val="bottom"/>
            <w:gridSpan w:val="13"/>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3360" w:type="dxa"/>
            <w:vAlign w:val="bottom"/>
            <w:gridSpan w:val="19"/>
            <w:vMerge w:val="continue"/>
          </w:tcPr>
          <w:p>
            <w:pPr>
              <w:spacing w:after="0"/>
              <w:rPr>
                <w:sz w:val="15"/>
                <w:szCs w:val="15"/>
                <w:color w:val="auto"/>
              </w:rPr>
            </w:pPr>
          </w:p>
        </w:tc>
        <w:tc>
          <w:tcPr>
            <w:tcW w:w="6860" w:type="dxa"/>
            <w:vAlign w:val="bottom"/>
            <w:gridSpan w:val="13"/>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1">
              <w:r>
                <w:rPr>
                  <w:rFonts w:ascii="Arial" w:cs="Arial" w:eastAsia="Arial" w:hAnsi="Arial"/>
                  <w:sz w:val="15"/>
                  <w:szCs w:val="15"/>
                  <w:color w:val="0000EE"/>
                  <w:w w:val="83"/>
                </w:rPr>
                <w:t>19</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80" w:type="dxa"/>
            <w:vAlign w:val="bottom"/>
            <w:tcBorders>
              <w:bottom w:val="single" w:sz="8" w:color="0000EE"/>
            </w:tcBorders>
            <w:gridSpan w:val="14"/>
          </w:tcPr>
          <w:p>
            <w:pPr>
              <w:spacing w:after="0" w:line="163" w:lineRule="exact"/>
              <w:rPr>
                <w:rFonts w:ascii="Arial" w:cs="Arial" w:eastAsia="Arial" w:hAnsi="Arial"/>
                <w:sz w:val="15"/>
                <w:szCs w:val="15"/>
                <w:color w:val="0000EE"/>
                <w:w w:val="99"/>
              </w:rPr>
            </w:pPr>
            <w:hyperlink w:anchor="page23">
              <w:r>
                <w:rPr>
                  <w:rFonts w:ascii="Arial" w:cs="Arial" w:eastAsia="Arial" w:hAnsi="Arial"/>
                  <w:sz w:val="15"/>
                  <w:szCs w:val="15"/>
                  <w:color w:val="0000EE"/>
                  <w:w w:val="99"/>
                </w:rPr>
                <w:t>REPORT OF THE AUDIT COMMITTEE</w:t>
              </w:r>
            </w:hyperlink>
          </w:p>
        </w:tc>
        <w:tc>
          <w:tcPr>
            <w:tcW w:w="7920" w:type="dxa"/>
            <w:vAlign w:val="bottom"/>
            <w:gridSpan w:val="19"/>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3">
              <w:r>
                <w:rPr>
                  <w:rFonts w:ascii="Arial" w:cs="Arial" w:eastAsia="Arial" w:hAnsi="Arial"/>
                  <w:sz w:val="15"/>
                  <w:szCs w:val="15"/>
                  <w:color w:val="0000EE"/>
                  <w:w w:val="83"/>
                </w:rPr>
                <w:t>20</w:t>
              </w:r>
            </w:hyperlink>
          </w:p>
        </w:tc>
        <w:tc>
          <w:tcPr>
            <w:tcW w:w="0" w:type="dxa"/>
            <w:vAlign w:val="bottom"/>
          </w:tcPr>
          <w:p>
            <w:pPr>
              <w:spacing w:after="0"/>
              <w:rPr>
                <w:sz w:val="1"/>
                <w:szCs w:val="1"/>
                <w:color w:val="auto"/>
              </w:rPr>
            </w:pPr>
          </w:p>
        </w:tc>
      </w:tr>
      <w:tr>
        <w:trPr>
          <w:trHeight w:val="20"/>
        </w:trPr>
        <w:tc>
          <w:tcPr>
            <w:tcW w:w="5720" w:type="dxa"/>
            <w:vAlign w:val="bottom"/>
            <w:gridSpan w:val="30"/>
            <w:vMerge w:val="restart"/>
          </w:tcPr>
          <w:p>
            <w:pPr>
              <w:spacing w:after="0"/>
              <w:rPr>
                <w:rFonts w:ascii="Arial" w:cs="Arial" w:eastAsia="Arial" w:hAnsi="Arial"/>
                <w:sz w:val="15"/>
                <w:szCs w:val="15"/>
                <w:color w:val="0000EE"/>
                <w:w w:val="98"/>
              </w:rPr>
            </w:pPr>
            <w:hyperlink w:anchor="page24">
              <w:r>
                <w:rPr>
                  <w:rFonts w:ascii="Arial" w:cs="Arial" w:eastAsia="Arial" w:hAnsi="Arial"/>
                  <w:sz w:val="15"/>
                  <w:szCs w:val="15"/>
                  <w:color w:val="0000EE"/>
                  <w:w w:val="98"/>
                </w:rPr>
                <w:t>SECURITY OWNERSHIP OF CERTAIN BENEFICIAL OWNERS AND MANAGEMENT</w:t>
              </w:r>
            </w:hyperlink>
          </w:p>
        </w:tc>
        <w:tc>
          <w:tcPr>
            <w:tcW w:w="4880" w:type="dxa"/>
            <w:vAlign w:val="bottom"/>
            <w:gridSpan w:val="3"/>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20" w:type="dxa"/>
            <w:vAlign w:val="bottom"/>
            <w:tcBorders>
              <w:bottom w:val="single" w:sz="8" w:color="0000EE"/>
            </w:tcBorders>
            <w:gridSpan w:val="30"/>
            <w:vMerge w:val="continue"/>
          </w:tcPr>
          <w:p>
            <w:pPr>
              <w:spacing w:after="0"/>
              <w:rPr>
                <w:sz w:val="15"/>
                <w:szCs w:val="15"/>
                <w:color w:val="auto"/>
              </w:rPr>
            </w:pPr>
          </w:p>
        </w:tc>
        <w:tc>
          <w:tcPr>
            <w:tcW w:w="4880" w:type="dxa"/>
            <w:vAlign w:val="bottom"/>
            <w:gridSpan w:val="3"/>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4">
              <w:r>
                <w:rPr>
                  <w:rFonts w:ascii="Arial" w:cs="Arial" w:eastAsia="Arial" w:hAnsi="Arial"/>
                  <w:sz w:val="15"/>
                  <w:szCs w:val="15"/>
                  <w:color w:val="0000EE"/>
                  <w:w w:val="83"/>
                </w:rPr>
                <w:t>21</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gridSpan w:val="14"/>
            <w:vMerge w:val="restart"/>
          </w:tcPr>
          <w:p>
            <w:pPr>
              <w:spacing w:after="0"/>
              <w:rPr>
                <w:rFonts w:ascii="Arial" w:cs="Arial" w:eastAsia="Arial" w:hAnsi="Arial"/>
                <w:sz w:val="15"/>
                <w:szCs w:val="15"/>
                <w:color w:val="0000EE"/>
                <w:w w:val="92"/>
              </w:rPr>
            </w:pPr>
            <w:hyperlink w:anchor="page27">
              <w:r>
                <w:rPr>
                  <w:rFonts w:ascii="Arial" w:cs="Arial" w:eastAsia="Arial" w:hAnsi="Arial"/>
                  <w:sz w:val="15"/>
                  <w:szCs w:val="15"/>
                  <w:color w:val="0000EE"/>
                  <w:w w:val="92"/>
                </w:rPr>
                <w:t>Equity Compensation Plan Information</w:t>
              </w:r>
            </w:hyperlink>
          </w:p>
        </w:tc>
        <w:tc>
          <w:tcPr>
            <w:tcW w:w="7820" w:type="dxa"/>
            <w:vAlign w:val="bottom"/>
            <w:gridSpan w:val="18"/>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2400" w:type="dxa"/>
            <w:vAlign w:val="bottom"/>
            <w:gridSpan w:val="14"/>
            <w:vMerge w:val="continue"/>
          </w:tcPr>
          <w:p>
            <w:pPr>
              <w:spacing w:after="0"/>
              <w:rPr>
                <w:sz w:val="15"/>
                <w:szCs w:val="15"/>
                <w:color w:val="auto"/>
              </w:rPr>
            </w:pPr>
          </w:p>
        </w:tc>
        <w:tc>
          <w:tcPr>
            <w:tcW w:w="7820" w:type="dxa"/>
            <w:vAlign w:val="bottom"/>
            <w:gridSpan w:val="18"/>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7">
              <w:r>
                <w:rPr>
                  <w:rFonts w:ascii="Arial" w:cs="Arial" w:eastAsia="Arial" w:hAnsi="Arial"/>
                  <w:sz w:val="15"/>
                  <w:szCs w:val="15"/>
                  <w:color w:val="0000EE"/>
                  <w:w w:val="83"/>
                </w:rPr>
                <w:t>25</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tcPr>
          <w:p>
            <w:pPr>
              <w:spacing w:after="0" w:line="163" w:lineRule="exact"/>
              <w:rPr>
                <w:rFonts w:ascii="Arial" w:cs="Arial" w:eastAsia="Arial" w:hAnsi="Arial"/>
                <w:sz w:val="15"/>
                <w:szCs w:val="15"/>
                <w:color w:val="0000EE"/>
              </w:rPr>
            </w:pPr>
            <w:hyperlink w:anchor="page28">
              <w:r>
                <w:rPr>
                  <w:rFonts w:ascii="Arial" w:cs="Arial" w:eastAsia="Arial" w:hAnsi="Arial"/>
                  <w:sz w:val="15"/>
                  <w:szCs w:val="15"/>
                  <w:color w:val="0000EE"/>
                </w:rPr>
                <w:t>Section 16(a) Beneficial Ownership Reporting Compliance</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8">
              <w:r>
                <w:rPr>
                  <w:rFonts w:ascii="Arial" w:cs="Arial" w:eastAsia="Arial" w:hAnsi="Arial"/>
                  <w:sz w:val="15"/>
                  <w:szCs w:val="15"/>
                  <w:color w:val="0000EE"/>
                  <w:w w:val="83"/>
                </w:rPr>
                <w:t>25</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tcBorders>
              <w:bottom w:val="single" w:sz="8" w:color="0000EE"/>
            </w:tcBorders>
            <w:gridSpan w:val="28"/>
          </w:tcPr>
          <w:p>
            <w:pPr>
              <w:spacing w:after="0" w:line="163" w:lineRule="exact"/>
              <w:rPr>
                <w:rFonts w:ascii="Arial" w:cs="Arial" w:eastAsia="Arial" w:hAnsi="Arial"/>
                <w:sz w:val="15"/>
                <w:szCs w:val="15"/>
                <w:color w:val="0000EE"/>
                <w:w w:val="96"/>
              </w:rPr>
            </w:pPr>
            <w:hyperlink w:anchor="page29">
              <w:r>
                <w:rPr>
                  <w:rFonts w:ascii="Arial" w:cs="Arial" w:eastAsia="Arial" w:hAnsi="Arial"/>
                  <w:sz w:val="15"/>
                  <w:szCs w:val="15"/>
                  <w:color w:val="0000EE"/>
                  <w:w w:val="96"/>
                </w:rPr>
                <w:t>CERTAIN RELATIONSHIPS AND RELATED PERSONS TRANSACTIONS</w:t>
              </w:r>
            </w:hyperlink>
          </w:p>
        </w:tc>
        <w:tc>
          <w:tcPr>
            <w:tcW w:w="5760" w:type="dxa"/>
            <w:vAlign w:val="bottom"/>
            <w:gridSpan w:val="5"/>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29">
              <w:r>
                <w:rPr>
                  <w:rFonts w:ascii="Arial" w:cs="Arial" w:eastAsia="Arial" w:hAnsi="Arial"/>
                  <w:sz w:val="15"/>
                  <w:szCs w:val="15"/>
                  <w:color w:val="0000EE"/>
                  <w:w w:val="83"/>
                </w:rPr>
                <w:t>26</w:t>
              </w:r>
            </w:hyperlink>
          </w:p>
        </w:tc>
        <w:tc>
          <w:tcPr>
            <w:tcW w:w="0" w:type="dxa"/>
            <w:vAlign w:val="bottom"/>
          </w:tcPr>
          <w:p>
            <w:pPr>
              <w:spacing w:after="0"/>
              <w:rPr>
                <w:sz w:val="1"/>
                <w:szCs w:val="1"/>
                <w:color w:val="auto"/>
              </w:rPr>
            </w:pPr>
          </w:p>
        </w:tc>
      </w:tr>
      <w:tr>
        <w:trPr>
          <w:trHeight w:val="20"/>
        </w:trPr>
        <w:tc>
          <w:tcPr>
            <w:tcW w:w="1620" w:type="dxa"/>
            <w:vAlign w:val="bottom"/>
            <w:gridSpan w:val="6"/>
            <w:vMerge w:val="restart"/>
          </w:tcPr>
          <w:p>
            <w:pPr>
              <w:spacing w:after="0"/>
              <w:rPr>
                <w:rFonts w:ascii="Arial" w:cs="Arial" w:eastAsia="Arial" w:hAnsi="Arial"/>
                <w:sz w:val="15"/>
                <w:szCs w:val="15"/>
                <w:color w:val="0000EE"/>
                <w:w w:val="96"/>
              </w:rPr>
            </w:pPr>
            <w:hyperlink w:anchor="page30">
              <w:r>
                <w:rPr>
                  <w:rFonts w:ascii="Arial" w:cs="Arial" w:eastAsia="Arial" w:hAnsi="Arial"/>
                  <w:sz w:val="15"/>
                  <w:szCs w:val="15"/>
                  <w:color w:val="0000EE"/>
                  <w:w w:val="96"/>
                </w:rPr>
                <w:t>EXECUTIVE OFFICERS</w:t>
              </w:r>
            </w:hyperlink>
          </w:p>
        </w:tc>
        <w:tc>
          <w:tcPr>
            <w:tcW w:w="8980" w:type="dxa"/>
            <w:vAlign w:val="bottom"/>
            <w:gridSpan w:val="27"/>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8980" w:type="dxa"/>
            <w:vAlign w:val="bottom"/>
            <w:gridSpan w:val="27"/>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30">
              <w:r>
                <w:rPr>
                  <w:rFonts w:ascii="Arial" w:cs="Arial" w:eastAsia="Arial" w:hAnsi="Arial"/>
                  <w:sz w:val="15"/>
                  <w:szCs w:val="15"/>
                  <w:color w:val="0000EE"/>
                  <w:w w:val="83"/>
                </w:rPr>
                <w:t>27</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20" w:type="dxa"/>
            <w:vAlign w:val="bottom"/>
            <w:gridSpan w:val="4"/>
            <w:vMerge w:val="restart"/>
          </w:tcPr>
          <w:p>
            <w:pPr>
              <w:spacing w:after="0"/>
              <w:rPr>
                <w:rFonts w:ascii="Arial" w:cs="Arial" w:eastAsia="Arial" w:hAnsi="Arial"/>
                <w:sz w:val="15"/>
                <w:szCs w:val="15"/>
                <w:color w:val="0000EE"/>
                <w:w w:val="95"/>
              </w:rPr>
            </w:pPr>
            <w:hyperlink w:anchor="page30">
              <w:r>
                <w:rPr>
                  <w:rFonts w:ascii="Arial" w:cs="Arial" w:eastAsia="Arial" w:hAnsi="Arial"/>
                  <w:sz w:val="15"/>
                  <w:szCs w:val="15"/>
                  <w:color w:val="0000EE"/>
                  <w:w w:val="95"/>
                </w:rPr>
                <w:t>Election of Officers</w:t>
              </w:r>
            </w:hyperlink>
          </w:p>
        </w:tc>
        <w:tc>
          <w:tcPr>
            <w:tcW w:w="9000" w:type="dxa"/>
            <w:vAlign w:val="bottom"/>
            <w:gridSpan w:val="28"/>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1220" w:type="dxa"/>
            <w:vAlign w:val="bottom"/>
            <w:tcBorders>
              <w:bottom w:val="single" w:sz="8" w:color="0000EE"/>
            </w:tcBorders>
            <w:gridSpan w:val="4"/>
            <w:vMerge w:val="continue"/>
          </w:tcPr>
          <w:p>
            <w:pPr>
              <w:spacing w:after="0"/>
              <w:rPr>
                <w:sz w:val="15"/>
                <w:szCs w:val="15"/>
                <w:color w:val="auto"/>
              </w:rPr>
            </w:pPr>
          </w:p>
        </w:tc>
        <w:tc>
          <w:tcPr>
            <w:tcW w:w="9000" w:type="dxa"/>
            <w:vAlign w:val="bottom"/>
            <w:gridSpan w:val="28"/>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30">
              <w:r>
                <w:rPr>
                  <w:rFonts w:ascii="Arial" w:cs="Arial" w:eastAsia="Arial" w:hAnsi="Arial"/>
                  <w:sz w:val="15"/>
                  <w:szCs w:val="15"/>
                  <w:color w:val="0000EE"/>
                  <w:w w:val="83"/>
                </w:rPr>
                <w:t>28</w:t>
              </w:r>
            </w:hyperlink>
          </w:p>
        </w:tc>
        <w:tc>
          <w:tcPr>
            <w:tcW w:w="0" w:type="dxa"/>
            <w:vAlign w:val="bottom"/>
          </w:tcPr>
          <w:p>
            <w:pPr>
              <w:spacing w:after="0"/>
              <w:rPr>
                <w:sz w:val="1"/>
                <w:szCs w:val="1"/>
                <w:color w:val="auto"/>
              </w:rPr>
            </w:pPr>
          </w:p>
        </w:tc>
      </w:tr>
      <w:tr>
        <w:trPr>
          <w:trHeight w:val="20"/>
        </w:trPr>
        <w:tc>
          <w:tcPr>
            <w:tcW w:w="10600" w:type="dxa"/>
            <w:vAlign w:val="bottom"/>
            <w:gridSpan w:val="33"/>
            <w:vMerge w:val="restart"/>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EXECUTIVE COMPENSATION</w:t>
              </w:r>
            </w:hyperlink>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33"/>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32">
              <w:r>
                <w:rPr>
                  <w:rFonts w:ascii="Arial" w:cs="Arial" w:eastAsia="Arial" w:hAnsi="Arial"/>
                  <w:sz w:val="15"/>
                  <w:szCs w:val="15"/>
                  <w:color w:val="0000EE"/>
                  <w:w w:val="83"/>
                </w:rPr>
                <w:t>29</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tcPr>
          <w:p>
            <w:pPr>
              <w:spacing w:after="0" w:line="163" w:lineRule="exact"/>
              <w:rPr>
                <w:rFonts w:ascii="Arial" w:cs="Arial" w:eastAsia="Arial" w:hAnsi="Arial"/>
                <w:sz w:val="15"/>
                <w:szCs w:val="15"/>
                <w:color w:val="0000EE"/>
              </w:rPr>
            </w:pPr>
            <w:hyperlink w:anchor="page32">
              <w:r>
                <w:rPr>
                  <w:rFonts w:ascii="Arial" w:cs="Arial" w:eastAsia="Arial" w:hAnsi="Arial"/>
                  <w:sz w:val="15"/>
                  <w:szCs w:val="15"/>
                  <w:color w:val="0000EE"/>
                </w:rPr>
                <w:t>Compensation Discussion and Analysis</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32">
              <w:r>
                <w:rPr>
                  <w:rFonts w:ascii="Arial" w:cs="Arial" w:eastAsia="Arial" w:hAnsi="Arial"/>
                  <w:sz w:val="15"/>
                  <w:szCs w:val="15"/>
                  <w:color w:val="0000EE"/>
                  <w:w w:val="83"/>
                </w:rPr>
                <w:t>29</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tcPr>
          <w:p>
            <w:pPr>
              <w:spacing w:after="0" w:line="163" w:lineRule="exact"/>
              <w:rPr>
                <w:rFonts w:ascii="Arial" w:cs="Arial" w:eastAsia="Arial" w:hAnsi="Arial"/>
                <w:sz w:val="15"/>
                <w:szCs w:val="15"/>
                <w:color w:val="0000EE"/>
              </w:rPr>
            </w:pPr>
            <w:hyperlink w:anchor="page39">
              <w:r>
                <w:rPr>
                  <w:rFonts w:ascii="Arial" w:cs="Arial" w:eastAsia="Arial" w:hAnsi="Arial"/>
                  <w:sz w:val="15"/>
                  <w:szCs w:val="15"/>
                  <w:color w:val="0000EE"/>
                </w:rPr>
                <w:t>Report of the Compensation Committee</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39">
              <w:r>
                <w:rPr>
                  <w:rFonts w:ascii="Arial" w:cs="Arial" w:eastAsia="Arial" w:hAnsi="Arial"/>
                  <w:sz w:val="15"/>
                  <w:szCs w:val="15"/>
                  <w:color w:val="0000EE"/>
                  <w:w w:val="83"/>
                </w:rPr>
                <w:t>36</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20" w:type="dxa"/>
            <w:vAlign w:val="bottom"/>
            <w:tcBorders>
              <w:top w:val="single" w:sz="8" w:color="0000EE"/>
            </w:tcBorders>
            <w:gridSpan w:val="12"/>
            <w:vMerge w:val="restart"/>
          </w:tcPr>
          <w:p>
            <w:pPr>
              <w:spacing w:after="0"/>
              <w:rPr>
                <w:rFonts w:ascii="Arial" w:cs="Arial" w:eastAsia="Arial" w:hAnsi="Arial"/>
                <w:sz w:val="15"/>
                <w:szCs w:val="15"/>
                <w:color w:val="0000EE"/>
                <w:w w:val="90"/>
              </w:rPr>
            </w:pPr>
            <w:hyperlink w:anchor="page40">
              <w:r>
                <w:rPr>
                  <w:rFonts w:ascii="Arial" w:cs="Arial" w:eastAsia="Arial" w:hAnsi="Arial"/>
                  <w:sz w:val="15"/>
                  <w:szCs w:val="15"/>
                  <w:color w:val="0000EE"/>
                  <w:w w:val="90"/>
                </w:rPr>
                <w:t>2013 Summary Compensation Table</w:t>
              </w:r>
            </w:hyperlink>
          </w:p>
        </w:tc>
        <w:tc>
          <w:tcPr>
            <w:tcW w:w="180" w:type="dxa"/>
            <w:vAlign w:val="bottom"/>
            <w:tcBorders>
              <w:top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top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tcPr>
          <w:p>
            <w:pPr>
              <w:spacing w:after="0"/>
              <w:rPr>
                <w:sz w:val="15"/>
                <w:szCs w:val="15"/>
                <w:color w:val="auto"/>
              </w:rPr>
            </w:pPr>
          </w:p>
        </w:tc>
        <w:tc>
          <w:tcPr>
            <w:tcW w:w="2220" w:type="dxa"/>
            <w:vAlign w:val="bottom"/>
            <w:tcBorders>
              <w:bottom w:val="single" w:sz="8" w:color="0000EE"/>
            </w:tcBorders>
            <w:gridSpan w:val="12"/>
            <w:vMerge w:val="continue"/>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spacing w:after="0"/>
              <w:rPr>
                <w:sz w:val="15"/>
                <w:szCs w:val="15"/>
                <w:color w:val="auto"/>
              </w:rPr>
            </w:pPr>
          </w:p>
        </w:tc>
        <w:tc>
          <w:tcPr>
            <w:tcW w:w="440" w:type="dxa"/>
            <w:vAlign w:val="bottom"/>
            <w:gridSpan w:val="3"/>
          </w:tcPr>
          <w:p>
            <w:pPr>
              <w:spacing w:after="0"/>
              <w:rPr>
                <w:sz w:val="15"/>
                <w:szCs w:val="15"/>
                <w:color w:val="auto"/>
              </w:rPr>
            </w:pPr>
          </w:p>
        </w:tc>
        <w:tc>
          <w:tcPr>
            <w:tcW w:w="3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820" w:type="dxa"/>
            <w:vAlign w:val="bottom"/>
            <w:gridSpan w:val="5"/>
          </w:tcPr>
          <w:p>
            <w:pPr>
              <w:spacing w:after="0"/>
              <w:rPr>
                <w:sz w:val="15"/>
                <w:szCs w:val="15"/>
                <w:color w:val="auto"/>
              </w:rPr>
            </w:pPr>
          </w:p>
        </w:tc>
        <w:tc>
          <w:tcPr>
            <w:tcW w:w="4400" w:type="dxa"/>
            <w:vAlign w:val="bottom"/>
            <w:gridSpan w:val="2"/>
          </w:tcPr>
          <w:p>
            <w:pPr>
              <w:spacing w:after="0"/>
              <w:rPr>
                <w:sz w:val="15"/>
                <w:szCs w:val="15"/>
                <w:color w:val="auto"/>
              </w:rPr>
            </w:pPr>
          </w:p>
        </w:tc>
        <w:tc>
          <w:tcPr>
            <w:tcW w:w="300" w:type="dxa"/>
            <w:vAlign w:val="bottom"/>
            <w:gridSpan w:val="3"/>
          </w:tcPr>
          <w:p>
            <w:pPr>
              <w:jc w:val="center"/>
              <w:spacing w:after="0"/>
              <w:rPr>
                <w:rFonts w:ascii="Arial" w:cs="Arial" w:eastAsia="Arial" w:hAnsi="Arial"/>
                <w:sz w:val="15"/>
                <w:szCs w:val="15"/>
                <w:color w:val="0000EE"/>
                <w:w w:val="83"/>
              </w:rPr>
            </w:pPr>
            <w:hyperlink w:anchor="page40">
              <w:r>
                <w:rPr>
                  <w:rFonts w:ascii="Arial" w:cs="Arial" w:eastAsia="Arial" w:hAnsi="Arial"/>
                  <w:sz w:val="15"/>
                  <w:szCs w:val="15"/>
                  <w:color w:val="0000EE"/>
                  <w:w w:val="83"/>
                </w:rPr>
                <w:t>37</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220" w:type="dxa"/>
            <w:vAlign w:val="bottom"/>
            <w:gridSpan w:val="32"/>
            <w:vMerge w:val="restart"/>
          </w:tcPr>
          <w:p>
            <w:pPr>
              <w:spacing w:after="0"/>
              <w:rPr>
                <w:rFonts w:ascii="Arial" w:cs="Arial" w:eastAsia="Arial" w:hAnsi="Arial"/>
                <w:sz w:val="15"/>
                <w:szCs w:val="15"/>
                <w:color w:val="0000EE"/>
              </w:rPr>
            </w:pPr>
            <w:hyperlink w:anchor="page41">
              <w:r>
                <w:rPr>
                  <w:rFonts w:ascii="Arial" w:cs="Arial" w:eastAsia="Arial" w:hAnsi="Arial"/>
                  <w:sz w:val="15"/>
                  <w:szCs w:val="15"/>
                  <w:color w:val="0000EE"/>
                </w:rPr>
                <w:t>2013 Grants of Plan-Based Awards</w:t>
              </w:r>
            </w:hyperlink>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41">
              <w:r>
                <w:rPr>
                  <w:rFonts w:ascii="Arial" w:cs="Arial" w:eastAsia="Arial" w:hAnsi="Arial"/>
                  <w:sz w:val="15"/>
                  <w:szCs w:val="15"/>
                  <w:color w:val="0000EE"/>
                  <w:w w:val="83"/>
                </w:rPr>
                <w:t>38</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60" w:type="dxa"/>
            <w:vAlign w:val="bottom"/>
            <w:gridSpan w:val="10"/>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5820" w:type="dxa"/>
            <w:vAlign w:val="bottom"/>
            <w:tcBorders>
              <w:bottom w:val="single" w:sz="8" w:color="0000EE"/>
            </w:tcBorders>
            <w:gridSpan w:val="30"/>
          </w:tcPr>
          <w:p>
            <w:pPr>
              <w:spacing w:after="0" w:line="163" w:lineRule="exact"/>
              <w:rPr>
                <w:rFonts w:ascii="Arial" w:cs="Arial" w:eastAsia="Arial" w:hAnsi="Arial"/>
                <w:sz w:val="15"/>
                <w:szCs w:val="15"/>
                <w:color w:val="0000EE"/>
                <w:w w:val="91"/>
              </w:rPr>
            </w:pPr>
            <w:hyperlink w:anchor="page42">
              <w:r>
                <w:rPr>
                  <w:rFonts w:ascii="Arial" w:cs="Arial" w:eastAsia="Arial" w:hAnsi="Arial"/>
                  <w:sz w:val="15"/>
                  <w:szCs w:val="15"/>
                  <w:color w:val="0000EE"/>
                  <w:w w:val="91"/>
                </w:rPr>
                <w:t>Narrative Disclosure to Summary Compensation Table and Grants of Plan-Based Awards Table</w:t>
              </w:r>
            </w:hyperlink>
          </w:p>
        </w:tc>
        <w:tc>
          <w:tcPr>
            <w:tcW w:w="4400" w:type="dxa"/>
            <w:vAlign w:val="bottom"/>
            <w:gridSpan w:val="2"/>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42">
              <w:r>
                <w:rPr>
                  <w:rFonts w:ascii="Arial" w:cs="Arial" w:eastAsia="Arial" w:hAnsi="Arial"/>
                  <w:sz w:val="15"/>
                  <w:szCs w:val="15"/>
                  <w:color w:val="0000EE"/>
                  <w:w w:val="83"/>
                </w:rPr>
                <w:t>39</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220" w:type="dxa"/>
            <w:vAlign w:val="bottom"/>
            <w:gridSpan w:val="32"/>
            <w:vMerge w:val="restart"/>
          </w:tcPr>
          <w:p>
            <w:pPr>
              <w:spacing w:after="0"/>
              <w:rPr>
                <w:rFonts w:ascii="Arial" w:cs="Arial" w:eastAsia="Arial" w:hAnsi="Arial"/>
                <w:sz w:val="15"/>
                <w:szCs w:val="15"/>
                <w:color w:val="0000EE"/>
              </w:rPr>
            </w:pPr>
            <w:hyperlink w:anchor="page43">
              <w:r>
                <w:rPr>
                  <w:rFonts w:ascii="Arial" w:cs="Arial" w:eastAsia="Arial" w:hAnsi="Arial"/>
                  <w:sz w:val="15"/>
                  <w:szCs w:val="15"/>
                  <w:color w:val="0000EE"/>
                </w:rPr>
                <w:t>Outstanding Equity Awards at 2013 Fiscal Year-End</w:t>
              </w:r>
            </w:hyperlink>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43">
              <w:r>
                <w:rPr>
                  <w:rFonts w:ascii="Arial" w:cs="Arial" w:eastAsia="Arial" w:hAnsi="Arial"/>
                  <w:sz w:val="15"/>
                  <w:szCs w:val="15"/>
                  <w:color w:val="0000EE"/>
                  <w:w w:val="83"/>
                </w:rPr>
                <w:t>40</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80" w:type="dxa"/>
            <w:vAlign w:val="bottom"/>
            <w:tcBorders>
              <w:top w:val="single" w:sz="8" w:color="0000EE"/>
            </w:tcBorders>
            <w:gridSpan w:val="18"/>
            <w:vMerge w:val="restart"/>
          </w:tcPr>
          <w:p>
            <w:pPr>
              <w:spacing w:after="0"/>
              <w:rPr>
                <w:rFonts w:ascii="Arial" w:cs="Arial" w:eastAsia="Arial" w:hAnsi="Arial"/>
                <w:sz w:val="15"/>
                <w:szCs w:val="15"/>
                <w:color w:val="0000EE"/>
              </w:rPr>
            </w:pPr>
            <w:hyperlink w:anchor="page46">
              <w:r>
                <w:rPr>
                  <w:rFonts w:ascii="Arial" w:cs="Arial" w:eastAsia="Arial" w:hAnsi="Arial"/>
                  <w:sz w:val="15"/>
                  <w:szCs w:val="15"/>
                  <w:color w:val="0000EE"/>
                </w:rPr>
                <w:t>2013 Option Exercises and Stock Vested</w:t>
              </w:r>
            </w:hyperlink>
          </w:p>
        </w:tc>
        <w:tc>
          <w:tcPr>
            <w:tcW w:w="7040" w:type="dxa"/>
            <w:vAlign w:val="bottom"/>
            <w:gridSpan w:val="14"/>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3180" w:type="dxa"/>
            <w:vAlign w:val="bottom"/>
            <w:gridSpan w:val="18"/>
            <w:vMerge w:val="continue"/>
          </w:tcPr>
          <w:p>
            <w:pPr>
              <w:spacing w:after="0"/>
              <w:rPr>
                <w:sz w:val="15"/>
                <w:szCs w:val="15"/>
                <w:color w:val="auto"/>
              </w:rPr>
            </w:pPr>
          </w:p>
        </w:tc>
        <w:tc>
          <w:tcPr>
            <w:tcW w:w="7040" w:type="dxa"/>
            <w:vAlign w:val="bottom"/>
            <w:gridSpan w:val="14"/>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46">
              <w:r>
                <w:rPr>
                  <w:rFonts w:ascii="Arial" w:cs="Arial" w:eastAsia="Arial" w:hAnsi="Arial"/>
                  <w:sz w:val="15"/>
                  <w:szCs w:val="15"/>
                  <w:color w:val="0000EE"/>
                  <w:w w:val="83"/>
                </w:rPr>
                <w:t>43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0" w:type="dxa"/>
            <w:vAlign w:val="bottom"/>
            <w:gridSpan w:val="14"/>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10220" w:type="dxa"/>
            <w:vAlign w:val="bottom"/>
            <w:gridSpan w:val="32"/>
          </w:tcPr>
          <w:p>
            <w:pPr>
              <w:spacing w:after="0" w:line="163" w:lineRule="exact"/>
              <w:rPr>
                <w:rFonts w:ascii="Arial" w:cs="Arial" w:eastAsia="Arial" w:hAnsi="Arial"/>
                <w:sz w:val="15"/>
                <w:szCs w:val="15"/>
                <w:color w:val="0000EE"/>
              </w:rPr>
            </w:pPr>
            <w:hyperlink w:anchor="page46">
              <w:r>
                <w:rPr>
                  <w:rFonts w:ascii="Arial" w:cs="Arial" w:eastAsia="Arial" w:hAnsi="Arial"/>
                  <w:sz w:val="15"/>
                  <w:szCs w:val="15"/>
                  <w:color w:val="0000EE"/>
                </w:rPr>
                <w:t>Pension Benefits and Non-qualified Deferred Compensation</w:t>
              </w:r>
            </w:hyperlink>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46">
              <w:r>
                <w:rPr>
                  <w:rFonts w:ascii="Arial" w:cs="Arial" w:eastAsia="Arial" w:hAnsi="Arial"/>
                  <w:sz w:val="15"/>
                  <w:szCs w:val="15"/>
                  <w:color w:val="0000EE"/>
                  <w:w w:val="83"/>
                </w:rPr>
                <w:t>43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4000" w:type="dxa"/>
            <w:vAlign w:val="bottom"/>
            <w:tcBorders>
              <w:bottom w:val="single" w:sz="8" w:color="0000EE"/>
            </w:tcBorders>
            <w:gridSpan w:val="25"/>
          </w:tcPr>
          <w:p>
            <w:pPr>
              <w:spacing w:after="0" w:line="163" w:lineRule="exact"/>
              <w:rPr>
                <w:rFonts w:ascii="Arial" w:cs="Arial" w:eastAsia="Arial" w:hAnsi="Arial"/>
                <w:sz w:val="15"/>
                <w:szCs w:val="15"/>
                <w:color w:val="0000EE"/>
                <w:w w:val="91"/>
              </w:rPr>
            </w:pPr>
            <w:hyperlink w:anchor="page46">
              <w:r>
                <w:rPr>
                  <w:rFonts w:ascii="Arial" w:cs="Arial" w:eastAsia="Arial" w:hAnsi="Arial"/>
                  <w:sz w:val="15"/>
                  <w:szCs w:val="15"/>
                  <w:color w:val="0000EE"/>
                  <w:w w:val="91"/>
                </w:rPr>
                <w:t>2013 Potential Payments Upon Termination or Change in Control</w:t>
              </w:r>
            </w:hyperlink>
          </w:p>
        </w:tc>
        <w:tc>
          <w:tcPr>
            <w:tcW w:w="6220" w:type="dxa"/>
            <w:vAlign w:val="bottom"/>
            <w:gridSpan w:val="7"/>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46">
              <w:r>
                <w:rPr>
                  <w:rFonts w:ascii="Arial" w:cs="Arial" w:eastAsia="Arial" w:hAnsi="Arial"/>
                  <w:sz w:val="15"/>
                  <w:szCs w:val="15"/>
                  <w:color w:val="0000EE"/>
                  <w:w w:val="83"/>
                </w:rPr>
                <w:t>43</w:t>
              </w:r>
            </w:hyperlink>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rFonts w:ascii="Arial" w:cs="Arial" w:eastAsia="Arial" w:hAnsi="Arial"/>
                <w:sz w:val="15"/>
                <w:szCs w:val="15"/>
                <w:color w:val="0000EE"/>
                <w:w w:val="95"/>
              </w:rPr>
            </w:pPr>
            <w:hyperlink w:anchor="page50">
              <w:r>
                <w:rPr>
                  <w:rFonts w:ascii="Arial" w:cs="Arial" w:eastAsia="Arial" w:hAnsi="Arial"/>
                  <w:sz w:val="15"/>
                  <w:szCs w:val="15"/>
                  <w:color w:val="0000EE"/>
                  <w:w w:val="95"/>
                </w:rPr>
                <w:t>OTHER MATTERS</w:t>
              </w:r>
            </w:hyperlink>
          </w:p>
        </w:tc>
        <w:tc>
          <w:tcPr>
            <w:tcW w:w="9360" w:type="dxa"/>
            <w:vAlign w:val="bottom"/>
            <w:gridSpan w:val="31"/>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40" w:type="dxa"/>
            <w:vAlign w:val="bottom"/>
            <w:tcBorders>
              <w:bottom w:val="single" w:sz="8" w:color="0000EE"/>
            </w:tcBorders>
            <w:gridSpan w:val="2"/>
            <w:vMerge w:val="continue"/>
          </w:tcPr>
          <w:p>
            <w:pPr>
              <w:spacing w:after="0"/>
              <w:rPr>
                <w:sz w:val="15"/>
                <w:szCs w:val="15"/>
                <w:color w:val="auto"/>
              </w:rPr>
            </w:pPr>
          </w:p>
        </w:tc>
        <w:tc>
          <w:tcPr>
            <w:tcW w:w="9360" w:type="dxa"/>
            <w:vAlign w:val="bottom"/>
            <w:gridSpan w:val="31"/>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50">
              <w:r>
                <w:rPr>
                  <w:rFonts w:ascii="Arial" w:cs="Arial" w:eastAsia="Arial" w:hAnsi="Arial"/>
                  <w:sz w:val="15"/>
                  <w:szCs w:val="15"/>
                  <w:color w:val="0000EE"/>
                  <w:w w:val="83"/>
                </w:rPr>
                <w:t>47</w:t>
              </w:r>
            </w:hyperlink>
          </w:p>
        </w:tc>
        <w:tc>
          <w:tcPr>
            <w:tcW w:w="0" w:type="dxa"/>
            <w:vAlign w:val="bottom"/>
          </w:tcPr>
          <w:p>
            <w:pPr>
              <w:spacing w:after="0"/>
              <w:rPr>
                <w:sz w:val="1"/>
                <w:szCs w:val="1"/>
                <w:color w:val="auto"/>
              </w:rPr>
            </w:pPr>
          </w:p>
        </w:tc>
      </w:tr>
      <w:tr>
        <w:trPr>
          <w:trHeight w:val="20"/>
        </w:trPr>
        <w:tc>
          <w:tcPr>
            <w:tcW w:w="10600" w:type="dxa"/>
            <w:vAlign w:val="bottom"/>
            <w:gridSpan w:val="33"/>
            <w:vMerge w:val="restart"/>
          </w:tcPr>
          <w:p>
            <w:pPr>
              <w:spacing w:after="0"/>
              <w:rPr>
                <w:rFonts w:ascii="Arial" w:cs="Arial" w:eastAsia="Arial" w:hAnsi="Arial"/>
                <w:sz w:val="15"/>
                <w:szCs w:val="15"/>
                <w:color w:val="0000EE"/>
              </w:rPr>
            </w:pPr>
            <w:hyperlink w:anchor="page51">
              <w:r>
                <w:rPr>
                  <w:rFonts w:ascii="Arial" w:cs="Arial" w:eastAsia="Arial" w:hAnsi="Arial"/>
                  <w:sz w:val="15"/>
                  <w:szCs w:val="15"/>
                  <w:color w:val="0000EE"/>
                </w:rPr>
                <w:t>CONTACT FOR QUESTIONS AND ASSISTANCE WITH VOTING</w:t>
              </w:r>
            </w:hyperlink>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33"/>
            <w:vMerge w:val="continue"/>
          </w:tcPr>
          <w:p>
            <w:pPr>
              <w:spacing w:after="0"/>
              <w:rPr>
                <w:sz w:val="15"/>
                <w:szCs w:val="15"/>
                <w:color w:val="auto"/>
              </w:rPr>
            </w:pPr>
          </w:p>
        </w:tc>
        <w:tc>
          <w:tcPr>
            <w:tcW w:w="300" w:type="dxa"/>
            <w:vAlign w:val="bottom"/>
            <w:gridSpan w:val="3"/>
          </w:tcPr>
          <w:p>
            <w:pPr>
              <w:jc w:val="center"/>
              <w:spacing w:after="0" w:line="169" w:lineRule="exact"/>
              <w:rPr>
                <w:rFonts w:ascii="Arial" w:cs="Arial" w:eastAsia="Arial" w:hAnsi="Arial"/>
                <w:sz w:val="15"/>
                <w:szCs w:val="15"/>
                <w:color w:val="0000EE"/>
                <w:w w:val="83"/>
              </w:rPr>
            </w:pPr>
            <w:hyperlink w:anchor="page51">
              <w:r>
                <w:rPr>
                  <w:rFonts w:ascii="Arial" w:cs="Arial" w:eastAsia="Arial" w:hAnsi="Arial"/>
                  <w:sz w:val="15"/>
                  <w:szCs w:val="15"/>
                  <w:color w:val="0000EE"/>
                  <w:w w:val="83"/>
                </w:rPr>
                <w:t>48</w:t>
              </w:r>
            </w:hyperlink>
          </w:p>
        </w:tc>
        <w:tc>
          <w:tcPr>
            <w:tcW w:w="0" w:type="dxa"/>
            <w:vAlign w:val="bottom"/>
          </w:tcPr>
          <w:p>
            <w:pPr>
              <w:spacing w:after="0"/>
              <w:rPr>
                <w:sz w:val="1"/>
                <w:szCs w:val="1"/>
                <w:color w:val="auto"/>
              </w:rPr>
            </w:pPr>
          </w:p>
        </w:tc>
      </w:tr>
      <w:tr>
        <w:trPr>
          <w:trHeight w:val="27"/>
        </w:trPr>
        <w:tc>
          <w:tcPr>
            <w:tcW w:w="380" w:type="dxa"/>
            <w:vAlign w:val="bottom"/>
            <w:tcBorders>
              <w:right w:val="single" w:sz="8" w:color="0000EE"/>
            </w:tcBorders>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00"/>
          </w:cols>
          <w:pgMar w:left="460" w:top="580"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(866) 779-7641</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ANNUAL MEETING OF STOCKHOLDERS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and proxy card are furnished in connection with the solicitation of proxies to be voted at the 2014 annual meeting of stockholders (the “Annual Meeting”) of RPX Corporation (sometimes referred to as “we”, the “Company” or “RPX”), which will be held at the offices of the Company at One Market Plaza, Steuart Tower, Suite 800, San Francisco, California 94105, on Tuesday, June 17, 2014 at 10:00 a.m. local time. Directions to the Company’s offices are available on the “About RPX” section of our website located at http://www.rpxcorp.com.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making this proxy statement and our annual report available to stockholders at http://ir.rpxcorp.com/annual-proxy.cfm. On May 5, 2014, we will begin mailing to our stockholders (i) a copy of this proxy statement, a proxy card and our annual report or (ii) a notice (the “Notice”) containing instructions on how to access and review this proxy statement and our annual report. The Notice also describes how you may submit your proxy over the Internet. If you receive a Notice and would like to receive a printed copy of our proxy materials, you should follow the instructions for requesting those materials included in the Notice.</w:t>
      </w:r>
    </w:p>
    <w:p>
      <w:pPr>
        <w:spacing w:after="0" w:line="18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have received these proxy materials because you owned shares of RPX common stock as of April 24, 2014, the record date for the Annual Meeting, and our board of directors is soliciting your proxy to vote at the Annual Meeting. This proxy statement describes issues on which we would like you to vote at the Annual Meeting. It also gives you information on these issues so that you can make an informed decision.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rules adopted by the Securities and Exchange Commission (the “SEC”), we are permitted to furnish our proxy materials over the Internet to our stockholders by delivering a Notice in the mail. The Notice instructs stockholders on how to access and review the proxy statement and annual report over the Internet at www.proxyvote.com. The Notice also instructs stockholders on how they may submit their proxy over the Internet. If a stockholder who received a Notice would like to receive a printed copy of our proxy materials, such stockholder should follow the instructions for requesting these materials contained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invited to attend the Annual Meeting to vote on the proposals described in this proxy statement. However, you do not need to attend the meeting to vote your shares. Instead, you may simply follow the instructions below to submit your proxy via telephone or on the Internet. If you received a printed set of materials, you may also vote by mail by signing, dating and returning the proxy card.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you vote by using the Internet, by telephone or by signing and returning the proxy card, you appoint Ned D. Segal and Martin E. Roberts as your representatives (or proxy holders) at the Annual Meeting. They will vote your shares at the Annual Meeting as you have instructed them or, if an issue that is not on the proxy card comes up for vote, in accordance with their best judgment. This way, your shares will be voted whether or not you attend the Annual Meeting.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Only stockholders of record at the close of business on April 24, 2014, the record date for the Annual Meeting, will be entitled to vote at the Annual Meeting. On the record date, there were 53,006,237 shares of the Company’s common stock outstanding. All of these outstanding shares are entitled to vote at the Annual Meeting (one vote per share of common stock) in connection with the matters set forth in this proxy statement.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Delaware law, a list of stockholders entitled to vote at the meeting will be available at the place of the Annual Meeting on June 17, 2014 and will be accessible for ten days prior to the meeting at our principal place of business, One Market Plaza, Suite 800, San Francisco, California 94105, weekdays between the hours of 9:00 a.m. and 5:00 p.m. local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Stockholders of record</w:t>
      </w:r>
      <w:r>
        <w:rPr>
          <w:rFonts w:ascii="Arial" w:cs="Arial" w:eastAsia="Arial" w:hAnsi="Arial"/>
          <w:sz w:val="17"/>
          <w:szCs w:val="17"/>
          <w:color w:val="auto"/>
        </w:rPr>
        <w:t>—If your shares are registered directly in your name with our transfer agent, Computershare, you are considered,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those shares, the “stockholder of record.” If you are a stockholder of record, these proxy materials have been sent directly to you by RPX.</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—Many of our stockholders hold their shares through a broker, trustee or nominee, rather than directly in their own name.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held in a brokerage account or by a trustee or nominee, you are considered the “beneficial owner” of shares held in “street name.” If you hold your shares in street name, these proxy materials have been forwarded to you by your broker, trustee or nominee who is considered, with respect to those shares, the stockholder of record.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beneficial owner, you have the right to direct your broker, trustee or nominee on how to vote your shares. Since a beneficial owner is not the stockholder of record, you may not vote these shares in person at the Annual Meeting unless you obtain a “legal proxy” from the broker, trustee or nominee that holds your shares, giving you the right to vote the shares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—Stockholders of record may vote by using the Internet, by telephone or (if you received a proxy card by mail) by mail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Stockholders of record also may attend the meeting and vote in person.</w:t>
      </w:r>
    </w:p>
    <w:p>
      <w:pPr>
        <w:spacing w:after="0" w:line="170" w:lineRule="exact"/>
        <w:rPr>
          <w:sz w:val="20"/>
          <w:szCs w:val="20"/>
          <w:color w:val="auto"/>
        </w:rPr>
      </w:pPr>
    </w:p>
    <w:p>
      <w:pPr>
        <w:jc w:val="both"/>
        <w:ind w:left="980" w:right="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vote by using the Internet. The address of the website for Internet voting is www.investorvote.com/RPXC. Internet voting is available 24 hours a day and will be accessible until 11:59 p.m. Eastern Time on June 16, 2014. Easy-to-follow instructions allow you to vote your shares and confirm that your instructions have been properly recorded;</w:t>
      </w:r>
    </w:p>
    <w:p>
      <w:pPr>
        <w:spacing w:after="0" w:line="32"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8"/>
          <w:szCs w:val="18"/>
          <w:color w:val="auto"/>
        </w:rPr>
        <w:t>You may vote by telephone. The toll-free telephone number is noted on your proxy card. Telephone voting is available 24 hours a day and will be accessible until 11:59 p.m. Eastern Time on June 16, 2014. Easy-to-follow voice prompts allow you to vote your shares and confirm that your instructions have been properly recorded; or</w:t>
      </w:r>
    </w:p>
    <w:p>
      <w:pPr>
        <w:spacing w:after="0" w:line="32" w:lineRule="exact"/>
        <w:rPr>
          <w:rFonts w:ascii="Arial" w:cs="Arial" w:eastAsia="Arial" w:hAnsi="Arial"/>
          <w:sz w:val="16"/>
          <w:szCs w:val="16"/>
          <w:color w:val="auto"/>
        </w:rPr>
      </w:pPr>
    </w:p>
    <w:p>
      <w:pPr>
        <w:ind w:left="980" w:right="440" w:hanging="324"/>
        <w:spacing w:after="0" w:line="277"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8"/>
          <w:szCs w:val="18"/>
          <w:color w:val="auto"/>
        </w:rPr>
        <w:t>You may vote by mail. If you received a proxy card by mail and choose to vote by mail, simply mark your proxy card, date and sign it, and return it in the postage-paid envelope provided.</w:t>
      </w:r>
    </w:p>
    <w:p>
      <w:pPr>
        <w:spacing w:after="0" w:line="13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—If you hold shares through a broker, trustee or nominee, please refer to your Notice or other information forwarded by your</w:t>
      </w:r>
      <w:r>
        <w:rPr>
          <w:rFonts w:ascii="Arial" w:cs="Arial" w:eastAsia="Arial" w:hAnsi="Arial"/>
          <w:sz w:val="18"/>
          <w:szCs w:val="18"/>
          <w:i w:val="1"/>
          <w:iCs w:val="1"/>
          <w:color w:val="auto"/>
        </w:rPr>
        <w:t xml:space="preserve"> </w:t>
      </w:r>
      <w:r>
        <w:rPr>
          <w:rFonts w:ascii="Arial" w:cs="Arial" w:eastAsia="Arial" w:hAnsi="Arial"/>
          <w:sz w:val="18"/>
          <w:szCs w:val="18"/>
          <w:color w:val="auto"/>
        </w:rPr>
        <w:t>broker, trustee or nominee to see which voting options are available to you.</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method you use to vote will not limit your right to vote at the Annual Meeting if you decide to attend in person. Written ballots will be passed out to anyone who wants to vote at the Annual Meeting. If you hold your shares through a broker, trustee or nominee, you must obtain a “legal proxy,” executed in your favor, from the holder of record to be able to vote in person at the Annual Meeting.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card or follow the voting instructions described above so that your vote will be counted if you later decide not to attend the Annual Meeting.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You can revoke your proxy at any time before the final vote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you may revoke your proxy in any one of these ways:</w:t>
      </w:r>
    </w:p>
    <w:p>
      <w:pPr>
        <w:spacing w:after="0" w:line="7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submit a subsequent proxy by using the Internet, by telephone or by mail with a later date;</w:t>
      </w:r>
    </w:p>
    <w:p>
      <w:pPr>
        <w:spacing w:after="0" w:line="76" w:lineRule="exact"/>
        <w:rPr>
          <w:rFonts w:ascii="Arial" w:cs="Arial" w:eastAsia="Arial" w:hAnsi="Arial"/>
          <w:sz w:val="16"/>
          <w:szCs w:val="16"/>
          <w:color w:val="auto"/>
        </w:rPr>
      </w:pPr>
    </w:p>
    <w:p>
      <w:pPr>
        <w:ind w:left="980" w:right="640" w:hanging="324"/>
        <w:spacing w:after="0" w:line="27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deliver a written notice that you are revoking your proxy to the Secretary of the Company at One Market Plaza, Suite 800, San Francisco, California 94105;</w:t>
      </w:r>
    </w:p>
    <w:p>
      <w:pPr>
        <w:spacing w:after="0" w:line="21"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sign another proxy card with a later date and return it to us prior to the Annual Meeting; or</w:t>
      </w:r>
    </w:p>
    <w:p>
      <w:pPr>
        <w:spacing w:after="0" w:line="76"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nominee or (2) if you have obtained a legal proxy from the broker, trustee or nominee that holds your shares giving you the right to vote the shares, by attending the Annual Meeting and voting in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does RPX need to hold the Annual Meeting?</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quorum of stockholders is necessary to conduct business at the Annual Meeting. Pursuant to our bylaws, a quorum will be present if a majority of the voting power of the outstanding shares of the Company entitled to vote generally in the election of directors is represented in person or by proxy at the Annual Meeting. On the record date, there were 53,006,237 shares of common stock outstanding and entitled to vote. Thus, 26,503,119 shares must be represented in person or by proxy at the Annual Meeting to have a quorum.</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trustee or nominee) or if you attend the Annual Meeting and vote in person. Abstentions and broker non-votes will be counted for the purpose of determining whether a quorum is present for the transaction of business. If a quorum is not present, the holders of a majority of the votes present at the Annual Meeting may adjourn the Annual Meeting to another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will be voted on at the Annual Meeting?</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matters are scheduled to be voted on at the Annual Meeting:</w:t>
      </w:r>
    </w:p>
    <w:p>
      <w:pPr>
        <w:spacing w:after="0" w:line="77"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Proposal 1: To elect three Class III directors nominated by our board of directors and named in this proxy statement to serve a term of three years until our 2017 annual meeting of stockholders; and</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8"/>
          <w:szCs w:val="18"/>
          <w:color w:val="auto"/>
        </w:rPr>
        <w:t>Proposal 2: To ratify the selection of PricewaterhouseCoopers LLP as our independent registered public accounting firm for the fiscal year ending December 31,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cumulative voting rights are authorized, and dissenters’ rights are not applicable to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RPX does not know of any other matters that may be presented for action at the Annual Meeting. Should any other business come before the Annual Meeting, the persons named on the proxy card will have discretionary authority to vote the shares represented by proxies in accordance with their best judgment.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do not vote my shares?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Stockholder of Record: Shares Registered in Your Name. </w:t>
      </w:r>
      <w:r>
        <w:rPr>
          <w:rFonts w:ascii="Arial" w:cs="Arial" w:eastAsia="Arial" w:hAnsi="Arial"/>
          <w:sz w:val="18"/>
          <w:szCs w:val="18"/>
          <w:color w:val="auto"/>
        </w:rPr>
        <w:t>If you are the stockholder of record of your shares and you do not vote by proxy card,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via the Internet or in person at the Annual Meeting, your shares will not be voted at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Beneficial Owner: Shares Registered in the Name of Broker, Trustee or Nominee. </w:t>
      </w:r>
      <w:r>
        <w:rPr>
          <w:rFonts w:ascii="Arial" w:cs="Arial" w:eastAsia="Arial" w:hAnsi="Arial"/>
          <w:sz w:val="18"/>
          <w:szCs w:val="18"/>
          <w:color w:val="auto"/>
        </w:rPr>
        <w:t>Brokers, trustees or nominees who hold shares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for a beneficial owner have the discretion to vote on routine proposals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6"/>
          <w:szCs w:val="16"/>
          <w:color w:val="auto"/>
        </w:rPr>
        <w:t>when they have not received voting instructions from the beneficial owner at least ten days prior to the Annual Meeting. A broker non-vote occurs when a broker, trustee or nominee does not receive voting instructions from the beneficial owner and does not have the discretion to direct the voting of the shares. Under the rules that govern brokers, trustees or nominees who are voting shares held for a beneficial owner, brokers, trustees or nominees have the discretion to vote those shares on routine matters but not on non-routine matters. Proposal 2 is the only routine matter in this proxy statement. As such, your broker, trustee or nominee does not have discretion to vote your shares on Proposal 1 but does have discretion to vote your shares on Proposal 2.</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encourage you to provide instructions to your broker, trustee or nominee by voting your proxy. This action ensures your shares will be voted at the meeting in accordance with your wishes.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for each proposal and what is the vote required for each proposal?</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Proposal 1: Election of three Class III directors.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the election of nominees for director, you may:</w:t>
      </w:r>
    </w:p>
    <w:p>
      <w:pPr>
        <w:spacing w:after="0" w:line="7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three nominees for director;</w:t>
      </w:r>
    </w:p>
    <w:p>
      <w:pPr>
        <w:spacing w:after="0" w:line="76"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one or more nominees and “</w:t>
      </w:r>
      <w:r>
        <w:rPr>
          <w:rFonts w:ascii="Arial" w:cs="Arial" w:eastAsia="Arial" w:hAnsi="Arial"/>
          <w:sz w:val="18"/>
          <w:szCs w:val="18"/>
          <w:b w:val="1"/>
          <w:bCs w:val="1"/>
          <w:color w:val="auto"/>
        </w:rPr>
        <w:t>WITHHOLD</w:t>
      </w:r>
      <w:r>
        <w:rPr>
          <w:rFonts w:ascii="Arial" w:cs="Arial" w:eastAsia="Arial" w:hAnsi="Arial"/>
          <w:sz w:val="18"/>
          <w:szCs w:val="18"/>
          <w:color w:val="auto"/>
        </w:rPr>
        <w:t>” your vote for the remaining nominee or nominees; or</w:t>
      </w:r>
    </w:p>
    <w:p>
      <w:pPr>
        <w:spacing w:after="0" w:line="76"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w:t>
      </w:r>
      <w:r>
        <w:rPr>
          <w:rFonts w:ascii="Arial" w:cs="Arial" w:eastAsia="Arial" w:hAnsi="Arial"/>
          <w:sz w:val="18"/>
          <w:szCs w:val="18"/>
          <w:color w:val="auto"/>
        </w:rPr>
        <w:t>” your vote for all three nominees.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Directors will be elected by a plurality of the votes cast at the Annual Meeting, meaning the three nominees who are properly nominated in accordance with our bylaws and receive the most “</w:t>
      </w:r>
      <w:r>
        <w:rPr>
          <w:rFonts w:ascii="Arial" w:cs="Arial" w:eastAsia="Arial" w:hAnsi="Arial"/>
          <w:sz w:val="17"/>
          <w:szCs w:val="17"/>
          <w:b w:val="1"/>
          <w:bCs w:val="1"/>
          <w:color w:val="auto"/>
        </w:rPr>
        <w:t>FOR</w:t>
      </w:r>
      <w:r>
        <w:rPr>
          <w:rFonts w:ascii="Arial" w:cs="Arial" w:eastAsia="Arial" w:hAnsi="Arial"/>
          <w:sz w:val="17"/>
          <w:szCs w:val="17"/>
          <w:color w:val="auto"/>
        </w:rPr>
        <w:t>” votes will be elected. Only votes cast “</w:t>
      </w:r>
      <w:r>
        <w:rPr>
          <w:rFonts w:ascii="Arial" w:cs="Arial" w:eastAsia="Arial" w:hAnsi="Arial"/>
          <w:sz w:val="17"/>
          <w:szCs w:val="17"/>
          <w:b w:val="1"/>
          <w:bCs w:val="1"/>
          <w:color w:val="auto"/>
        </w:rPr>
        <w:t>FOR</w:t>
      </w:r>
      <w:r>
        <w:rPr>
          <w:rFonts w:ascii="Arial" w:cs="Arial" w:eastAsia="Arial" w:hAnsi="Arial"/>
          <w:sz w:val="17"/>
          <w:szCs w:val="17"/>
          <w:color w:val="auto"/>
        </w:rPr>
        <w:t>” a nominee will be counted. An instruction to “</w:t>
      </w:r>
      <w:r>
        <w:rPr>
          <w:rFonts w:ascii="Arial" w:cs="Arial" w:eastAsia="Arial" w:hAnsi="Arial"/>
          <w:sz w:val="17"/>
          <w:szCs w:val="17"/>
          <w:b w:val="1"/>
          <w:bCs w:val="1"/>
          <w:color w:val="auto"/>
        </w:rPr>
        <w:t>WITHHOLD</w:t>
      </w:r>
      <w:r>
        <w:rPr>
          <w:rFonts w:ascii="Arial" w:cs="Arial" w:eastAsia="Arial" w:hAnsi="Arial"/>
          <w:sz w:val="17"/>
          <w:szCs w:val="17"/>
          <w:color w:val="auto"/>
        </w:rPr>
        <w:t>” authority to vote for one or more of the nominees will result in those nominees receiving fewer votes, but will not count as a vote against the nominees. Abstentions and broker non-votes will have no effect on the outcome of the election of directors. Because the election of directors is not a matter on which a broker, trustee or nominee is generally empowered to vote, broker non-votes are expected to exist in connection with this matter.</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Proposal 2: Ratification of the selection of PricewaterhouseCoopers LLP as our independent registered public accounting firm for the fiscal year ending December 31, 2014.</w:t>
      </w:r>
    </w:p>
    <w:p>
      <w:pPr>
        <w:spacing w:after="0" w:line="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abstain from voting. To ratify the selection by the audit committee of our board of directors of PricewaterhouseCoopers LLP as the independent registered public accounting firm of the Company for the fiscal year ending December 31, 2014, the Company must receive a “</w:t>
      </w:r>
      <w:r>
        <w:rPr>
          <w:rFonts w:ascii="Arial" w:cs="Arial" w:eastAsia="Arial" w:hAnsi="Arial"/>
          <w:sz w:val="18"/>
          <w:szCs w:val="18"/>
          <w:b w:val="1"/>
          <w:bCs w:val="1"/>
          <w:color w:val="auto"/>
        </w:rPr>
        <w:t>FOR</w:t>
      </w:r>
      <w:r>
        <w:rPr>
          <w:rFonts w:ascii="Arial" w:cs="Arial" w:eastAsia="Arial" w:hAnsi="Arial"/>
          <w:sz w:val="18"/>
          <w:szCs w:val="18"/>
          <w:color w:val="auto"/>
        </w:rPr>
        <w:t>” vote from a majority of all those outstanding shares that are represented in person or by proxy and that are entitled to vote on Proposal 2 at the Annual Meeting.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appointment of the independent registered public accounting firm is a matter on which a broker, trustee or nominee is generally empowered to vote, no broker non-votes are expected to exist in connection with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director nominee is unable to stand for election?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nominee is unable to stand for election, our board of directors may either:</w:t>
      </w:r>
    </w:p>
    <w:p>
      <w:pPr>
        <w:spacing w:after="0" w:line="7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reduce the number of directors that serve on the board; or</w:t>
      </w:r>
    </w:p>
    <w:p>
      <w:pPr>
        <w:spacing w:after="0" w:line="76"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8"/>
          <w:szCs w:val="18"/>
          <w:color w:val="auto"/>
        </w:rPr>
        <w:t>designate a substitute nominee.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our board of directors designates a substitute nominee, shares represented by proxies voted for the nominee who is unable to stand for election will be voted for the substitute nominee.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unanimously recommends a vote:</w:t>
      </w:r>
    </w:p>
    <w:p>
      <w:pPr>
        <w:spacing w:after="0" w:line="73" w:lineRule="exact"/>
        <w:rPr>
          <w:sz w:val="20"/>
          <w:szCs w:val="20"/>
          <w:color w:val="auto"/>
        </w:rPr>
      </w:pPr>
    </w:p>
    <w:p>
      <w:pPr>
        <w:ind w:left="980" w:hanging="324"/>
        <w:spacing w:after="0" w:line="28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w:t>
      </w:r>
      <w:r>
        <w:rPr>
          <w:rFonts w:ascii="Arial" w:cs="Arial" w:eastAsia="Arial" w:hAnsi="Arial"/>
          <w:sz w:val="18"/>
          <w:szCs w:val="18"/>
          <w:color w:val="181818"/>
        </w:rPr>
        <w:t>Shelby W. Bonnie, Sanford R. Robertson and Thomas O. Ryder as</w:t>
      </w:r>
      <w:r>
        <w:rPr>
          <w:rFonts w:ascii="Arial" w:cs="Arial" w:eastAsia="Arial" w:hAnsi="Arial"/>
          <w:sz w:val="18"/>
          <w:szCs w:val="18"/>
          <w:color w:val="auto"/>
        </w:rPr>
        <w:t xml:space="preserve"> Class III directors to serve a term of three years until our 2017 annual meeting of stockholders; and</w:t>
      </w:r>
    </w:p>
    <w:p>
      <w:pPr>
        <w:spacing w:after="0" w:line="13" w:lineRule="exact"/>
        <w:rPr>
          <w:rFonts w:ascii="Arial" w:cs="Arial" w:eastAsia="Arial" w:hAnsi="Arial"/>
          <w:sz w:val="16"/>
          <w:szCs w:val="16"/>
          <w:color w:val="auto"/>
        </w:rPr>
      </w:pPr>
    </w:p>
    <w:p>
      <w:pPr>
        <w:ind w:left="980" w:hanging="324"/>
        <w:spacing w:after="0" w:line="28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the independent registered public accounting firm of the Company for the fiscal year ending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sign and return my proxy card but do not provide voting instructions?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return a signed and dated proxy card without marking any voting selections, your shares will be voted:</w:t>
      </w:r>
    </w:p>
    <w:p>
      <w:pPr>
        <w:spacing w:after="0" w:line="7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5"/>
          <w:szCs w:val="15"/>
          <w:color w:val="auto"/>
        </w:rPr>
      </w:pPr>
      <w:r>
        <w:rPr>
          <w:rFonts w:ascii="Arial" w:cs="Arial" w:eastAsia="Arial" w:hAnsi="Arial"/>
          <w:sz w:val="17"/>
          <w:szCs w:val="17"/>
          <w:color w:val="auto"/>
        </w:rPr>
        <w:t>Proposal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each of </w:t>
      </w:r>
      <w:r>
        <w:rPr>
          <w:rFonts w:ascii="Arial" w:cs="Arial" w:eastAsia="Arial" w:hAnsi="Arial"/>
          <w:sz w:val="17"/>
          <w:szCs w:val="17"/>
          <w:color w:val="181818"/>
        </w:rPr>
        <w:t>Shelby W. Bonnie, Sanford R. Robertson and Thomas O. Ryder as</w:t>
      </w:r>
      <w:r>
        <w:rPr>
          <w:rFonts w:ascii="Arial" w:cs="Arial" w:eastAsia="Arial" w:hAnsi="Arial"/>
          <w:sz w:val="17"/>
          <w:szCs w:val="17"/>
          <w:color w:val="auto"/>
        </w:rPr>
        <w:t xml:space="preserve"> Class III directors; and</w:t>
      </w:r>
    </w:p>
    <w:p>
      <w:pPr>
        <w:spacing w:after="0" w:line="88" w:lineRule="exact"/>
        <w:rPr>
          <w:rFonts w:ascii="Arial" w:cs="Arial" w:eastAsia="Arial" w:hAnsi="Arial"/>
          <w:sz w:val="15"/>
          <w:szCs w:val="15"/>
          <w:color w:val="auto"/>
        </w:rPr>
      </w:pPr>
    </w:p>
    <w:p>
      <w:pPr>
        <w:ind w:left="980" w:hanging="324"/>
        <w:spacing w:after="0" w:line="28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our independent registered public accounting firm for the fiscal year ending December 31, 2014.</w:t>
      </w:r>
    </w:p>
    <w:p>
      <w:pPr>
        <w:spacing w:after="0" w:line="1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8"/>
          <w:szCs w:val="18"/>
          <w:color w:val="auto"/>
        </w:rPr>
        <w:t>If any other matter is properly presented at the Annual Meeting, the proxy holders for shares voted on the proxy card (i.e., one of the individuals named as proxies on your proxy card) will vote your shares using his or her best judgment.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You will need proof of your share ownership (such as a recent brokerage statement or letter from your broker showing that you owned shares of RPX Corporation common stock as of April 24, 2014) and a form of photo identification. If you do not have proof of ownership and valid photo identification, you may not be admitted to the Annual Meeting. All bags, briefcases and packages will be held at registration and will not be allowed in the meeting. We will not permit the use of cameras (including cell phones with photographic capabilities) or other recording devices in the meeting room.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proxy is being solicited by the board of directors of the Company.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Preliminary voting results are expected to be announced at the Annual Meeting. Final voting results are expected to be reported on a Current Report on Form 8-K filed with the SEC no later than June 23,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RPX’s proxy materials and annual report on the Internet?</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and the 2013 annual report are available at our corporate website at http://ir.rpxcorp.com/annual-proxy.cfm, which, in accordance with SEC rules, does not have “cookies” that identify visitors to the site. You can also obtain copies without charge at the SEC’s website at www.sec.gov.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do I obtain a separate set of RPX’s proxy materials if I share an address with other stockholders?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and have not given contrary instructions received only one copy of the Notice. This practice is designed to reduce duplicate mailings and save printing and postage costs as well as natural resources. If you would like to have a separate copy of the Notice or our annual report and/or proxy statement mailed to you or to receive separate copies of future mailings, please submit your request to the address or phone number that appears on your Notice or proxy card. We will deliver such additional copies promptly upon receipt of such request.</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other cases, stockholders receiving multiple copies of the Notice at the same address may wish to receive only one. If you would like to receive only one copy if you now receive more than one, please submit your request to the address or phone number that appears on your Notice or proxy card.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receive future proxy materials and annual reports electronically?</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Yes. This proxy statement and the 2013 annual report are available on the investor relations section of our website located at http://ir.rpxcorp.com/annual-proxy.cfm. Instead of receiving paper copies in the mail, stockholders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and will give you an automatic link to the proxy voting site. The inclusion of our website address in this proxy statement does not include or incorporate by reference the information on our website into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have any questions, would like additional RPX proxy materials or proxy cards, or need assistance in voting your shares, please call our investor relations line at (415) 418-2563.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submit a proposal for consideration at the 2015 annual meeting of stockholders?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of the Company may submit proper proposals for consideration at our 2015 annual meeting of stockholders by submitting their proposals in writing to the Secretary of the Company in a timely manner.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Requirements for stockholder proposals to be considered for inclusion in our proxy material</w:t>
      </w:r>
      <w:r>
        <w:rPr>
          <w:rFonts w:ascii="Arial" w:cs="Arial" w:eastAsia="Arial" w:hAnsi="Arial"/>
          <w:sz w:val="18"/>
          <w:szCs w:val="18"/>
          <w:color w:val="auto"/>
        </w:rPr>
        <w:t>—In order to be considered for inclusion in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for the 2015 annual meeting of stockholders, stockholder proposals must:</w:t>
      </w:r>
    </w:p>
    <w:p>
      <w:pPr>
        <w:spacing w:after="0" w:line="2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be received by the Secretary of the Company no later than the close of business on December 30, 2014; and</w:t>
      </w:r>
    </w:p>
    <w:p>
      <w:pPr>
        <w:spacing w:after="0" w:line="7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8"/>
          <w:szCs w:val="18"/>
          <w:color w:val="auto"/>
        </w:rPr>
        <w:t>otherwise comply with the requirements of Delaware law, Rule 14a-8 of the Securities Exchange Act of 1934, as amended (the “Exchange Act”) and our bylaws.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Requirements for stockholder proposals to be brought before an annual meeting</w:t>
      </w:r>
      <w:r>
        <w:rPr>
          <w:rFonts w:ascii="Arial" w:cs="Arial" w:eastAsia="Arial" w:hAnsi="Arial"/>
          <w:sz w:val="16"/>
          <w:szCs w:val="16"/>
          <w:color w:val="auto"/>
        </w:rPr>
        <w:t>—In addition, our bylaws establish an advance notice procedure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wish to present certain matters before an annual meeting of stockholders. In general, nominations for the election of directors may be made</w:t>
      </w:r>
    </w:p>
    <w:p>
      <w:pPr>
        <w:jc w:val="both"/>
        <w:ind w:firstLine="8"/>
        <w:spacing w:after="0" w:line="253"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(2) by any stockholder entitled to vote who has timely delivered written notice to the Secretary of the Company during the Notice Period (as defined below), which notice must contain specified information concerning the nominees and concerning the stockholder proposing such nominations. However, if a stockholder wishes only to recommend a candidate for consideration by the nominating and corporate governance committee as a potential nominee for director, see the procedures discussed below in “Corporate Governance—Board Committees—Nominating and Corporate Governance Committee.”</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bylaws also provide that the only business that may be conducted at an annual meeting is business that is brought (1) pursuant to the notice of meeting (or any supplement thereto), (2) by or at the direction of the board of directors, or (3) by a stockholder who has timely delivered written notice which sets forth all information required by the bylaws to the Secretary of the Company during the Notice Period (as defined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jc w:val="both"/>
        <w:ind w:firstLine="648"/>
        <w:spacing w:after="0" w:line="279" w:lineRule="auto"/>
        <w:rPr>
          <w:sz w:val="20"/>
          <w:szCs w:val="20"/>
          <w:color w:val="auto"/>
        </w:rPr>
      </w:pPr>
      <w:r>
        <w:rPr>
          <w:rFonts w:ascii="Arial" w:cs="Arial" w:eastAsia="Arial" w:hAnsi="Arial"/>
          <w:sz w:val="17"/>
          <w:szCs w:val="17"/>
          <w:color w:val="auto"/>
        </w:rPr>
        <w:t>The “Notice Period” is defined as the period commencing on the date 75 days prior to the one year anniversary of the date on which RPX first mailed its proxy materials to stockholders for the previous year’s annual meeting of stockholders and terminating on the date 45 days prior to the one year anniversary of the date on which RPX first mailed its proxy materials to stockholders for the previous year’s annual meeting of stockholders. As a result, the Notice Period for our 2015 annual meeting of stockholders will be from February 19, 2015 to March 21, 2015.</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stockholder who has notified RPX of his or her intention to present a proposal at an annual meeting does not appear to present his or her proposal at such meeting, we need not present the proposal for vote at such meeting.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copy of our bylaw provisions governing the notice requirements set forth above may be obtained by writing to the Secretary of the Company. A current copy of our bylaws is also available at our corporate website at www.rpxcorp.com. The inclusion of our website address in this proxy statement does not include or incorporate by reference the information on our website into this proxy statement. Such requests and all notices of proposals and director nominations by stockholders should be sent to RPX Corporation, One Market Plaza, Suite 800, San Francisco, California 94105, Attention: Secretary of the Company.</w:t>
      </w:r>
    </w:p>
    <w:p>
      <w:pPr>
        <w:spacing w:after="0" w:line="18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for the Annual Meeting to be Held on Tuesday, June 17, 2014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and our annual report are available on-line at http://ir.rpxcorp.com/annual-proxy.cfm.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currently comprises nine directors divided into three classes with staggered three-year terms. There are currently three directors in Class I, three directors in Class II and three directors in Class III. The term of office of our Class I directors, Izhar Armony, Frank E. Dangeard and Randy Komisar, will expire at the 2015 annual meeting of stockholders. The term of office of our Class II directors, John A. Amster, Geoffrey T. Barker and Steven L. Fingerhood, will expire at the 2016 annual meeting of stockholders. The term of office of our Class III directors, Shelby W. Bonnie, Sanford R. Robertson and Thomas O. Ryder, will expire at this year’s Annual Meeting. There are no family relationships among any of our directors or executive officers. It is our policy to encourage nominees for director to attend the Annual Meeting. Mr. Armony has notified the board of directors of his intention to resign from the board of directors effective upon June 18,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III Directors at the Annual Meeting</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year’s nominees for election to the board as our Class III directors to serve for a term of three years expiring at the 2017 annual meeting of stockholders, or until their successors have been duly elected and qualified or until their earlier death, resignation or removal, are provided below. The age of each director as of April 24, 2014 is set forth below. Each of the nominees has agreed to serve as a director if elected, and we have no reason to believe that any of the nominees will be unable to serve if elected.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Positions and Offices Held with Company</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Director Since</w:t>
            </w:r>
          </w:p>
        </w:tc>
      </w:tr>
      <w:tr>
        <w:trPr>
          <w:trHeight w:val="25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Shelby W. Bonnie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21"/>
                <w:szCs w:val="21"/>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Sanford R. Robertson</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82</w:t>
            </w:r>
          </w:p>
        </w:tc>
        <w:tc>
          <w:tcPr>
            <w:tcW w:w="12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O. Ryder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21"/>
                <w:szCs w:val="21"/>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additional information about each of the nominees as of the date of this proxy statement,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nominee should serve as one of our directors.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Shelby W. Bonnie, age 49, has been a director of our company since January 2011. Mr. Bonnie is a Managing Director of Allen &amp; Company, a position he has held since September of 2012. Previously, Mr. Bonnie was the CEO of Whiskey Media LLC, a position he held from June 2007 until February 2012. Mr. Bonnie was a co-founder of CNET Networks, Inc. and was at CNET Networks, Inc. as both an executive and member of the board of directors from 1993 to 2006, including as Chief Executive Officer from March 2000 until October 2006. Prior to joining CNET Networks, Inc., Mr. Bonnie held positions at Tiger Management Corporation, a New York-based investment management firm, Lynx Capital, a private equity fund, and Morgan Stanley &amp; Co. Inc. Mr. Bonnie also served as a member of the board of directors of Warner Music Group Corp., a global record company, from November 2005 until July 2011. Mr. Bonnie received a B.S. in Commerce from the University of Virginia and an M.B.A. from Harvard Business School. Our board of directors determined that Mr. Bonnie should serve as a director based on his extensive experience in the technology industry, as well as his skills relating to financial statement and accounting matters.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Sanford R. Robertson, age 82, has been a director of our company since May 2011. Mr. Robertson has been a partner of Francisco Partners, a technology buyout fund, since 1999. Prior to founding Francisco Partners, Mr. Robertson was the founder and chairman of Robertson, Stephens &amp; Co., a technology investment bank formed in 1978 and sold to BankBoston in 1998. Since the sale, Mr. Robertson has been a technology investor and advisor to several technology companies. Mr. Robertson was also the founder of Robertson, Colman, Siebel &amp; Weisel, later renamed Montgomery Securities, another technology investment bank. Mr. Robertson also serves on the boards of directors of Dolby Laboratories, Inc., Pain Therapeutics, Inc., salesforce.com, inc. and the Schwab Charitable Fund.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Mr. Robertson received a B.B.A. and an M.B.A. from the University of Michigan. Our board of directors determined that Mr. Robertson should serve as a director based on his extensive experience in investment banking, private equity and capital markets transactions in the technology industry, as well as his service on the boards of other publicly held companies.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Thomas O. Ryder, age 69, has been a director of our company since December 2009. Mr. Ryder has been a director of Starwood Hotels &amp; Resorts Worldwide, Inc. since April 2001, Amazon.com, Inc. since November 2002 and Quad/Graphics, Inc. since July 2010 and was Chairman of the board of directors at Virgin Mobile USA, Inc. from October 2007 to November 2009. Mr. Ryder was Chairman of the Reader’s Digest Association, Inc. from April 1998 to December 2007 and was its Chief Executive Officer from April 1998 to December 2005. Mr. Ryder received a B.A. in Journalism from Louisiana State University. Our board of directors determined that Mr. Ryder should serve as a director based on his experience as a senior executive of a large company, including experience with intellectual property, as well as his customer experience skills and skills relating to financial statement and accounting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 of the Board for Proposal 1</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affirmative vote of a plurality of the votes cast at the Annual Meeting is required for the election of our Class III directors. The three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among votes properly cast in person or by proxy will be elected to the board as Class III directors.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your vote on each of the nominees for election as director. Shares represented by signed proxy cards will be voted on Proposal 1 “</w:t>
      </w:r>
      <w:r>
        <w:rPr>
          <w:rFonts w:ascii="Arial" w:cs="Arial" w:eastAsia="Arial" w:hAnsi="Arial"/>
          <w:sz w:val="18"/>
          <w:szCs w:val="18"/>
          <w:b w:val="1"/>
          <w:bCs w:val="1"/>
          <w:color w:val="auto"/>
        </w:rPr>
        <w:t>FOR</w:t>
      </w:r>
      <w:r>
        <w:rPr>
          <w:rFonts w:ascii="Arial" w:cs="Arial" w:eastAsia="Arial" w:hAnsi="Arial"/>
          <w:sz w:val="18"/>
          <w:szCs w:val="18"/>
          <w:color w:val="auto"/>
        </w:rPr>
        <w:t>” the election of Messrs. Bonnie, Robertson and Ryder to the board of directors at the Annual Meeting, unless otherwise marked on the card. A broker non-vote or a properly executed proxy marked “</w:t>
      </w:r>
      <w:r>
        <w:rPr>
          <w:rFonts w:ascii="Arial" w:cs="Arial" w:eastAsia="Arial" w:hAnsi="Arial"/>
          <w:sz w:val="18"/>
          <w:szCs w:val="18"/>
          <w:b w:val="1"/>
          <w:bCs w:val="1"/>
          <w:color w:val="auto"/>
        </w:rPr>
        <w:t>WITHHOLD</w:t>
      </w:r>
      <w:r>
        <w:rPr>
          <w:rFonts w:ascii="Arial" w:cs="Arial" w:eastAsia="Arial" w:hAnsi="Arial"/>
          <w:sz w:val="18"/>
          <w:szCs w:val="18"/>
          <w:color w:val="auto"/>
        </w:rPr>
        <w:t>” with respect to the election of a Class III director will not be voted with respect to such director, although it will be counted for purposes of determining whether there is a quorum.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YOU VOTE “FOR” SHELBY W. BONNIE, SANFORD 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ROBERTSON AND THOMAS O. RYDER.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about those directors whose terms do not expire at the Annual Meeting is furnished below,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director should serve as one of our directors. The age of each director as of April 24, 2014 is set forth below.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Positions and Offices Held with Company</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Director Since</w:t>
            </w:r>
          </w:p>
        </w:tc>
      </w:tr>
      <w:tr>
        <w:trPr>
          <w:trHeight w:val="25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Izhar Armony*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Frank E. Dangeard</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Randy Komisar</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John A. Amster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President; 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Geoffrey T. Barker</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Executive Director; 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Steven L. Fingerhood</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5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8"/>
          <w:szCs w:val="18"/>
          <w:color w:val="auto"/>
        </w:rPr>
        <w:t>* Mr. Armony has notified the board of directors of his intention to resign from the board of directors effective upon June 18,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(Terms Expire in 2015)</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Izhar Armony, age 50, has been a director of the Company since August 2008. Mr. Armony has been a general partner at Charles River Ventures, a venture capital investment firm, since 1997. Prior to joining Charles River Ventures, Mr. Armony was with Onyx Interactive, an interactive training company based in Tel Aviv where he served as Vice President of Marketing and Business Development. Mr. Armony also served as an officer in the Israeli Army. Mr. Armony has been a director of Virtusa Corporation since 2004 and also serves as a director of a number of privately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held companies. Mr. Armony received an M.B.A. from the Wharton School of Business and an M.A. in Cognitive Psychology from the University of Tel Aviv in Israel. Our board of directors determined that Mr. Armony should serve as a director based on his extensive experience in the technology industry and venture capital.</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Frank E. Dangeard, age 56, has been a director of the Company since April 2014. He has been the Managing Partner of Harcourt, an advisory and investment firm, since March 2008. Mr. Dangeard was Chairman and Chief Executive Officer of Thomson, a provider of digital video technologies, solutions and services, from September 2004 to February 2008. From September 2002 to September 2004, he was Deputy CEO of France Telecom, a global telecommunications operator. From 1997 to 2002, Mr. Dangeard was Deputy CEO of Thomson Multimedia and Thomson S.A. and was appointed Deputy Chairman of Thomson Multimedia in 1999. Prior to joining Thomson Multimedia and Thomson S.A., Mr. Dangeard was Managing Director of SG Warburg from 1988 to 1997. Mr. Dangeard also serves on the boards of directors of Atari S.A., Symantec Corporation, and Telenor Group, as well as a number of privately held companies. He graduated from the École des Hautes Études Commerciales, the Paris Institut d’Études Politiques and holds an L.L.M from Harvard Law School. Our board of directors determined that Mr. Dangeard should serve as a director based on his extensive experience as a senior executive and investor in the technology industry as well as his skills relating to financial statements and accounting matters.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Randy Komisar, age 59, has been a director of the Company since August 2008. Mr. Komisar has been a partner at Kleiner Perkins Caufield &amp; Byers, a venture capital investment firm, since 2005. Prior to joining Kleiner Perkins Caufield &amp; Byers, Mr. Komisar worked with entrepreneurs creating businesses in the technology industry. Mr. Komisar was a director of TiVo Inc. from 1998 to 2010. During the past five years, Mr. Komisar has also been a director of a number of privately held companies. Mr. Komisar received a J.D. from Harvard Law School and a B.A. in Economics from Brown University. Our board of directors determined that Mr. Komisar should serve as a director based on his extensive experience in the technology industry and venture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(Terms Expire in 2016)</w:t>
      </w:r>
    </w:p>
    <w:p>
      <w:pPr>
        <w:spacing w:after="0" w:line="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John A. Amster, age 45, has served as our Chief Executive Officer since March 2010, our Co-Chief Executive Officer from our inception until March 2010 and a director since our inception. Prior to founding our company, Mr. Amster served as the General Manager of Strategic Acquisitions and Vice President of Licensing at Intellectual Ventures, a patent licensing firm, where he was responsible for strategic acquisitions of patent portfolios as well as developing the software and e-commerce licensing programs, from 2005 to 2008. From 2003 to 2004, Mr. Amster served as Managing Director and founded the M&amp;A Advisory practice for Ocean Tomo, an intellectual property and brokerage firm. From 1998 to 2003, Mr. Amster served in various positions, most recently as Vice President and Secretary, at InterTrust Technologies, where he worked on intellectual property transactions, merger and acquisition activities and late-stage financing activities. Mr. Amster received a J.D. from Benjamin N. Cardozo School of Law and a B.A. from Middlebury College. Our board of directors determined that Mr. Amster should serve as a director based on his position as an officer of our company, his history as one of our founders and largest stockholders and his experience in the fields of intellectual property and law.</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Geoffrey T. Barker, age 52 and a founder of our company, has served as our Executive Director since September 2012, our Chief Operating Officer from March 2010 until September 2012, our Co-Chief Executive Officer from our inception until March 2010 and a director since our inception. Prior to founding our company, Mr. Barker served as Vice President of Licensing at Intellectual Ventures, where he was responsible for the portfolio development and licensing strategy of its software patent portfolio from 2006 to 2008. From 2000 to 2006, Mr. Barker served as founder, Chairman and CEO of Vigilos, Inc., which provided a platform for controlling and managing the physical security systems of large enterprises. Prior to founding Vigilos, Mr. Barker was co-founder and co-CEO of The Cobalt Group from 1995 to 2000. Prior to that, Mr. Barker held positions in trading, research and investment banking with Kidder, Peabody &amp; Company, Salomon Brothers Inc. and Piper Jaffray Incorporated. Mr. Barker has also served as a director of a number of privately held companies. Mr. Barker received an M.B.A. from Columbia University and a B.A. in Economics from Tufts University. Our board of directors determined that Mr. Barker should serve as a director based on his position as an officer of our company, his history as one of our founders and largest stockholders and his experience in the fields of technology, finance and intellectual property.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648"/>
        <w:spacing w:after="0" w:line="290" w:lineRule="auto"/>
        <w:rPr>
          <w:sz w:val="20"/>
          <w:szCs w:val="20"/>
          <w:color w:val="auto"/>
        </w:rPr>
      </w:pPr>
      <w:r>
        <w:rPr>
          <w:rFonts w:ascii="Arial" w:cs="Arial" w:eastAsia="Arial" w:hAnsi="Arial"/>
          <w:sz w:val="16"/>
          <w:szCs w:val="16"/>
          <w:color w:val="auto"/>
        </w:rPr>
        <w:t>Steven L. Fingerhood, age 56, has been a director of our company since April 2012. Mr. Fingerhood is the managing partner of Technology Opportunity Partners, L.P., a private investment partnership, a position he has held since 2003. Previously, Mr. Fingerhood was the founder of Zero Gravity Technologies Corporation, a developer of document security solutions, and served as its chairman and Chief Executive Officer until its sale to InterTrust Technologies Corporation in 2001. Prior to that, Mr. Fingerhood founded and was Chief Executive Officer of Direct Language Communications, Inc., a provider of localization services to the technology industry. Mr. Fingerhood also served as lead independent director on the board of Harris Interactive Inc. until its acquisition by Nielsen Holdings N.V. on February 3, 2014. Mr. Fingerhood received a J.D. from Harvard Law School and a B.A. in Economics from Harvard University. Our board of directors determined that Mr. Fingerhood should serve as a director because of his extensive experience as an entrepreneur, investor and senior executive in the technology and business services industries, as well as his skills relating to financial statement and accounting matters.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corporate governance initiatives comply with the rules and regulations of the SEC and with the rules of The NASDAQ Stock Market, or NASDAQ. Our board of directors evaluates our corporate governance principles and policies on an ongoing basis.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of our directors other than John A. Amster and Geoffrey T. Barker qualifies as an independent director in accordance with the published listing requirements of NASDAQ. The NASDAQ independence definition includes a series of objective tests, such as that the director is not also one of our employees and has not engaged in certain types of business dealings with the Company. In addition, as further required by the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by RPX with regard to each director’s business and personal activities as they may relate to us and our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an audit committee, a compensation committee and a nominating and corporate governance committee. We believe that the composition of these committees meets the criteria for independence under, and the functioning of these committees complies with the applicable requirements of, the Sarbanes-Oxley Act of 2002 and current SEC and NASDAQ rules and regulations. We intend to comply with future requirements as they become applicable to us.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committee of our board of directors has a written charter approved by our board of directors. Copies of each charter are available on the investor relations section of our website located at http://ir.rpxcorp.com. The inclusion of our website address in this proxy statement does not include or incorporate by reference the information on our website into this proxy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has the composition and responsibilities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membership and meeting information for each of the committees of the board of directors during 2013:</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Committee</w:t>
            </w:r>
          </w:p>
        </w:tc>
        <w:tc>
          <w:tcPr>
            <w:tcW w:w="12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Members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 of Meetings in 2013</w:t>
            </w:r>
          </w:p>
        </w:tc>
      </w:tr>
      <w:tr>
        <w:trPr>
          <w:trHeight w:val="222"/>
        </w:trPr>
        <w:tc>
          <w:tcPr>
            <w:tcW w:w="20" w:type="dxa"/>
            <w:vAlign w:val="bottom"/>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Audit Committee</w:t>
            </w: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Shelby W. Bonnie</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Steven L. Fingerhood (1)</w:t>
            </w:r>
          </w:p>
        </w:tc>
        <w:tc>
          <w:tcPr>
            <w:tcW w:w="3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O. Ryder</w:t>
            </w:r>
          </w:p>
        </w:tc>
        <w:tc>
          <w:tcPr>
            <w:tcW w:w="3880" w:type="dxa"/>
            <w:vAlign w:val="bottom"/>
            <w:shd w:val="clear" w:color="auto" w:fill="CCEEFF"/>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Giuseppe Zocco (2)</w:t>
            </w:r>
          </w:p>
        </w:tc>
        <w:tc>
          <w:tcPr>
            <w:tcW w:w="3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Shelby W. Bonnie (1)</w:t>
            </w:r>
          </w:p>
        </w:tc>
        <w:tc>
          <w:tcPr>
            <w:tcW w:w="38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Sanford R. Robertson</w:t>
            </w:r>
          </w:p>
        </w:tc>
        <w:tc>
          <w:tcPr>
            <w:tcW w:w="38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rPr>
              <w:t>Thomas O. Ryder</w:t>
            </w:r>
          </w:p>
        </w:tc>
        <w:tc>
          <w:tcPr>
            <w:tcW w:w="3880" w:type="dxa"/>
            <w:vAlign w:val="bottom"/>
          </w:tcPr>
          <w:p>
            <w:pPr>
              <w:spacing w:after="0"/>
              <w:rPr>
                <w:sz w:val="20"/>
                <w:szCs w:val="20"/>
                <w:color w:val="auto"/>
              </w:rPr>
            </w:pPr>
          </w:p>
        </w:tc>
      </w:tr>
      <w:tr>
        <w:trPr>
          <w:trHeight w:val="41"/>
        </w:trPr>
        <w:tc>
          <w:tcPr>
            <w:tcW w:w="2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80" w:type="dxa"/>
            <w:vAlign w:val="bottom"/>
          </w:tcPr>
          <w:p>
            <w:pPr>
              <w:spacing w:after="0"/>
              <w:rPr>
                <w:sz w:val="3"/>
                <w:szCs w:val="3"/>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w:t>
            </w: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Izhar Armony (1)</w:t>
            </w: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Committee</w:t>
            </w:r>
          </w:p>
        </w:tc>
        <w:tc>
          <w:tcPr>
            <w:tcW w:w="3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Randy Komisar</w:t>
            </w:r>
          </w:p>
        </w:tc>
        <w:tc>
          <w:tcPr>
            <w:tcW w:w="38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Giuseppe Zocco (2)</w:t>
            </w:r>
          </w:p>
        </w:tc>
        <w:tc>
          <w:tcPr>
            <w:tcW w:w="3880" w:type="dxa"/>
            <w:vAlign w:val="bottom"/>
            <w:tcBorders>
              <w:bottom w:val="single" w:sz="8" w:color="CCEEFF"/>
            </w:tcBorders>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r>
    </w:tbl>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7" w:lineRule="exact"/>
        <w:rPr>
          <w:rFonts w:ascii="Arial" w:cs="Arial" w:eastAsia="Arial" w:hAnsi="Arial"/>
          <w:sz w:val="18"/>
          <w:szCs w:val="18"/>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Resigned as a member of the board of directors on September 9,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primary responsibilities of each committee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2013, Messrs. Bonnie, Fingerhood and Ryder served on the audit committee, and Mr. Ryder served as its chairman until December 18, 2013. Mr. Fingerhood was appointed as its chairman on December 18, 2013. Effective April 24, 2014, Messrs. Bonnie, Dangeard and Fingerhood serve on the audit committee, and Mr. Fingerhood serves as its chairman. Our board of directors annually reviews the NASDAQ listing standards definition of independence for audit committee members and has determined that Messrs. Bonnie, Dangeard and Fingerhood are independent (as independence is currently defined in applicable NASDAQ listing standards for audit committees and Rule 10A-3 promulgated under the Exchange Act).</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board of directors has determined that Mr. Bonnie is an audit committee financial expert, as defined by the rules promulgated by the SEC. The designation of Mr. Bonnie as an audit committee financial expert does not impose on him any duties, obligations or liability that are greater than those that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assists our board of directors in fulfilling its legal and fiduciary obligations in matters involving our accounting, auditing, financial reporting, internal control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actions as it deems necessary to satisfy itself that such firm is independent of management. The audit committee is also responsible for monitoring the integrity of our financial statements and our compliance with legal and regulatory requirements as they relate to financial statements or accounting matters.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our independent registered public accounting firm and internal financial personnel regularly meet with, and have unrestricted access to, the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Messrs. Bonnie, Robertson and Ryder serve on the compensation committee, and Mr. Bonnie serves as its chairman. Our board of directors has determined that Messrs. Bonnie, Robertson and Ryder satisfy the independence requirements of the applicable NASDAQ listing standards and SEC rules and regulations for directors. Each of the members of the compensation committee is a non-employee director, as defined in Rule 16b-3 promulgated under the Exchange Act, and an outside director, as defined in Section 162(m) of the Internal Revenue Code of 1986, as amended.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assists our board of directors in meeting its responsibilities with regard to oversight and determination of executive compensation and assesses whether our compensation structure establishes appropriate incentives for officers and employees. The compensation committee reviews and makes recommendations to our board of directors with respect to our major compensation plans, policies and programs. In addition, the compensation committee reviews and approves the compensation for our executive officers, establishes and modifies the terms and conditions of employment of our executive officers and administers our equity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Messrs. Armony and Komisar serve on the nominating and corporate governance committee, and Mr. Armony serves as its chairman. Our board of directors has determined that Messrs. Armony and Komisar satisfy the applicable NASDAQ listing standards and SEC rules and regulations for directors.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guidelines and reporting and making recommendations to our board of directors concerning corporate governance matters.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648"/>
        <w:spacing w:after="0" w:line="254" w:lineRule="auto"/>
        <w:rPr>
          <w:sz w:val="20"/>
          <w:szCs w:val="20"/>
          <w:color w:val="auto"/>
        </w:rPr>
      </w:pPr>
      <w:r>
        <w:rPr>
          <w:rFonts w:ascii="Arial" w:cs="Arial" w:eastAsia="Arial" w:hAnsi="Arial"/>
          <w:sz w:val="18"/>
          <w:szCs w:val="18"/>
          <w:color w:val="auto"/>
        </w:rPr>
        <w:t>The nominating and corporate governance committee is also responsible for reviewing with our board of directors from time to time the appropriate skills and guidelines required of directors in the context of the current make-up of the board. These guidelines and skills of the board, as a whole, may include (i) various and relevant career experience, (ii) relevant skills, such as an understanding of the Company’s business, (iii) financial expertise, (iv) diversity and (v) local and community ties. The minimum qualifications and skills that each director should possess include (i) the highest professional and personal ethics and values, (ii) broad experience at the policy-making level in business, government, education, technology or public interest, (iii) a commitment to enhancing stockholder value and (iv) sufficient time to carry out his or her duties and to provide insight and practical wisdom based on experience. The nominating and corporate governance committee evaluates the foregoing factors, among others, and does not assign any particular weighting or priority to any of these factors.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also considers director candidates recommended by our stockholders. To recommend a candidate for election to our board of directors, a stockholder must notify the nominating and corporate governance committee by writing to: RPX Corporation, One Market Plaza, Steuart Tower, Suite 800, San Francisco, CA 94105, Attention: Secretary of the Company. Such stockholder’s notice shall set forth the following information:</w:t>
      </w:r>
    </w:p>
    <w:p>
      <w:pPr>
        <w:spacing w:after="0" w:line="187" w:lineRule="exact"/>
        <w:rPr>
          <w:sz w:val="20"/>
          <w:szCs w:val="20"/>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reasonably available, information relating to such director candidate that would be required to be disclosed in a proxy statement pursuant to Regulation 14A under the Securities Exchange Act of 1934, as amended, in which such individual is a nominee for election to our board of directors;</w:t>
      </w:r>
    </w:p>
    <w:p>
      <w:pPr>
        <w:spacing w:after="0" w:line="3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director candidate’s written consent to (A) if selected, be named in the Company’s proxy statement and proxy and (B) if elected, to serve on our board of directors; and</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information that such stockholder believes is relevant in considering the director candidate.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considers bona fide candidates from all relevant sources, including current board members, professional search firms, stockholders and other persons. The committee evaluates director candidates in light of the board membership criteria described above, based on all relevant information and materials available to the committee. This includes information and materials provided by stockholders recommending director candidates, professional search firms and other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2013, Messrs. Bonnie, Robertson and Ryder served as members of the compensation committee. None of the members of our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held five meetings in 2013. Each incumbent member of the board attended 75% or more of the aggregate of (i) the total number of board meetings held during the period of such member’s service and (ii) the total number of meetings of committees on which such member served, during the period of such member’s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 of Stockholders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Directors are encouraged, but not required, to attend our annual stockholder meetings. Two members of our board of directors attended our 2013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Mr. Ryder serves as the lead independent director. Our board of directors does not have a chairman. The chief executive officer chairs all board meetings. The lead independent director acts as liaison between the independent directors and management, approves board meeting schedules and oversees the information distributed in advance of board meetings, is available to our in-house and outside corporate counsel to discuss and, as necessary, respond 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97" w:lineRule="auto"/>
        <w:rPr>
          <w:sz w:val="20"/>
          <w:szCs w:val="20"/>
          <w:color w:val="auto"/>
        </w:rPr>
      </w:pPr>
      <w:r>
        <w:rPr>
          <w:rFonts w:ascii="Arial" w:cs="Arial" w:eastAsia="Arial" w:hAnsi="Arial"/>
          <w:sz w:val="16"/>
          <w:szCs w:val="16"/>
          <w:color w:val="auto"/>
        </w:rPr>
        <w:t>stockholder communications to our board of directors, and calls meetings of the independent directors. We believe that having the lead independent director play a significant role in the leadership and administration of the board, yet having the chief executive officer chair board meetings, provides an efficient and effective division of responsibility and organizational structure for our Company. This arrangement enables the chief executive officer to focus his efforts on running the Company’s business while simultaneously directing the board’s attention to those matters most important to the business, while allowing the lead independent director to lead the board of directors in its fundamental role of providing advice to and independent oversight of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oversees the Company’s enterprise risk management activities, including reviewing policies and procedures to assess and manage exposure to enterprise risk. In performing this function, our board of directors consults with the Company’s management and our independent registered public accounting firm, as well as others. Each of our board committees also oversees the management of our Company’s risk that falls within the committee’s areas of responsibility. Specifically, financial risks are overseen by the audit committee; risks relating to compensation plans and arrangements are overseen by the compensation committee; risks associated with director independence and potential conflicts of interest are overseen by the nominating and corporate governance committee. Additional review or reporting on enterprise risks is conducted as needed or as requested by the full board of directors or the appropriate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board of directors has adopted a code of business conduct that applies to each of our directors, officers and employees. The code addresses various topics, including:</w:t>
      </w:r>
    </w:p>
    <w:p>
      <w:pPr>
        <w:spacing w:after="0" w:line="2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disclosure of information;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gifts;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discrimination, harassment and retaliation;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and safety;</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protection and proper use of company assets;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payments to government personnel; and</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reporting illegal and unethical behavior.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code of business conduct is available on the investor relations section of our website at http://ir.rpxcorp.com. The inclusion of our website address in this proxy statement does not include or incorporate by reference the information on our website into this proxy statement.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waiver of the code of business conduct for an executive officer or director may be granted only by our board of directors or a committee thereof and must be timely disclosed as required by applicable law. We have also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interested in communicating with the independent directors regarding their concerns or issues may address correspondence to a particular director, to the lead independent director or to the independent directors generally, in care of RPX Corporation, One Market Plaza, Suite 800, San Francisco, California 94105, Attention: Secretary of the Company. The Secretary of the Company has the authority to disregard any inappropriate communications or to take other appropriate actions with respect to any inappropriate communications. If deemed an appropriate communication, the Secretary of the Company will forward it, depending on the subject matter, to the lead independent director, chairman of a committee of the board of directors, the full board of directors or a particular director, 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board of directors adopted a compensation program for our non-employee directors in January 2011, which became effective upon our initial public offering in May 2011 and was amended in July 2013. Pursuant to this program, we do not compensate our non-employee directors for their service in cash, instead providing compensation in the form of initial and annual equity awards as described below. Prior to July 2013 these equity awards consisted of stock options. Since July 2013 these equity awards consist of restricted stock units, with each unit representing the right to receive one share of our common stock. We also reimburse our non-employee directors for their reasonable out-of-pocket expenses incurred in attending board and committee meetings.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new non-employee director is granted an initial restricted stock unit with a target value of $135,000 upon such director’s election to our board of directors, which vests in equal annual installments over 3 years of service. In addition, non-employee directors (including a non-employee director who previously was our employee) who continue to serve on our board of directors receive annual restricted stock unit awards in connection with each annual meeting of stockholders, with a target value based on board and committee service as set forth in the table below. Each annual restricted stock unit award will vest in full on the earlier of the one-year anniversary of the date of grant or on the date of the following year’s annual meeting of stockholders, provided the director remains in continuous service through the applicable vesting date. The annual restricted stock unit award to a non-employee director who joined the board within 12 months prior to an annual meeting will be pro-rated, with the target value determined based on the number of whole months of board service provided during the prior 12-month period.</w:t>
      </w:r>
    </w:p>
    <w:p>
      <w:pPr>
        <w:spacing w:after="0" w:line="138"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Board service</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70"/>
        </w:trPr>
        <w:tc>
          <w:tcPr>
            <w:tcW w:w="4860" w:type="dxa"/>
            <w:vAlign w:val="bottom"/>
          </w:tcPr>
          <w:p>
            <w:pPr>
              <w:ind w:left="500"/>
              <w:spacing w:after="0"/>
              <w:rPr>
                <w:sz w:val="20"/>
                <w:szCs w:val="20"/>
                <w:color w:val="auto"/>
              </w:rPr>
            </w:pPr>
            <w:r>
              <w:rPr>
                <w:rFonts w:ascii="Arial" w:cs="Arial" w:eastAsia="Arial" w:hAnsi="Arial"/>
                <w:sz w:val="18"/>
                <w:szCs w:val="18"/>
                <w:i w:val="1"/>
                <w:iCs w:val="1"/>
                <w:color w:val="auto"/>
              </w:rPr>
              <w:t>plus (as applicable):</w:t>
            </w:r>
          </w:p>
        </w:tc>
        <w:tc>
          <w:tcPr>
            <w:tcW w:w="1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Audit Committee chair</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Other Audit Committee members</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Other Compensation Committee members</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Nominating &amp; Corporate Governance chair</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Other Nominating &amp; Corporate Governance members</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4,250</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r>
    </w:tbl>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Both the initial and annual restricted stock unit awards are granted under our 2011 Equity Incentive Plan and are subject to full vesting acceleration in the event we undergo a change in control while the director is serving on our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employees, Messrs. Amster and Barker do not receive any additional compensation for their service on the board of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2013 Director Compensation Table</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all of the compensation awarded to, earned by, or paid to each person who served as a director during 2013, other than a director who is also a named executive officer.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Fees earned or paid in</w:t>
            </w: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Stock</w:t>
            </w:r>
          </w:p>
        </w:tc>
        <w:tc>
          <w:tcPr>
            <w:tcW w:w="400" w:type="dxa"/>
            <w:vAlign w:val="bottom"/>
          </w:tcPr>
          <w:p>
            <w:pPr>
              <w:spacing w:after="0"/>
              <w:rPr>
                <w:sz w:val="14"/>
                <w:szCs w:val="1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cash</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Awards</w:t>
            </w: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Izhar Armony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184,713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184,713</w:t>
            </w:r>
          </w:p>
        </w:tc>
        <w:tc>
          <w:tcPr>
            <w:tcW w:w="0" w:type="dxa"/>
            <w:vAlign w:val="bottom"/>
          </w:tcPr>
          <w:p>
            <w:pPr>
              <w:spacing w:after="0"/>
              <w:rPr>
                <w:sz w:val="1"/>
                <w:szCs w:val="1"/>
                <w:color w:val="auto"/>
              </w:rPr>
            </w:pPr>
          </w:p>
        </w:tc>
      </w:tr>
      <w:tr>
        <w:trPr>
          <w:trHeight w:val="26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Geoffrey T. Barker (3)</w:t>
            </w:r>
          </w:p>
        </w:tc>
        <w:tc>
          <w:tcPr>
            <w:tcW w:w="140" w:type="dxa"/>
            <w:vAlign w:val="bottom"/>
          </w:tcPr>
          <w:p>
            <w:pPr>
              <w:spacing w:after="0"/>
              <w:rPr>
                <w:sz w:val="22"/>
                <w:szCs w:val="22"/>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60,417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60,417</w:t>
            </w:r>
          </w:p>
        </w:tc>
        <w:tc>
          <w:tcPr>
            <w:tcW w:w="0" w:type="dxa"/>
            <w:vAlign w:val="bottom"/>
          </w:tcPr>
          <w:p>
            <w:pPr>
              <w:spacing w:after="0"/>
              <w:rPr>
                <w:sz w:val="1"/>
                <w:szCs w:val="1"/>
                <w:color w:val="auto"/>
              </w:rPr>
            </w:pPr>
          </w:p>
        </w:tc>
      </w:tr>
      <w:tr>
        <w:trPr>
          <w:trHeight w:val="27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Shelby W. Bonnie</w:t>
            </w:r>
          </w:p>
        </w:tc>
        <w:tc>
          <w:tcPr>
            <w:tcW w:w="140" w:type="dxa"/>
            <w:vAlign w:val="bottom"/>
            <w:shd w:val="clear" w:color="auto" w:fill="CCEEFF"/>
          </w:tcPr>
          <w:p>
            <w:pPr>
              <w:spacing w:after="0"/>
              <w:rPr>
                <w:sz w:val="24"/>
                <w:szCs w:val="24"/>
                <w:color w:val="auto"/>
              </w:rPr>
            </w:pP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199,807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199,807</w:t>
            </w:r>
          </w:p>
        </w:tc>
        <w:tc>
          <w:tcPr>
            <w:tcW w:w="0" w:type="dxa"/>
            <w:vAlign w:val="bottom"/>
          </w:tcPr>
          <w:p>
            <w:pPr>
              <w:spacing w:after="0"/>
              <w:rPr>
                <w:sz w:val="1"/>
                <w:szCs w:val="1"/>
                <w:color w:val="auto"/>
              </w:rPr>
            </w:pPr>
          </w:p>
        </w:tc>
      </w:tr>
      <w:tr>
        <w:trPr>
          <w:trHeight w:val="26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Steven L. Fingerhood</w:t>
            </w:r>
          </w:p>
        </w:tc>
        <w:tc>
          <w:tcPr>
            <w:tcW w:w="140" w:type="dxa"/>
            <w:vAlign w:val="bottom"/>
          </w:tcPr>
          <w:p>
            <w:pPr>
              <w:spacing w:after="0"/>
              <w:rPr>
                <w:sz w:val="22"/>
                <w:szCs w:val="22"/>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185,438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185,438</w:t>
            </w:r>
          </w:p>
        </w:tc>
        <w:tc>
          <w:tcPr>
            <w:tcW w:w="0" w:type="dxa"/>
            <w:vAlign w:val="bottom"/>
          </w:tcPr>
          <w:p>
            <w:pPr>
              <w:spacing w:after="0"/>
              <w:rPr>
                <w:sz w:val="1"/>
                <w:szCs w:val="1"/>
                <w:color w:val="auto"/>
              </w:rPr>
            </w:pPr>
          </w:p>
        </w:tc>
      </w:tr>
      <w:tr>
        <w:trPr>
          <w:trHeight w:val="27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Randy Komisar</w:t>
            </w:r>
          </w:p>
        </w:tc>
        <w:tc>
          <w:tcPr>
            <w:tcW w:w="140" w:type="dxa"/>
            <w:vAlign w:val="bottom"/>
            <w:shd w:val="clear" w:color="auto" w:fill="CCEEFF"/>
          </w:tcPr>
          <w:p>
            <w:pPr>
              <w:spacing w:after="0"/>
              <w:rPr>
                <w:sz w:val="24"/>
                <w:szCs w:val="24"/>
                <w:color w:val="auto"/>
              </w:rPr>
            </w:pP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178,607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178,607</w:t>
            </w:r>
          </w:p>
        </w:tc>
        <w:tc>
          <w:tcPr>
            <w:tcW w:w="0" w:type="dxa"/>
            <w:vAlign w:val="bottom"/>
          </w:tcPr>
          <w:p>
            <w:pPr>
              <w:spacing w:after="0"/>
              <w:rPr>
                <w:sz w:val="1"/>
                <w:szCs w:val="1"/>
                <w:color w:val="auto"/>
              </w:rPr>
            </w:pPr>
          </w:p>
        </w:tc>
      </w:tr>
      <w:tr>
        <w:trPr>
          <w:trHeight w:val="26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Sanford R. Robertson</w:t>
            </w:r>
          </w:p>
        </w:tc>
        <w:tc>
          <w:tcPr>
            <w:tcW w:w="140" w:type="dxa"/>
            <w:vAlign w:val="bottom"/>
          </w:tcPr>
          <w:p>
            <w:pPr>
              <w:spacing w:after="0"/>
              <w:rPr>
                <w:sz w:val="22"/>
                <w:szCs w:val="22"/>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179,693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179,693</w:t>
            </w:r>
          </w:p>
        </w:tc>
        <w:tc>
          <w:tcPr>
            <w:tcW w:w="0" w:type="dxa"/>
            <w:vAlign w:val="bottom"/>
          </w:tcPr>
          <w:p>
            <w:pPr>
              <w:spacing w:after="0"/>
              <w:rPr>
                <w:sz w:val="1"/>
                <w:szCs w:val="1"/>
                <w:color w:val="auto"/>
              </w:rPr>
            </w:pPr>
          </w:p>
        </w:tc>
      </w:tr>
      <w:tr>
        <w:trPr>
          <w:trHeight w:val="27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O. Ryder</w:t>
            </w:r>
          </w:p>
        </w:tc>
        <w:tc>
          <w:tcPr>
            <w:tcW w:w="140" w:type="dxa"/>
            <w:vAlign w:val="bottom"/>
            <w:shd w:val="clear" w:color="auto" w:fill="CCEEFF"/>
          </w:tcPr>
          <w:p>
            <w:pPr>
              <w:spacing w:after="0"/>
              <w:rPr>
                <w:sz w:val="24"/>
                <w:szCs w:val="24"/>
                <w:color w:val="auto"/>
              </w:rPr>
            </w:pPr>
          </w:p>
        </w:tc>
        <w:tc>
          <w:tcPr>
            <w:tcW w:w="2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237,188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237,188</w:t>
            </w:r>
          </w:p>
        </w:tc>
        <w:tc>
          <w:tcPr>
            <w:tcW w:w="0" w:type="dxa"/>
            <w:vAlign w:val="bottom"/>
          </w:tcPr>
          <w:p>
            <w:pPr>
              <w:spacing w:after="0"/>
              <w:rPr>
                <w:sz w:val="1"/>
                <w:szCs w:val="1"/>
                <w:color w:val="auto"/>
              </w:rPr>
            </w:pPr>
          </w:p>
        </w:tc>
      </w:tr>
      <w:tr>
        <w:trPr>
          <w:trHeight w:val="25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Giuseppe Zocco (4)</w:t>
            </w:r>
          </w:p>
        </w:tc>
        <w:tc>
          <w:tcPr>
            <w:tcW w:w="140" w:type="dxa"/>
            <w:vAlign w:val="bottom"/>
          </w:tcPr>
          <w:p>
            <w:pPr>
              <w:spacing w:after="0"/>
              <w:rPr>
                <w:sz w:val="22"/>
                <w:szCs w:val="22"/>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178,607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178,607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 awards granted to the director in the applicable fiscal year computed in accordance with FASB ASC Topic 718. See Note 13 of the notes to our consolidated financial statements for the fiscal year ended December 31, 2013 in our annual report on Form 10-K for fiscal year 2013 filed on March 10, 2014, for a discussion of the assumptions made by our company in determining the grant date fair value of its equity awards.</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Pursuant to our compensation program for our non-employee directors, in connection with our 2013 annual meeting of stockholders, each director received an award of restricted stock units in the following amounts: Mr. Armony (10,708), Mr. Bonnie (11,583), Mr. Fingerhood (10,750), Mr. Komisar (10,354), Mr. Robertson (10,417), Mr. Ryder (13,750) and Mr. Zocco (10,354). Each restricted stock unit represents a contingent right to receive one share of our common stock. As of December 31, 2013, the above listed directors held outstanding restricted stock units in the following amounts: Mr. Armony (10,708), Mr. Bonnie (11,583), Mr. Fingerhood (10,750), Mr. Komisar (10,354), Mr. Robertson (10,417), Mr. Ryder (13,750) and Mr. Zocco (0). As of December 31, 2013, the above-listed directors also held outstanding options to purchase the following number of shares of our common stock: Mr. Armony (67,500), Mr. Bonnie (67,500), Mr. Fingerhood (60,625), Mr. Komisar (67,500), Mr. Robertson (67,500), Mr. Ryder (58,201) and Mr. Zocco (0).</w:t>
      </w:r>
    </w:p>
    <w:p>
      <w:pPr>
        <w:spacing w:after="0" w:line="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amounts earned as salary as our employee. As an employee, Mr. Barker does not receive any additional compensation for his service on the board of directors.</w:t>
      </w: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Zocco resigned from our board of directors effective September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audit committee has selected PricewaterhouseCoopers LLP, an independent registered public accounting firm, as our independent auditors for the fiscal year ending December 31, 2014, and has further directed that management submit the selection of independent auditors for ratification by the stockholders at the Annual Meeting. PricewaterhouseCoopers LLP has audited our financial statements since the year ended December 31, 2008, which was the year of our incorporation. Representatives of PricewaterhouseCoopers LLP are expected to be present at the Annual Meeting. They will have an opportunity to make a statement if they so desire and will be available to respond to appropriate questions.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Neither our bylaws nor other governing documents or laws require stockholder ratification of the selection of PricewaterhouseCoopers LLP as our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Even if the selection is ratified, the audit committee of our board of directors in its discretion may direct the appointment of different independent auditors at any time during the year if it determines that such a change would be in the best interests of the Company and our stockholders.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ratification of the selection of PricewaterhouseCoopers LLP as the Company’s independent registered public accounting firm, or you may abstain from voting on this matter. In order for Proposal 2 to pass, a majority of all those outstanding shares that are represented in person or by proxy and that are entitled to vote on Proposal 2 at the Annual Meeting must vote “</w:t>
      </w:r>
      <w:r>
        <w:rPr>
          <w:rFonts w:ascii="Arial" w:cs="Arial" w:eastAsia="Arial" w:hAnsi="Arial"/>
          <w:sz w:val="18"/>
          <w:szCs w:val="18"/>
          <w:b w:val="1"/>
          <w:bCs w:val="1"/>
          <w:color w:val="auto"/>
        </w:rPr>
        <w:t>FOR</w:t>
      </w:r>
      <w:r>
        <w:rPr>
          <w:rFonts w:ascii="Arial" w:cs="Arial" w:eastAsia="Arial" w:hAnsi="Arial"/>
          <w:sz w:val="18"/>
          <w:szCs w:val="18"/>
          <w:color w:val="auto"/>
        </w:rPr>
        <w:t>” the proposal. Abstentions and broker non-votes will be counted towards a quorum.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appointment of the independent registered public accounting firm is a matter on which a broker, trustee or nominee is generally empowered to vote, no broker non-votes are expected to exist in connection with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2013, and December 31, 2012, by PricewaterhouseCoopers LLP.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80"/>
        </w:trPr>
        <w:tc>
          <w:tcPr>
            <w:tcW w:w="79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Audit fees (1)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1,242,679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1,352,456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Tax fees (2)</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233,178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175,867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fees (3)</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15,753</w:t>
            </w:r>
          </w:p>
        </w:tc>
        <w:tc>
          <w:tcPr>
            <w:tcW w:w="0" w:type="dxa"/>
            <w:vAlign w:val="bottom"/>
          </w:tcPr>
          <w:p>
            <w:pPr>
              <w:spacing w:after="0"/>
              <w:rPr>
                <w:sz w:val="1"/>
                <w:szCs w:val="1"/>
                <w:color w:val="auto"/>
              </w:rPr>
            </w:pPr>
          </w:p>
        </w:tc>
      </w:tr>
      <w:tr>
        <w:trPr>
          <w:trHeight w:val="244"/>
        </w:trPr>
        <w:tc>
          <w:tcPr>
            <w:tcW w:w="7900" w:type="dxa"/>
            <w:vAlign w:val="bottom"/>
          </w:tcPr>
          <w:p>
            <w:pPr>
              <w:ind w:left="40"/>
              <w:spacing w:after="0"/>
              <w:rPr>
                <w:sz w:val="20"/>
                <w:szCs w:val="20"/>
                <w:color w:val="auto"/>
              </w:rPr>
            </w:pPr>
            <w:r>
              <w:rPr>
                <w:rFonts w:ascii="Arial" w:cs="Arial" w:eastAsia="Arial" w:hAnsi="Arial"/>
                <w:sz w:val="18"/>
                <w:szCs w:val="18"/>
                <w:color w:val="auto"/>
              </w:rPr>
              <w:t>Total fees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1,477,657</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1,544,076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fees billed or incurred by PricewaterhouseCoopers LLP for professional services rendered in connection with the annual audit of our consolidated financial statements for the year ended December 31, 2013 and 2012 include the review of quarterly financial statements included in our quarterly reports on Form 10-Q and the review and consent issued for our registration statement on Form S-8.</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fees consist of fees billed for tax compliance, consultation and planning services.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year ended December, 31, 2013 and 2012, other fees consisted of on-line subscription fees and other miscellaneous services. No other consulting services were provided.</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All fees described above were pre-approved by the audit committee in accordance with the requirements of Regulation S-X under the Exchange Act.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PricewaterhouseCoopers LLP, our independent registered public accounting firm. The audit committee can pre-approve specified services in defined categories of audit services, audit-related services and tax services up to specified amounts, as part of the audit committee’s approval of the scope of the engagement of PricewaterhouseCoopers LLP or on an individual case-by-case basis before PricewaterhouseCoopers LLP is engaged to provide a service. The audit committee has determined that the rendering of tax-related services by PricewaterhouseCoopers LLP is compatible with maintaining the principal accountant’s independence for audit purposes. PricewaterhouseCoopers LLP has not been engaged to perform any non-audit services other than tax-related services.</w:t>
      </w:r>
    </w:p>
    <w:p>
      <w:pPr>
        <w:spacing w:after="0" w:line="161"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OUR BOARD OF DIRECTORS UNANIMOUSLY RECOMMENDS YOU VOTE “FOR” THE RATIFICATION OF THE SELECTION OF PRICEWATERHOUSECOOPERS LLP AS OUR INDEPENDENT REGISTERED PUBLIC ACCOUNTING FIRM FOR FISCAL YEAR ENDING DECEMBER 31,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the heading “Corporate Governance – Board Committees – 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standards adopted by the Public Company Accounting Oversight Board (“PCAOB”), including the quality, not just the acceptability, of the accounting principles, the reasonableness of significant adjustments, and the clarity of the disclosures in the financial statements.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upon the review and discussions described in the preceding paragraph, our audit committee recommended to the board of directors that the audited financial statements of the Company be included in the Annual Report on Form 10-K for the year ended December 31, 2013 filed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Committee of the Company’s Board of 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Fingerhood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concerning beneficial ownership of our common stock as of April 24, 2014, by:</w:t>
      </w:r>
    </w:p>
    <w:p>
      <w:pPr>
        <w:spacing w:after="0" w:line="7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5"/>
          <w:szCs w:val="15"/>
          <w:color w:val="auto"/>
        </w:rPr>
      </w:pPr>
      <w:r>
        <w:rPr>
          <w:rFonts w:ascii="Arial" w:cs="Arial" w:eastAsia="Arial" w:hAnsi="Arial"/>
          <w:sz w:val="17"/>
          <w:szCs w:val="17"/>
          <w:color w:val="auto"/>
        </w:rPr>
        <w:t>each stockholder, or group of affiliated stockholders, known to us to beneficially own more than 5% of our outstanding common stock;</w:t>
      </w:r>
    </w:p>
    <w:p>
      <w:pPr>
        <w:spacing w:after="0" w:line="88" w:lineRule="exact"/>
        <w:rPr>
          <w:rFonts w:ascii="Arial" w:cs="Arial" w:eastAsia="Arial" w:hAnsi="Arial"/>
          <w:sz w:val="15"/>
          <w:szCs w:val="15"/>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8"/>
          <w:szCs w:val="18"/>
          <w:color w:val="auto"/>
        </w:rPr>
        <w:t>each of our directors; and</w:t>
      </w:r>
    </w:p>
    <w:p>
      <w:pPr>
        <w:spacing w:after="0" w:line="76"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8"/>
          <w:szCs w:val="18"/>
          <w:color w:val="auto"/>
        </w:rPr>
        <w:t>all of our current named executive officers and directors as a group.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is based upon information supplied by directors, executive officers and principal stockholders and Schedule 13Gs filed with the SEC through April 24,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ownership is based upon 53,006,237 shares of common stock outstanding as of April 24, 2014.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the table below, we deem shares of common stock subject to options or warrants that are currently exercisable or exercisable within 60 days of April 24, 2014 and restricted stock units that vest within 60 days of April 24, 2014 to be outstanding and to be beneficially owned by the person holding the options, warrants or restricted stock units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Unless otherwise indicated, the address for each beneficial owner is c/o RPX Corporation, One Market Plaza, Steuart Tower, Suite 800, San Francisco, California 94105.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9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shares</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5% Stockholders (other than our executive officers and directors)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BlackRock, Inc. (1)</w:t>
            </w:r>
          </w:p>
        </w:tc>
        <w:tc>
          <w:tcPr>
            <w:tcW w:w="2640" w:type="dxa"/>
            <w:vAlign w:val="bottom"/>
          </w:tcPr>
          <w:p>
            <w:pPr>
              <w:jc w:val="right"/>
              <w:spacing w:after="0"/>
              <w:rPr>
                <w:sz w:val="20"/>
                <w:szCs w:val="20"/>
                <w:color w:val="auto"/>
              </w:rPr>
            </w:pPr>
            <w:r>
              <w:rPr>
                <w:rFonts w:ascii="Arial" w:cs="Arial" w:eastAsia="Arial" w:hAnsi="Arial"/>
                <w:sz w:val="18"/>
                <w:szCs w:val="18"/>
                <w:color w:val="auto"/>
              </w:rPr>
              <w:t>3,157,785</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Columbia Wanger Asset Management, LLC (2)</w:t>
            </w:r>
          </w:p>
        </w:tc>
        <w:tc>
          <w:tcPr>
            <w:tcW w:w="2640" w:type="dxa"/>
            <w:vAlign w:val="bottom"/>
          </w:tcPr>
          <w:p>
            <w:pPr>
              <w:jc w:val="right"/>
              <w:spacing w:after="0"/>
              <w:rPr>
                <w:sz w:val="20"/>
                <w:szCs w:val="20"/>
                <w:color w:val="auto"/>
              </w:rPr>
            </w:pPr>
            <w:r>
              <w:rPr>
                <w:rFonts w:ascii="Arial" w:cs="Arial" w:eastAsia="Arial" w:hAnsi="Arial"/>
                <w:sz w:val="18"/>
                <w:szCs w:val="18"/>
                <w:color w:val="auto"/>
              </w:rPr>
              <w:t>2,996,400</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Federated Investors, Inc. (3)</w:t>
            </w:r>
          </w:p>
        </w:tc>
        <w:tc>
          <w:tcPr>
            <w:tcW w:w="2640" w:type="dxa"/>
            <w:vAlign w:val="bottom"/>
          </w:tcPr>
          <w:p>
            <w:pPr>
              <w:jc w:val="right"/>
              <w:spacing w:after="0"/>
              <w:rPr>
                <w:sz w:val="20"/>
                <w:szCs w:val="20"/>
                <w:color w:val="auto"/>
              </w:rPr>
            </w:pPr>
            <w:r>
              <w:rPr>
                <w:rFonts w:ascii="Arial" w:cs="Arial" w:eastAsia="Arial" w:hAnsi="Arial"/>
                <w:sz w:val="18"/>
                <w:szCs w:val="18"/>
                <w:color w:val="auto"/>
              </w:rPr>
              <w:t>2,912,100</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Frontier Capital Management Co., LLC (4)</w:t>
            </w:r>
          </w:p>
        </w:tc>
        <w:tc>
          <w:tcPr>
            <w:tcW w:w="2640" w:type="dxa"/>
            <w:vAlign w:val="bottom"/>
          </w:tcPr>
          <w:p>
            <w:pPr>
              <w:jc w:val="right"/>
              <w:spacing w:after="0"/>
              <w:rPr>
                <w:sz w:val="20"/>
                <w:szCs w:val="20"/>
                <w:color w:val="auto"/>
              </w:rPr>
            </w:pPr>
            <w:r>
              <w:rPr>
                <w:rFonts w:ascii="Arial" w:cs="Arial" w:eastAsia="Arial" w:hAnsi="Arial"/>
                <w:sz w:val="18"/>
                <w:szCs w:val="18"/>
                <w:color w:val="auto"/>
              </w:rPr>
              <w:t>2,691,280</w:t>
            </w:r>
          </w:p>
        </w:tc>
      </w:tr>
      <w:tr>
        <w:trPr>
          <w:trHeight w:val="52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640" w:type="dxa"/>
            <w:vAlign w:val="bottom"/>
          </w:tcPr>
          <w:p>
            <w:pPr>
              <w:spacing w:after="0"/>
              <w:rPr>
                <w:sz w:val="24"/>
                <w:szCs w:val="24"/>
                <w:color w:val="auto"/>
              </w:rPr>
            </w:pPr>
          </w:p>
        </w:tc>
      </w:tr>
      <w:tr>
        <w:trPr>
          <w:trHeight w:val="284"/>
        </w:trPr>
        <w:tc>
          <w:tcPr>
            <w:tcW w:w="6780" w:type="dxa"/>
            <w:vAlign w:val="bottom"/>
          </w:tcPr>
          <w:p>
            <w:pPr>
              <w:ind w:left="20"/>
              <w:spacing w:after="0"/>
              <w:rPr>
                <w:sz w:val="20"/>
                <w:szCs w:val="20"/>
                <w:color w:val="auto"/>
              </w:rPr>
            </w:pPr>
            <w:r>
              <w:rPr>
                <w:rFonts w:ascii="Arial" w:cs="Arial" w:eastAsia="Arial" w:hAnsi="Arial"/>
                <w:sz w:val="18"/>
                <w:szCs w:val="18"/>
                <w:color w:val="auto"/>
              </w:rPr>
              <w:t>John A. Amster (5)</w:t>
            </w:r>
          </w:p>
        </w:tc>
        <w:tc>
          <w:tcPr>
            <w:tcW w:w="2640" w:type="dxa"/>
            <w:vAlign w:val="bottom"/>
          </w:tcPr>
          <w:p>
            <w:pPr>
              <w:jc w:val="right"/>
              <w:spacing w:after="0"/>
              <w:rPr>
                <w:sz w:val="20"/>
                <w:szCs w:val="20"/>
                <w:color w:val="auto"/>
              </w:rPr>
            </w:pPr>
            <w:r>
              <w:rPr>
                <w:rFonts w:ascii="Arial" w:cs="Arial" w:eastAsia="Arial" w:hAnsi="Arial"/>
                <w:sz w:val="18"/>
                <w:szCs w:val="18"/>
                <w:color w:val="auto"/>
              </w:rPr>
              <w:t>1,894,501</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Geoffrey T. Barker (6)</w:t>
            </w:r>
          </w:p>
        </w:tc>
        <w:tc>
          <w:tcPr>
            <w:tcW w:w="2640" w:type="dxa"/>
            <w:vAlign w:val="bottom"/>
          </w:tcPr>
          <w:p>
            <w:pPr>
              <w:jc w:val="right"/>
              <w:spacing w:after="0"/>
              <w:rPr>
                <w:sz w:val="20"/>
                <w:szCs w:val="20"/>
                <w:color w:val="auto"/>
              </w:rPr>
            </w:pPr>
            <w:r>
              <w:rPr>
                <w:rFonts w:ascii="Arial" w:cs="Arial" w:eastAsia="Arial" w:hAnsi="Arial"/>
                <w:sz w:val="18"/>
                <w:szCs w:val="18"/>
                <w:color w:val="auto"/>
              </w:rPr>
              <w:t>741,993</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Ned D. Segal (7)</w:t>
            </w:r>
          </w:p>
        </w:tc>
        <w:tc>
          <w:tcPr>
            <w:tcW w:w="2640" w:type="dxa"/>
            <w:vAlign w:val="bottom"/>
          </w:tcPr>
          <w:p>
            <w:pPr>
              <w:jc w:val="right"/>
              <w:spacing w:after="0"/>
              <w:rPr>
                <w:sz w:val="20"/>
                <w:szCs w:val="20"/>
                <w:color w:val="auto"/>
              </w:rPr>
            </w:pPr>
            <w:r>
              <w:rPr>
                <w:rFonts w:ascii="Arial" w:cs="Arial" w:eastAsia="Arial" w:hAnsi="Arial"/>
                <w:sz w:val="18"/>
                <w:szCs w:val="18"/>
                <w:color w:val="auto"/>
              </w:rPr>
              <w:t>118,020</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Adam C. Spiegel (8)</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Martin E. Roberts (9)</w:t>
            </w:r>
          </w:p>
        </w:tc>
        <w:tc>
          <w:tcPr>
            <w:tcW w:w="2640" w:type="dxa"/>
            <w:vAlign w:val="bottom"/>
          </w:tcPr>
          <w:p>
            <w:pPr>
              <w:jc w:val="right"/>
              <w:spacing w:after="0"/>
              <w:rPr>
                <w:sz w:val="20"/>
                <w:szCs w:val="20"/>
                <w:color w:val="auto"/>
              </w:rPr>
            </w:pPr>
            <w:r>
              <w:rPr>
                <w:rFonts w:ascii="Arial" w:cs="Arial" w:eastAsia="Arial" w:hAnsi="Arial"/>
                <w:sz w:val="18"/>
                <w:szCs w:val="18"/>
                <w:color w:val="auto"/>
              </w:rPr>
              <w:t>72,758</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Paul E. Scola (10)</w:t>
            </w:r>
          </w:p>
        </w:tc>
        <w:tc>
          <w:tcPr>
            <w:tcW w:w="2640" w:type="dxa"/>
            <w:vAlign w:val="bottom"/>
          </w:tcPr>
          <w:p>
            <w:pPr>
              <w:jc w:val="right"/>
              <w:spacing w:after="0"/>
              <w:rPr>
                <w:sz w:val="20"/>
                <w:szCs w:val="20"/>
                <w:color w:val="auto"/>
              </w:rPr>
            </w:pPr>
            <w:r>
              <w:rPr>
                <w:rFonts w:ascii="Arial" w:cs="Arial" w:eastAsia="Arial" w:hAnsi="Arial"/>
                <w:sz w:val="18"/>
                <w:szCs w:val="18"/>
                <w:color w:val="auto"/>
              </w:rPr>
              <w:t>152,509</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Steven S. Swank (11)</w:t>
            </w:r>
          </w:p>
        </w:tc>
        <w:tc>
          <w:tcPr>
            <w:tcW w:w="2640" w:type="dxa"/>
            <w:vAlign w:val="bottom"/>
          </w:tcPr>
          <w:p>
            <w:pPr>
              <w:jc w:val="right"/>
              <w:spacing w:after="0"/>
              <w:rPr>
                <w:sz w:val="20"/>
                <w:szCs w:val="20"/>
                <w:color w:val="auto"/>
              </w:rPr>
            </w:pPr>
            <w:r>
              <w:rPr>
                <w:rFonts w:ascii="Arial" w:cs="Arial" w:eastAsia="Arial" w:hAnsi="Arial"/>
                <w:sz w:val="18"/>
                <w:szCs w:val="18"/>
                <w:color w:val="auto"/>
              </w:rPr>
              <w:t>27,491</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Izhar Armony (12)</w:t>
            </w:r>
          </w:p>
        </w:tc>
        <w:tc>
          <w:tcPr>
            <w:tcW w:w="2640" w:type="dxa"/>
            <w:vAlign w:val="bottom"/>
          </w:tcPr>
          <w:p>
            <w:pPr>
              <w:jc w:val="right"/>
              <w:spacing w:after="0"/>
              <w:rPr>
                <w:sz w:val="20"/>
                <w:szCs w:val="20"/>
                <w:color w:val="auto"/>
              </w:rPr>
            </w:pPr>
            <w:r>
              <w:rPr>
                <w:rFonts w:ascii="Arial" w:cs="Arial" w:eastAsia="Arial" w:hAnsi="Arial"/>
                <w:sz w:val="18"/>
                <w:szCs w:val="18"/>
                <w:color w:val="auto"/>
              </w:rPr>
              <w:t>120,428</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Shelby W. Bonnie (13)</w:t>
            </w:r>
          </w:p>
        </w:tc>
        <w:tc>
          <w:tcPr>
            <w:tcW w:w="2640" w:type="dxa"/>
            <w:vAlign w:val="bottom"/>
          </w:tcPr>
          <w:p>
            <w:pPr>
              <w:jc w:val="right"/>
              <w:spacing w:after="0"/>
              <w:rPr>
                <w:sz w:val="20"/>
                <w:szCs w:val="20"/>
                <w:color w:val="auto"/>
              </w:rPr>
            </w:pPr>
            <w:r>
              <w:rPr>
                <w:rFonts w:ascii="Arial" w:cs="Arial" w:eastAsia="Arial" w:hAnsi="Arial"/>
                <w:sz w:val="18"/>
                <w:szCs w:val="18"/>
                <w:color w:val="auto"/>
              </w:rPr>
              <w:t>152,019</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Frank E. Dangeard (14)</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Steven L. Fingerhood (15)</w:t>
            </w:r>
          </w:p>
        </w:tc>
        <w:tc>
          <w:tcPr>
            <w:tcW w:w="2640" w:type="dxa"/>
            <w:vAlign w:val="bottom"/>
          </w:tcPr>
          <w:p>
            <w:pPr>
              <w:jc w:val="right"/>
              <w:spacing w:after="0"/>
              <w:rPr>
                <w:sz w:val="20"/>
                <w:szCs w:val="20"/>
                <w:color w:val="auto"/>
              </w:rPr>
            </w:pPr>
            <w:r>
              <w:rPr>
                <w:rFonts w:ascii="Arial" w:cs="Arial" w:eastAsia="Arial" w:hAnsi="Arial"/>
                <w:sz w:val="18"/>
                <w:szCs w:val="18"/>
                <w:color w:val="auto"/>
              </w:rPr>
              <w:t>77,214</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Randy Komisar (16)</w:t>
            </w:r>
          </w:p>
        </w:tc>
        <w:tc>
          <w:tcPr>
            <w:tcW w:w="2640" w:type="dxa"/>
            <w:vAlign w:val="bottom"/>
          </w:tcPr>
          <w:p>
            <w:pPr>
              <w:jc w:val="right"/>
              <w:spacing w:after="0"/>
              <w:rPr>
                <w:sz w:val="20"/>
                <w:szCs w:val="20"/>
                <w:color w:val="auto"/>
              </w:rPr>
            </w:pPr>
            <w:r>
              <w:rPr>
                <w:rFonts w:ascii="Arial" w:cs="Arial" w:eastAsia="Arial" w:hAnsi="Arial"/>
                <w:sz w:val="18"/>
                <w:szCs w:val="18"/>
                <w:color w:val="auto"/>
              </w:rPr>
              <w:t>86,803</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Sanford R. Robertson (17)</w:t>
            </w:r>
          </w:p>
        </w:tc>
        <w:tc>
          <w:tcPr>
            <w:tcW w:w="2640" w:type="dxa"/>
            <w:vAlign w:val="bottom"/>
          </w:tcPr>
          <w:p>
            <w:pPr>
              <w:jc w:val="right"/>
              <w:spacing w:after="0"/>
              <w:rPr>
                <w:sz w:val="20"/>
                <w:szCs w:val="20"/>
                <w:color w:val="auto"/>
              </w:rPr>
            </w:pPr>
            <w:r>
              <w:rPr>
                <w:rFonts w:ascii="Arial" w:cs="Arial" w:eastAsia="Arial" w:hAnsi="Arial"/>
                <w:sz w:val="18"/>
                <w:szCs w:val="18"/>
                <w:color w:val="auto"/>
              </w:rPr>
              <w:t>258,389</w:t>
            </w: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color w:val="auto"/>
              </w:rPr>
              <w:t>Thomas O. Ryder (18)</w:t>
            </w:r>
          </w:p>
        </w:tc>
        <w:tc>
          <w:tcPr>
            <w:tcW w:w="2640" w:type="dxa"/>
            <w:vAlign w:val="bottom"/>
          </w:tcPr>
          <w:p>
            <w:pPr>
              <w:jc w:val="right"/>
              <w:spacing w:after="0"/>
              <w:rPr>
                <w:sz w:val="20"/>
                <w:szCs w:val="20"/>
                <w:color w:val="auto"/>
              </w:rPr>
            </w:pPr>
            <w:r>
              <w:rPr>
                <w:rFonts w:ascii="Arial" w:cs="Arial" w:eastAsia="Arial" w:hAnsi="Arial"/>
                <w:sz w:val="18"/>
                <w:szCs w:val="18"/>
                <w:color w:val="auto"/>
              </w:rPr>
              <w:t>124,053</w:t>
            </w:r>
          </w:p>
        </w:tc>
      </w:tr>
      <w:tr>
        <w:trPr>
          <w:trHeight w:val="269"/>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All directors and executive officers as a group (15 persons) (19)</w:t>
            </w:r>
          </w:p>
        </w:tc>
        <w:tc>
          <w:tcPr>
            <w:tcW w:w="2640" w:type="dxa"/>
            <w:vAlign w:val="bottom"/>
          </w:tcPr>
          <w:p>
            <w:pPr>
              <w:jc w:val="right"/>
              <w:spacing w:after="0"/>
              <w:rPr>
                <w:sz w:val="20"/>
                <w:szCs w:val="20"/>
                <w:color w:val="auto"/>
              </w:rPr>
            </w:pPr>
            <w:r>
              <w:rPr>
                <w:rFonts w:ascii="Arial" w:cs="Arial" w:eastAsia="Arial" w:hAnsi="Arial"/>
                <w:sz w:val="18"/>
                <w:szCs w:val="18"/>
                <w:color w:val="auto"/>
              </w:rPr>
              <w:t>4,333,114</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___________________</w:t>
            </w:r>
          </w:p>
        </w:tc>
        <w:tc>
          <w:tcPr>
            <w:tcW w:w="2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-3566795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-3223895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-1165860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our outstanding common stock.</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2"/>
          <w:szCs w:val="12"/>
          <w:b w:val="1"/>
          <w:bCs w:val="1"/>
          <w:color w:val="auto"/>
        </w:rPr>
        <w:t>Percentage of shares</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beneficially owned</w:t>
      </w:r>
    </w:p>
    <w:p>
      <w:pPr>
        <w:spacing w:after="0" w:line="3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5.96%</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5.65%</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5.49%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5.08%</w:t>
      </w:r>
    </w:p>
    <w:p>
      <w:pPr>
        <w:spacing w:after="0" w:line="200" w:lineRule="exact"/>
        <w:rPr>
          <w:sz w:val="20"/>
          <w:szCs w:val="20"/>
          <w:color w:val="auto"/>
        </w:rPr>
      </w:pPr>
    </w:p>
    <w:p>
      <w:pPr>
        <w:spacing w:after="0" w:line="39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3.56%</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1.40%</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8.14%</w:t>
      </w:r>
    </w:p>
    <w:p>
      <w:pPr>
        <w:spacing w:after="0" w:line="659" w:lineRule="exact"/>
        <w:rPr>
          <w:sz w:val="20"/>
          <w:szCs w:val="20"/>
          <w:color w:val="auto"/>
        </w:rPr>
      </w:pPr>
    </w:p>
    <w:p>
      <w:pPr>
        <w:sectPr>
          <w:pgSz w:w="11900" w:h="16838" w:orient="portrait"/>
          <w:cols w:equalWidth="0" w:num="2">
            <w:col w:w="9520" w:space="380"/>
            <w:col w:w="1520"/>
          </w:cols>
          <w:pgMar w:left="240" w:top="726" w:right="239" w:bottom="1440" w:gutter="0" w:footer="0" w:header="0"/>
        </w:sectPr>
      </w:pPr>
    </w:p>
    <w:p>
      <w:pPr>
        <w:spacing w:after="0" w:line="11" w:lineRule="exact"/>
        <w:rPr>
          <w:sz w:val="20"/>
          <w:szCs w:val="20"/>
          <w:color w:val="auto"/>
        </w:rPr>
      </w:pPr>
    </w:p>
    <w:p>
      <w:pPr>
        <w:jc w:val="both"/>
        <w:ind w:left="500" w:hanging="492"/>
        <w:spacing w:after="0" w:line="251"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upon a Schedule 13G filed with the SEC on January 30, 2014, BlackRock, Inc. is a parent holding company/control person who has sole voting power over 3,073,181 shares and sole dispositive power over 3,157,785 shares</w:t>
      </w:r>
      <w:r>
        <w:rPr>
          <w:rFonts w:ascii="Arial" w:cs="Arial" w:eastAsia="Arial" w:hAnsi="Arial"/>
          <w:sz w:val="17"/>
          <w:szCs w:val="17"/>
          <w:color w:val="FF0000"/>
        </w:rPr>
        <w:t>.</w:t>
      </w:r>
      <w:r>
        <w:rPr>
          <w:rFonts w:ascii="Arial" w:cs="Arial" w:eastAsia="Arial" w:hAnsi="Arial"/>
          <w:sz w:val="17"/>
          <w:szCs w:val="17"/>
          <w:color w:val="auto"/>
        </w:rPr>
        <w:t xml:space="preserve"> Various persons have the right to receive or the power to direct the receipt of dividends from, or the proceeds from the sale of, the shares; no one person’s interest in the shares is more than five percent of the total outstanding common shares. The subsidiaries holding the shares are BlackRock Advisors (UK) Limited, BlackRock Advisors, LLC, BlackRock Asset Management Canada Limited, BlackRock Fund Advisors, BlackRock Institutional Trust Company, N.A., BlackRock Investment Management, LLC, and BlackRock Japan Co Ltd. The address of BlackRock, Inc. is 40 East 52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Street, New York, New York 10022.</w:t>
      </w:r>
    </w:p>
    <w:p>
      <w:pPr>
        <w:spacing w:after="0" w:line="1" w:lineRule="exact"/>
        <w:rPr>
          <w:rFonts w:ascii="Arial" w:cs="Arial" w:eastAsia="Arial" w:hAnsi="Arial"/>
          <w:sz w:val="17"/>
          <w:szCs w:val="17"/>
          <w:color w:val="auto"/>
        </w:rPr>
      </w:pPr>
    </w:p>
    <w:p>
      <w:pPr>
        <w:jc w:val="both"/>
        <w:ind w:left="500" w:hanging="492"/>
        <w:spacing w:after="0" w:line="24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6, 2014, Columbia Wanger Asset Management, LLC is an investment adviser who has sole voting power over 2,866,201 shares and sole dispositive power over 2,996,400 shares. Columbia Wanger Asset Management, LLC does not directly own any shares. As the</w:t>
      </w:r>
    </w:p>
    <w:p>
      <w:pPr>
        <w:spacing w:after="0" w:line="2" w:lineRule="exact"/>
        <w:rPr>
          <w:rFonts w:ascii="Arial" w:cs="Arial" w:eastAsia="Arial" w:hAnsi="Arial"/>
          <w:sz w:val="18"/>
          <w:szCs w:val="18"/>
          <w:color w:val="auto"/>
        </w:rPr>
      </w:pPr>
    </w:p>
    <w:p>
      <w:pPr>
        <w:jc w:val="both"/>
        <w:ind w:left="500"/>
        <w:spacing w:after="0" w:line="265" w:lineRule="auto"/>
        <w:rPr>
          <w:rFonts w:ascii="Arial" w:cs="Arial" w:eastAsia="Arial" w:hAnsi="Arial"/>
          <w:sz w:val="18"/>
          <w:szCs w:val="18"/>
          <w:color w:val="auto"/>
        </w:rPr>
      </w:pPr>
      <w:r>
        <w:rPr>
          <w:rFonts w:ascii="Arial" w:cs="Arial" w:eastAsia="Arial" w:hAnsi="Arial"/>
          <w:sz w:val="17"/>
          <w:szCs w:val="17"/>
          <w:color w:val="auto"/>
        </w:rPr>
        <w:t>investment adviser of various unregistered and registered investment companies and managed accounts, Columbia Wanger Asset Management, LLC may be deemed to beneficially own the shares; however, Columbia Wanger Asset Management, LLC disclaims beneficial ownership of the shares. To the knowledge of Columbia Wanger Asset Management, LLC, no other persons besides those persons whose shares of common stock it reports beneficial ownership have the right to receive or the power to direct the receipt of dividends from or the proceeds from the sale of the shares. The address of Columbia Wanger Asset Management, LLC is 227 West Monroe Street, Suite 3000, Chicago, Illinois 60606.</w:t>
      </w:r>
    </w:p>
    <w:p>
      <w:pPr>
        <w:spacing w:after="0" w:line="1" w:lineRule="exact"/>
        <w:rPr>
          <w:rFonts w:ascii="Arial" w:cs="Arial" w:eastAsia="Arial" w:hAnsi="Arial"/>
          <w:sz w:val="18"/>
          <w:szCs w:val="18"/>
          <w:color w:val="auto"/>
        </w:rPr>
      </w:pPr>
    </w:p>
    <w:p>
      <w:pPr>
        <w:jc w:val="both"/>
        <w:ind w:left="500" w:hanging="492"/>
        <w:spacing w:after="0" w:line="271"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upon a Schedule 13G/A filed with the SEC on February 12, 2014, Federated Investors, Inc. (the “Parent”) is the parent holding company of Federated Equity Management Company of Pennsylvania and Federated Global Investment Management Corp. (the “Investment Advisers”), which act as investment advisers to registered investment companies and separate accounts that own the shares. The Investment Advisers are wholly owned subsidiaries of FII Holdings, Inc., which is a wholly owned subsidiary of Federated Investors, Inc., the Parent. All of the Parent’s outstanding voting stock is held in the Voting Shares Irrevocable Trust (the “Trust”) for which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6" w:right="239" w:bottom="1440" w:gutter="0" w:footer="0" w:header="0"/>
          <w:type w:val="continuous"/>
        </w:sectPr>
      </w:pPr>
    </w:p>
    <w:bookmarkStart w:id="25" w:name="page26"/>
    <w:bookmarkEnd w:id="25"/>
    <w:p>
      <w:pPr>
        <w:jc w:val="both"/>
        <w:ind w:left="500"/>
        <w:spacing w:after="0" w:line="289" w:lineRule="auto"/>
        <w:rPr>
          <w:sz w:val="20"/>
          <w:szCs w:val="20"/>
          <w:color w:val="auto"/>
        </w:rPr>
      </w:pPr>
      <w:r>
        <w:rPr>
          <w:rFonts w:ascii="Arial" w:cs="Arial" w:eastAsia="Arial" w:hAnsi="Arial"/>
          <w:sz w:val="18"/>
          <w:szCs w:val="18"/>
          <w:color w:val="auto"/>
        </w:rPr>
        <w:t>John F. Donahue, Rhodora J. Donahue and J. Christopher Donahue act as trustees (collectively, the “Trustees”). The Trustees have collective voting control that they can exercise over the Parent. In accordance with Rule 13d-4 under the Securities Act of 1934, as amended, the Parent, the Trust, and each of the Trustees expressly disclaim beneficial ownership of the shares. The address of Federated Investors, Inc. is Federated Investors Tower, Pittsburgh, Pennsylvania 15222.</w:t>
      </w:r>
    </w:p>
    <w:p>
      <w:pPr>
        <w:spacing w:after="0" w:line="3" w:lineRule="exact"/>
        <w:rPr>
          <w:sz w:val="20"/>
          <w:szCs w:val="20"/>
          <w:color w:val="auto"/>
        </w:rPr>
      </w:pPr>
    </w:p>
    <w:p>
      <w:pPr>
        <w:jc w:val="both"/>
        <w:ind w:left="500" w:hanging="492"/>
        <w:spacing w:after="0" w:line="255"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upon a Schedule 13G/A filed with the SEC on February 14, 2014, Frontier Capital Management Co., LLC is an investment advisor who has sole voting power over 1,526,008 shares and sole dispositive power over 2,691,280 shares. The address of Frontier Capital Management Co., LLC is 99 Summer Street, Boston, Massachusetts 02110.</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1,174,368 shares held by John Amster and Colleen Amster, Trustees of the John and Colleen Amster Living Trust dated March 2, 2000, 465,879 shares held by JCA, LLC, options to purchase 246,442 shares of common stock that may be exercised within 60 days of April 24, 2014 by Mr. Amster, and 7,812 shares of common stock that may vest within 60 days of April 24, 2014 from a restricted stock unit award granted to Mr. Amster. Voting and investment power over the shares beneficially owned by the John and Colleen Amster Living Trust dated March 2, 2000 is held by Mr. Amster and Colleen Quinn Amster, Mr. Amster’s wife. Voting and investment power over the shares beneficially owned by JCA, LLC is held by Mr. and Ms. Amster. Excludes options to purchase 291,250 shares of common stock that may not be exercised within 60 days of April 24, 2014, and 85,938 shares of common stock from a restricted stock unit award and 243,750 shares of common stock from performance-based restricted stock unit awards that will not vest within 60 days of April 24, 2014. Each restricted stock unit represents a contingent right to receive one share of our common stock.</w:t>
      </w:r>
    </w:p>
    <w:p>
      <w:pPr>
        <w:spacing w:after="0" w:line="4"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121,732 shares held by Anne Payne Barker, Mr. Barker’s wife, 3,284 shares held by Barker 2010 Children’s Trust FBO Alexander Payne Barker, 3,283 shares held by Barker 2010 Children’s Trust FBO Katherine Eryl Barker, and options to purchase 164,295 shares of common stock that may be exercised within 60 days of April 24, 2014 by Mr. Barker. Excludes options to purchase 194,167 shares of common stock that may not be exercised within 60 days of April 24, 2014.</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options to purchase 27,083 shares of common stock that may be exercised within 60 days of April 24, 2014 by Mr. Segal, 78,437 shares of common stock that may vest within 60 days of April 24, 2014 from restricted stock unit awards granted to Mr. Segal, and 12,500 shares of common stock that may vest within 60 days of April 24, 2014 from a performance-based restricted stock unit award granted to Mr. Segal. Excludes options to purchase 72,917 shares of common stock that may not be exercised within 60 days of April 24, 2014, and 276,563 shares of common stock from restricted stock unit awards and 37,500 shares of common stock from a performance-based restricted stock unit award that will not vest within 60 days of April 24, 2014. Each restricted stock unit represents a contingent right to receive one share of our common stock.</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Spiegel terminated employment with the Company on May 1, 2013.</w:t>
      </w:r>
    </w:p>
    <w:p>
      <w:pPr>
        <w:spacing w:after="0" w:line="9"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27,308 shares of common stock that may be exercised within 60 days of April 24, 2014 by Mr. Roberts, and 17,968 shares of common stock that may vest within 60 days of April 24, 2014 from restricted stock unit awards granted to Mr. Roberts. Excludes options to purchase 32,342 shares of common stock that may not be exercised within 60 days of April 24, 2014, and 94,532 shares of common stock that will not vest within 60 days of April 24, 2014 from restricted stock unit awards. Each restricted stock unit represents a contingent right to receive one share of our common stock.</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143,934 shares of common stock that may be exercised within 60 days of April 24, 2014 by Mr. Scola, and 5,624 shares of common stock that may vest within 60 days of April 24, 2014 from restricted stock unit awards granted to Mr. Scola. Excludes options to purchase 22,177 shares of common stock that may not be exercised within 60 days of April 24, 2014, and 63,126 shares of common stock that will not vest within 60 days of April 24, 2014 from restricted stock unit awards. Each restricted stock unit represents a contingent right to receive one share of our common stock.</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21,086 shares of common stock that may be exercised within 60 days of April 24, 2014 by Mr. Swank, and 6,405 shares of common stock that may vest within 60 days of April 24, 2014 from restricted stock unit awards granted to Mr. Swank. Excludes options to purchase 13,671 shares of common stock that may not be exercised within 60 days of April 24, 2014, and 73,595 shares of common stock that will not vest within 60 days of April 24, 2014 from restricted stock unit awards. Each restricted stock unit represents a contingent right to receive one share of our common stock.</w:t>
      </w:r>
    </w:p>
    <w:p>
      <w:pPr>
        <w:spacing w:after="0" w:line="2"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8,444 shares held by the Armony Irrevocable Family Trust, options to purchase 67,500 shares of common stock that may be exercised within 60 days of April 24, 2014 by Mr. Armony, and 10,708 shares of common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6" w:name="page27"/>
    <w:bookmarkEnd w:id="26"/>
    <w:p>
      <w:pPr>
        <w:ind w:left="500"/>
        <w:spacing w:after="0" w:line="282" w:lineRule="auto"/>
        <w:rPr>
          <w:sz w:val="20"/>
          <w:szCs w:val="20"/>
          <w:color w:val="auto"/>
        </w:rPr>
      </w:pPr>
      <w:r>
        <w:rPr>
          <w:rFonts w:ascii="Arial" w:cs="Arial" w:eastAsia="Arial" w:hAnsi="Arial"/>
          <w:sz w:val="18"/>
          <w:szCs w:val="18"/>
          <w:color w:val="auto"/>
        </w:rPr>
        <w:t>stock that may vest within 60 days of April 24, 2014 from a restricted stock unit award granted to Mr. Armony. Each restricted stock unit represents a contingent right to receive one share of our common stock.</w:t>
      </w:r>
    </w:p>
    <w:p>
      <w:pPr>
        <w:spacing w:after="0" w:line="1" w:lineRule="exact"/>
        <w:rPr>
          <w:sz w:val="20"/>
          <w:szCs w:val="20"/>
          <w:color w:val="auto"/>
        </w:rPr>
      </w:pPr>
    </w:p>
    <w:p>
      <w:pPr>
        <w:jc w:val="both"/>
        <w:ind w:left="500" w:hanging="492"/>
        <w:spacing w:after="0" w:line="283"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35,236 shares of common stock held by MHV Partners LLC. Voting and investment power over the shares beneficially owned by MHV Partners LLC is held by Mr. Bonnie. Includes 1,700 shares held by Merlin Investments LLC. Mr. Bonnie disclaims beneficial ownership of these securities except to the extent of his pecuniary interest therein. Includes 500 shares held by Mason Bonnie Descendants Trust I, 200 shares held by Mason Bonnie Descendants Trust II, 500 shares held by Virginia Ayer Bonnie Descendants Trust I, 200 shares held by Virginia Ayer Bonnie Descendants Trust II, 500 shares held by Henry Bonnie Descendants Trust I, 200 shares held by Henry Bonnie Descendants Trust II, 200 shares held by GST Exempt Descendants Trust II FBO Mason Bonnie, 200 shares held by GST Exempt Descendants Trust II FBO Virginia Bonnie, and 200 shares held by GST Exempt Descendants Trust II FBO Henry Bonnie. Includes 1,700 shares held by Cornelia Bonnie Revocable Trust, of which Mr. Bonnie is a beneficiary, 1,700 shares held by Edward Bonnie Revocable Trust, of which Mr. Bonnie is a beneficiary, 5,500 shares held by Shelby Bonnie Trust DTD 12/20/1968, of which Mr. Bonnie is a beneficiary, 4,600 shares held by Shelby Bonnie Trust DTD 3/27/1959, of which Mr. Bonnie is a beneficiary, 6,100 shares held by Shelby Bonnie Trust DTD 10/20/1964, of which Mr. Bonnie is a beneficiary, 11,300 shares held by Cornelia Bonnie Trust DTD 11/10/1970, of which Mr. Bonnie is a beneficiary, and 2,400 shares held by Edward Bonnie Trust DTD 8/15/1966, of which Mr. Bonnie is a co-trustee and beneficiary. Includes options to purchase 67,500 shares of common stock that may be exercised within 60 days of April 24, 2014 by Mr. Bonnie, and 11,583 shares of common stock that may vest within 60 days of April 24, 2014 from a restricted stock unit award granted to Mr. Bonnie. Each restricted stock unit represents a contingent right to receive one share of our common stock.</w:t>
      </w:r>
    </w:p>
    <w:p>
      <w:pPr>
        <w:spacing w:after="0" w:line="1"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8,272 shares of common stock that will not vest within 60 days of April 24, 2014 from a restricted stock unit award granted to Mr. Dangeard. Each restricted stock unit represents a contingent right to receive one share of our common stock.</w:t>
      </w:r>
    </w:p>
    <w:p>
      <w:pPr>
        <w:jc w:val="both"/>
        <w:ind w:left="500" w:right="2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options to purchase 42,291 shares of common stock that may be exercised within 60 days of April 24, 2014 by Mr. Fingerhood, and 10,750 shares of common stock that may vest within 60 days of April 24, 2014 from a restricted stock unit award granted to Mr. Fingerhood. Excludes options to purchase 18,334 shares of common stock that may not be exercised within 60 days of April 24, 2014. Each restricted stock unit represents a contingent right to receive one share of our common stock.</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of 8,949 shares held by Randy Komisar and Debra Dunn, Trustees of the Komisar Dunn Family Trust, UAD 10/20/1990, options to purchase 67,500 shares of common stock that may be exercised within 60 days of April 24, 2014 by Mr. Komisar, and 10,354 shares of common stock that may vest within 60 days of April 24, 2014 from a restricted stock unit award granted to Mr. Komisar. Each restricted stock unit represents a contingent right to receive one share of our common stock.</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options to purchase 67,500 shares of common stock that may be exercised within 60 days of April 24, 2014 by Mr. Robertson, and 10,417 shares of common stock that may vest within 60 days of April 24, 2014 from a restricted stock unit award granted to Mr. Robertson. Each restricted stock unit represents a contingent right to receive one share of our common stock.</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options to purchase 58,201 shares of common stock that may be exercised within 60 days of April 24, 2014 by Mr. Ryder, and 13,750 shares of common stock that may vest within 60 days of April 24, 2014 from a restricted stock unit award granted to Mr. Ryder. Each restricted stock unit represents a contingent right to receive one share of our common stock.</w:t>
      </w:r>
    </w:p>
    <w:p>
      <w:pPr>
        <w:spacing w:after="0" w:line="1" w:lineRule="exact"/>
        <w:rPr>
          <w:rFonts w:ascii="Arial" w:cs="Arial" w:eastAsia="Arial" w:hAnsi="Arial"/>
          <w:sz w:val="18"/>
          <w:szCs w:val="18"/>
          <w:color w:val="auto"/>
        </w:rPr>
      </w:pPr>
    </w:p>
    <w:p>
      <w:pPr>
        <w:jc w:val="both"/>
        <w:ind w:left="500" w:hanging="492"/>
        <w:spacing w:after="0" w:line="251"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options to purchase 1,000,640 shares of common stock that may be exercised within 60 days of April 24, 2014, and 196,308 shares of common stock that may vest within 60 days of April 24, 2014 from restricted stock unit awards or performance-based restricted stock unit awards beneficially owned by our directors and named executive officers as reflected in footnotes 5 through 18 and (ii) 9,250 shares of common stock, options to purchase 492,999 shares of common stock that may be exercised within 60 days of April 24, 2014 and 4,687 shares of common stock that may vest within 60 days of April 24, 2014 from restricted stock unit awards or performance-based restricted stock unit awards beneficially owned by our executive officers who are not named executive officers. Excludes options to purchase 813,609 shares of common stock that may not be exercised within 60 days of April 24, 2014, and 1,003,589 shares of common stock that may not vest within 60 days of April 24, 2014 from restricted stock unit awards or performance-based restricted stock unit awards. Each restricted stock unit represents a contingent right to receive one share of our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information regarding our equity compensation plans in effect as of December 31,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 be</w:t>
            </w:r>
          </w:p>
        </w:tc>
        <w:tc>
          <w:tcPr>
            <w:tcW w:w="160" w:type="dxa"/>
            <w:vAlign w:val="bottom"/>
          </w:tcPr>
          <w:p>
            <w:pPr>
              <w:spacing w:after="0"/>
              <w:rPr>
                <w:sz w:val="14"/>
                <w:szCs w:val="14"/>
                <w:color w:val="auto"/>
              </w:rPr>
            </w:pPr>
          </w:p>
        </w:tc>
        <w:tc>
          <w:tcPr>
            <w:tcW w:w="19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Weighted-Average Exercise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16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Issuance Under Equity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 Options, Warrants</w:t>
            </w:r>
          </w:p>
        </w:tc>
        <w:tc>
          <w:tcPr>
            <w:tcW w:w="21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Price of Outstanding Options,</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62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93"/>
              </w:rPr>
              <w:t>and Rights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Securities Reflected in Column (a))</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93"/>
              </w:rPr>
              <w:t>(a)</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rPr>
              <w:t>(b)</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6,145,848</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2,450,958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6,145,848</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2,450,958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vMerge w:val="restart"/>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488"/>
        <w:spacing w:after="0" w:line="250" w:lineRule="auto"/>
        <w:tabs>
          <w:tab w:leader="none" w:pos="6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4,088,440 shares issuable upon exercise of outstanding options and 2,057,408 shares issuable upon vesting of outstanding restricted stock units.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Does not take into account outstanding restricted stock units as these awards have no exercise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2013, our directors, executive officers, and greater than 10% stockholders complied with all applicable Section 16(a) filing requirements with the exception of the following: Messrs. Amster and Barker who failed to timely file a Form 4 following the sale of shares; Mr. Scola and Ms. Yen who failed to timely file a Form 4 following the same-day-sale of shares from stock option exercises; Mr. Armony who failed to timely file a Form 4 upon his receipt of a restricted stock unit award; and Mr. Komisar who failed to timely file a Form 4 to report a partnership distribution.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8" w:name="page29"/>
    <w:bookmarkEnd w:id="28"/>
    <w:p>
      <w:pPr>
        <w:ind w:left="2700"/>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approving or disapproving any proposed related party transactions, arrangements or relationships, the audit committee will consider all material information, including the identity of the related person and his/her relationship to our company; designation of the proposed transaction as a single, one-time transaction, a proposed series of transactions or an ongoing business relationship; the proposed aggregate value of such transaction or transactions if known, or a good faith estimate; any alternatives considered, including any evidence supporting the arm’s length valuation of the transaction; and the disclosure implications of the proposed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1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is the name, age, and position of each of our executive officers as of April 24, 2014 and certain biographical information for each executive officer.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84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A. Amster</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21"/>
                <w:szCs w:val="21"/>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President; Director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Geoffrey T. Barker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Director; Director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Ned D. Segal</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Senior Vice President, Finance; Treasurer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Mallun Yen</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Martin E. Roberts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Secretary</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Paul E. Scola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Steven S. Swank</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21"/>
                <w:szCs w:val="21"/>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Head of Client Development and Relations</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John A. Amster’s biographical information may be found in this proxy statement under the heading “Continuing Directors Not Standing for Election” and subheading “Class II Directors (Terms Expire in 2016).”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Geoffrey T. Barker’s biographical information may be found in this proxy statement under the heading “Continuing Directors Not Standing for Election” and subheading “Class II Directors (Terms Expire in 2016).”</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Ned D. Segal, age 40, has served as our Chief Financial Officer, Senior Vice President, Finance and Treasurer since April 2013. Prior to joining RPX, Mr. Segal held various positions at Goldman Sachs &amp; Co. from 1996 to April 2013, most recently as Managing Director, Head of Global Software Investment Banking from 2009 to April 2013 and serving as Chief Operating Officer of Technology Banking from 2012 to April 2013. Mr. Segal holds a B.S. from Georgetown University.</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Mallun Yen, age 43, has served as our Executive Vice President since November 2010. Prior to joining us, Ms. Yen served as Vice President of Worldwide Intellectual Property and Deputy General Counsel from 2002 to 2010 at Cisco Systems, Inc. where she was responsible for developing and implementing the company’s strategy to protect, enhance, defend and capture the value of its intellectual property. Ms. Yen received her B.S. from California Polytechnic State University, San Luis Obispo and her J.D. from UC Berkeley School of Law, Boalt Hall.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Martin E. Roberts, age 53, has served as our Senior Vice President, General Counsel and Secretary since February 2013, and our Vice President, General Counsel and Secretary from October 2010 to February 2013. From July 2007 until October 2010, Mr. Roberts was the Vice President, General Counsel &amp; Secretary of Linden Research, Inc. From January 2006 to July 2007, Mr. Roberts served as Deputy General Counsel of eBay Inc., and from March 2004 to January 2006, he served as Vice President, General Counsel and Secretary of Shopping.com Ltd. Mr. Roberts holds a B.A. in English from the University of Virginia and a J.D. from the University of Alabama School of Law.</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Paul E. Scola, age 44, has served as our Senior Vice President since February 2013, and our Vice President, Corporate Development from October 2010 to February 2013. From August 2008 to September 2010, Mr. Scola served as Vice President, Account Management of Support.com, and from November 2006 until August 2008, he served as its Senior Director, Business Development. At Support.com, Mr. Scola was responsible for consumer services revenue and strategy. Mr. Scola has a B.A. in History from Middlebury College.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Steven S. Swank, age 44, has served as our Senior Vice President, Head of Client Development and Relations since February 2013, as our Vice President, Head of Client Development and Relations from February 2012 to February 2013, and as our Vice President, Client Relations from July 2010 to February 2012. From May 2006 until June 2010, Mr. Swank served as Vice President of National Account Sales at Comdata Corporation, where he was responsible for maintaining client relationships and developing new business opportunities. Mr. Swank received a B.A. in Economics from Bucknell University and an M.B.A. from the University of Chicago Booth School of Business, Singapore.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Election of Officers</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executive officers are currently elected by our board of directors and serve until their successors are duly elected and qualified, or until their earlier resignation or removal. There are no family relationships among any of our directors or executive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compensation discussion and analysis reviews and discusses our compensation programs and policies for our executive officers who are required to be named in the 2013 Summary Compensation Table under the rules of the SEC. For 2013, these “named executive officers” are John A. Amster, Chief Executive Officer, Ned D. Segal, Chief Financial Officer, Adam C. Spiegel, former Chief Financial Officer, Martin E. Roberts, Senior Vice President, Paul E. Scola, Senior Vice President, and Steven S. Swank, Senior Vice President. This compensation discussion and analysis should be read together with the compensation tables and related disclosures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 and Objectives of our Executive Compensation Programs</w:t>
      </w:r>
    </w:p>
    <w:p>
      <w:pPr>
        <w:spacing w:after="0" w:line="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help companies reduce patent-related risk and expense by facilitating a more efficient exchange of value in the patent market. We recognize that the success of our company depends to a great degree on our ability to attract and retain talented employees who have relevant skills and experience to help us manage and expand our business. As such, the principal objectives of our executive compensation programs are the following:</w:t>
      </w:r>
    </w:p>
    <w:p>
      <w:pPr>
        <w:spacing w:after="0" w:line="1"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attract and retain talented and experienced executives whose knowledge, skills and performance ensure our continued success;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incentive to our executives to manage our business to meet our short-term and long-term business objectives;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ensure that our total compensation is fair, reasonable and competitive;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promote teamwork while also recognizing the role each executive officer plays in our success.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executive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 Management and Compensation Consultant</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our initial public offering in 2011, our compensation committee has administered our executive compensation programs and determined the compensation of our executive officers. For more information about our compensation committee, see “Corporate Governance—Board Committees— Compensation Committee.” The compensation committee has primary responsibility for reviewing and approving the compensation that may become payable to our executive officers, and provides strategic direction to management to enable management to implement the compensation committee’s decisions. The compensation committee made all the decisions regarding the 2013 compensation of our named executive officers.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chief executive officer, as the manager of our executive team, makes recommendations to the compensation committee about the compensation of each of our executive officers other than him. While our compensation committee considers his recommendations, it need not adopt them and may adjust them as it determines appropriate.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Compensia, Inc. (“Compensia”) serves as our compensation committee’s independent compensation consultant. Compensia provides the compensation committee with advice and resources to help develop and execute our overall compensation strategy. Compensia reports directly to the compensation committee, and the compensation committee has the sole power to terminate or replace Compensia at any time. As part of its engagement, the compensation committee has directed Compensia to work with members of management to obtain information necessary for Compensia to form recommendations and evaluate management’s recommendations. When requested by the committee, Compensia attends meetings of the compensation committee and provides information and responds to questions from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committee members. As part of its engagement in 2013, Compensia evaluated the Company’s peer group, reviewed compensation levels at the peer group companies, developed equity and cash compensation guidelines for various job levels, assessed compensation for the Company’s executive officers, advised on the design of the Company’s performance-based restricted stock units, evaluated performance-based retention strategies, and assessed compensation for the non-executive members of our board of directors. Compensia does not provide any other services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of our named executive officers consists of the following elements, each of which is designed to fulfill one or more of the principles and objectives described above:</w:t>
      </w:r>
    </w:p>
    <w:p>
      <w:pPr>
        <w:spacing w:after="0" w:line="22"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performance-based bonuses;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equity incentives;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control benefits;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broad-based employee benefits; and</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setting compensation levels for individual named executive officers, the members of our compensation committee apply their judgment in determining the amount and mix of compensation elements for each named executive officer and the appropriate level of each element. The appropriate use and weight of each of these components has generally not been dictated by any particular formula. We view each component of executive compensation as related but distinct, and we also review total compensation of our named executive officers to ensure that our overall compensation objectives are met. The specific mix of components has been within the discretion and business judgment of our compensation committee. These components of our compensation programs together provide compensation packages that our board of directors believes have enabled us to successfully retain and motivate our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7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compensation committee generally reviews and modifies the compensation of our named executive officers annually at the end of each fiscal year in connection with a review of each officer’s performance. Our compensation committee also acts at other times based on the recommendations of our chief executive officer and as the compensation committee determines appropriate, such as in connection with a promotion or as necessary to retain an officer.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2012, at the request of the compensation committee, Compensia prepared an analysis of the compensation of our chief executive officer relative to the compensation paid by a peer group of companies consisting of financial services, technology and patent licensing companies with revenue less than $350 million at the time of such review. The peer group included the following companies: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Cohen &amp; Steers,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Cowen Group,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Engines,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Greenhill &amp; Co.,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Hercules Technology Growth Capital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HFF,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MarketAxess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Virtus Investment Partners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Aspen Technology,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Dice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Ebix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Epiq Systems,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RealPage,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SolarWinds,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Acacia Research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CEVA,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InterDigital,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Rambus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RealD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Tessera Technologies, Inc.</w:t>
      </w:r>
    </w:p>
    <w:p>
      <w:pPr>
        <w:spacing w:after="0" w:line="21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In the case of our other named executive officers, the compensation committee considered data from the Radford High-Tech Executive Compensation Survey, as the publicly available information for the peer companies did not include sufficient data with respect all of their specific positions. We believe that this comparative data is valuable in that it provides insight into ranges and components of compensation at similarly-situated companies and helps to confirm both the competitiveness and reasonableness of our compensation decisions. Accordingly, the compensation committee used the peer group and Radford data as one of a number of factors it considered when making 2013 compensation decisions. In general, the compensation committee did not set the compensation of our named executive officers at any particular benchmark, and considerations related to our company and individual named executive officers were prioritized in making compensation decisions. However, in the case of our chief executive officer’s 2013 cash compensation, the compensation committee generally targeted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compared to the peer company CEO data. As described below, in the case of Mr. Amster’s 2013 equity award, the committee increased the size of the equity award above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in order to create a stronger retention incentive.</w:t>
      </w:r>
    </w:p>
    <w:p>
      <w:pPr>
        <w:spacing w:after="0" w:line="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our 2012 annual meeting of stockholders, 98% of the voting power of shares voted were cast in favor of the advisory vote on executive compensation. The compensation committee viewed the results of this vote as broad stockholder support for our executive compensation program and did not implement any changes to our executive compensation programs as a result of the vote.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provide base salary to our named executive officers and other employees to compensate them for services rendered on a day-to-day basis during the fiscal year and to provide sufficient fixed cash compensation to allow the officers to focus on their ongoing responsibilities to our company. In general, base salaries for our named executive officers are initially established through arm’s-length negotiation at the time the executive is hired or promoted, taking into account such executive’s qualifications, experience and prior salary. Adjustments to base salaries are discretionary and are based on such factors as the scope of a named executive officer’s responsibilities, individual contribution, prior experience and sustained performance. Decisions regarding salary increases may also take into account the named executive officer’s current salary, equity ownership and the amounts paid to a named executive officer’s peers inside our company by conducting an internal analysis, which compares the pay of each named executive officer to other members of the management team and the market compensation data. Base salaries are also reviewed and adjusted when necessary to reflect changes in individual roles and responsibilities as well as our compensation committee’s subjective assessment of market conditions.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connection with its annual review of our named executive officer’s compensation, the compensation committee approved the increases in our named executive officer’s base salaries set forth below. These salaries were based on recommendations from our chief executive officer and were also intended to address internal pay equity among our executive officers. No change was made in Mr. Amster’s salary due to our compensation committee’s assessment that his existing salary, which was already at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the peer company CEO salaries, was adequate.</w:t>
      </w:r>
    </w:p>
    <w:p>
      <w:pPr>
        <w:spacing w:after="0" w:line="3"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Spiegel $260,000 to $315,000 per year;</w:t>
      </w:r>
    </w:p>
    <w:p>
      <w:pPr>
        <w:spacing w:after="0" w:line="60"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Roberts $260,000 to $300,000 per year;</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Scola $240,000 to $285,000 per year;</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Swank $250,000 to $285,000 per year.</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Mr. Roberts’s salary was further increased to $360,000 per year in April 2013 in light of his increased operational responsibilities at our company.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4" w:name="page35"/>
    <w:bookmarkEnd w:id="34"/>
    <w:p>
      <w:pPr>
        <w:jc w:val="both"/>
        <w:ind w:right="20" w:firstLine="648"/>
        <w:spacing w:after="0" w:line="277" w:lineRule="auto"/>
        <w:rPr>
          <w:sz w:val="20"/>
          <w:szCs w:val="20"/>
          <w:color w:val="auto"/>
        </w:rPr>
      </w:pPr>
      <w:r>
        <w:rPr>
          <w:rFonts w:ascii="Arial" w:cs="Arial" w:eastAsia="Arial" w:hAnsi="Arial"/>
          <w:sz w:val="18"/>
          <w:szCs w:val="18"/>
          <w:color w:val="auto"/>
        </w:rPr>
        <w:t>In connection with the commencement of his employment with us in April 2013, Mr. Segal’s initial base salary was determined by arm’s-length negotiations and was set at $450,000.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actual base salaries paid to all of our named executive officers during fiscal year 2013 are set forth in the “2013 Summary Compensation Table.”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Bonuses</w:t>
      </w:r>
    </w:p>
    <w:p>
      <w:pPr>
        <w:spacing w:after="0" w:line="7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Cash performance bonuses are used to reward our named executive officers for the achievement of individual and company performance goals that we believe will in turn further our long-term business objectives. Cash bonuses are discretionary; however, we accrue a total bonus pool for all participants in our bonus plan based on corporate objectives. Our compensation committee determines the actual size of the bonus pool at the end of the year using the pool performance target as a guideline, but not a requirement. The compensation committee also determines individual performance bonuses for our named executive officers based on a subjective review of individual and company performance, and, in the case of officers other than our chief executive officer, based on the recommendations of our chief executive officer.</w:t>
      </w:r>
    </w:p>
    <w:p>
      <w:pPr>
        <w:spacing w:after="0" w:line="193"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In February 2013, our compensation committee determined that we should accrue a 2013 bonus pool based on the level of our 2013 non-GAAP operating income, with a minimum and maximum amount to be accrued based on our performance. We define non-GAAP operating income to exclude stock-based compensation and the amortization of acquired intangibles. Our compensation committee was permitted, in its sole discretion, to adjust non-GAAP operating income to exclude certain revenue and expenses related to the acquisition or disposition of patent assets. We believe that non-GAAP operating income target is an appropriate measure of our company’s performance, as it is a key valuation measure considered by our stockholder and analyst community.</w:t>
      </w:r>
    </w:p>
    <w:p>
      <w:pPr>
        <w:spacing w:after="0" w:line="193"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compensation committee set the Company’s target non-GAAP operating income for fiscal year 2013 at $90.7 million and set the following accrual guidelines tied to the Company’s performance:</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2013 Non-GAAP Operating Income (1)</w:t>
            </w:r>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$80.7 million or less</w:t>
            </w: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$90.7 million</w:t>
            </w:r>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$100.7 million or more</w:t>
            </w:r>
          </w:p>
        </w:tc>
      </w:tr>
      <w:tr>
        <w:trPr>
          <w:trHeight w:val="206"/>
        </w:trPr>
        <w:tc>
          <w:tcPr>
            <w:tcW w:w="2900" w:type="dxa"/>
            <w:vAlign w:val="bottom"/>
            <w:tcBorders>
              <w:left w:val="single" w:sz="8" w:color="auto"/>
              <w:right w:val="single" w:sz="8" w:color="auto"/>
            </w:tcBorders>
          </w:tcPr>
          <w:p>
            <w:pPr>
              <w:spacing w:after="0"/>
              <w:rPr>
                <w:sz w:val="17"/>
                <w:szCs w:val="17"/>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 million below target)</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(100% of target)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 million above target)</w:t>
            </w:r>
          </w:p>
        </w:tc>
      </w:tr>
      <w:tr>
        <w:trPr>
          <w:trHeight w:val="3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1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Accrual (2)</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23% of total company-wide salaries</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32% of total company-wide salaries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41% of total company-wide salaries</w:t>
            </w:r>
          </w:p>
        </w:tc>
      </w:tr>
      <w:tr>
        <w:trPr>
          <w:trHeight w:val="3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20" w:firstLine="8"/>
        <w:spacing w:after="0" w:line="258" w:lineRule="auto"/>
        <w:tabs>
          <w:tab w:leader="none" w:pos="2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results in between the above guidelines, the full year bonus accrual would be determined by linear interpolation between the relevant specified accrual amounts.</w:t>
      </w:r>
    </w:p>
    <w:p>
      <w:pPr>
        <w:spacing w:after="0" w:line="1" w:lineRule="exact"/>
        <w:rPr>
          <w:rFonts w:ascii="Arial" w:cs="Arial" w:eastAsia="Arial" w:hAnsi="Arial"/>
          <w:sz w:val="18"/>
          <w:szCs w:val="18"/>
          <w:color w:val="auto"/>
        </w:rPr>
      </w:pPr>
    </w:p>
    <w:p>
      <w:pPr>
        <w:ind w:right="20" w:firstLine="8"/>
        <w:spacing w:after="0" w:line="261"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guidelines include an additional two percent pool at each level of performance in order to allow the compensation committee additional flexibility to reward outstanding performance.</w:t>
      </w:r>
    </w:p>
    <w:p>
      <w:pPr>
        <w:spacing w:after="0" w:line="18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company’s actual non-GAAP operating income for fiscal year 2013 was $79.1 million, which was below the target by $11.6 million. In accordance with the guideline above, our compensation committee determined that the actual bonus pool should be $4.3 million, or 23% of total company-wide annual salaries for the year.</w:t>
      </w:r>
    </w:p>
    <w:p>
      <w:pPr>
        <w:spacing w:after="0" w:line="24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After determining the size of the bonus pool, our compensation committee approved 2013 bonuses for our named executive officers. Although non-GAAP operating income was below target, the compensation committee considered the fact that our client network grew from 140 to 168, and the fact that non-GAAP operating income increased by 20%. Because our typical sales cycle is long and unpredictable, and the committee believed that the named executive officers did an exceptional job continuing to develop and expand the client pipeline, the committee determined to pay bonuses above the prorated target amounts for the named executive officers. In the case of our named executive officers, other than Mr. Amster, the compensation committee also considered the recommendations of Mr. Amster based on his subjective review of each named executive officer’s performance. These reviews and bonus payouts for each named executive officer were based on the following considerations:</w:t>
      </w:r>
    </w:p>
    <w:p>
      <w:pPr>
        <w:spacing w:after="0" w:line="29" w:lineRule="exact"/>
        <w:rPr>
          <w:sz w:val="20"/>
          <w:szCs w:val="20"/>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Amster’s bonus was 40% of his base salary and reflected his continuing leadership of the Company and the growth in the number and diversity of clients during 2013.</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800" w:right="219" w:bottom="1440" w:gutter="0" w:footer="0" w:header="0"/>
        </w:sectPr>
      </w:pPr>
    </w:p>
    <w:bookmarkStart w:id="35" w:name="page36"/>
    <w:bookmarkEnd w:id="35"/>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Segal’s bonus was 65% of base salary in accordance with the terms of his offer letter.</w:t>
      </w:r>
    </w:p>
    <w:p>
      <w:pPr>
        <w:spacing w:after="0" w:line="7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Roberts’s bonus was 42% of base salary and reflected his role in corporate governance as well as his leadership of the legal and human resources teams.</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Scola’s bonus was 42% of his base salary and reflected his leadership of the insurance sales and operations as well as the information technology teams.</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Swank’s bonus was 42% of base salary and reflected the number of new and renewing clients and his leadership of the client development and client relations teams.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cash bonuses paid to our named executive officers are set forth in the “Bonus” column of the “2013 Summary Compensation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strong long-term corporate performance may be achieved by using equity-based awards to encourage long-term performance by our named executive officers. Our compensation committee grants equity awards to our named executive officers and other employees to enable them to participate in the long-term appreciation of our stockholder value. We believe that equity grants align the interests of our named executive officers with our stockholders, provide them with incentives linked to long-term performance, and create an ownership culture. We believe that equity should be designed to serve as an effective recruitment and retention tool while also motivating our executive officers to work toward corporate objectives that provide a meaningful return to our stockholders.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initial equity award held by Mr. Amster consisted of restricted stock that he purchased at the time the Company was founded, and was subject to our repurchase rights that lapsed (which is what we mean by “vesting” with respect to these awards) over four years of service from August 2008 and became fully vested in August 2012. Equity-based awards to our other named executive officers have generally been granted in the form of options to purchase shares of our common stock and, following our initial public offering, restricted stock units (or “RSUs”). Typically, each named executive officer receives a grant of RSUs and/or a stock option upon joining our company. The initial awards of stock options generally vest over four years of service, with 25% vesting after one year of service and the remainder vesting in equal monthly installments over the next three years. The initial awards of RSUs generally vest over four years, with 25% vesting after one year of service and the remainder vesting in equal quarterly installments over the next three years.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size and material terms of the equity awards granted to our named executive officers are determined in the subjective discretion of our compensation committee and reflect (among other factors) individual negotiations at the time an officer is hired, the cash compensation of the officer, the officer’s performance and responsibility, internal pay equity, retention concerns, and the comparative market compensation data.</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Beginning in 2012, as a part of the annual performance and compensation review process, based on an evaluation of each employee’s performance for the year, the compensation committee began considering additional grants to employees after the first year of employment. For 2013, these grants were in the form of RSUs for all employees including our named executive officers and generally vest over four years of service. The compensation committee believes that RSUs align the interests of the named executive officers with the interests of the stockholders because the value of these awards appreciates if the trading price of our common stock appreciates, and these awards also have retention value even during periods in which our trading price does not appreciate, which supports continuity in the management team.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6" w:name="page37"/>
    <w:bookmarkEnd w:id="36"/>
    <w:p>
      <w:pPr>
        <w:jc w:val="both"/>
        <w:ind w:firstLine="648"/>
        <w:spacing w:after="0" w:line="276" w:lineRule="auto"/>
        <w:rPr>
          <w:sz w:val="20"/>
          <w:szCs w:val="20"/>
          <w:color w:val="auto"/>
        </w:rPr>
      </w:pPr>
      <w:r>
        <w:rPr>
          <w:rFonts w:ascii="Arial" w:cs="Arial" w:eastAsia="Arial" w:hAnsi="Arial"/>
          <w:sz w:val="17"/>
          <w:szCs w:val="17"/>
          <w:color w:val="auto"/>
        </w:rPr>
        <w:t>Consistent with this approach, our compensation committee granted the following RSUs to our named executive officers in connection with the annual review of their compensation and performance. In the case of Mr. Amster whose existing equity was largely vested, the compensation committee decided to double the size of his equity award from the 60th percentile of the peer company CEO data in order to provide additional retention incentives, but made vesting of half of the award subject to increases in our stock price over four years. The size of the other RSU awards were determined in the subjective discretion of our compensation committee and were based on recommendations from Mr. Amster.</w:t>
      </w:r>
    </w:p>
    <w:p>
      <w:pPr>
        <w:spacing w:after="0" w:line="24" w:lineRule="exact"/>
        <w:rPr>
          <w:sz w:val="20"/>
          <w:szCs w:val="20"/>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Amster – 250,000 RSUs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Spiegel – 75,000 RSUs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Roberts – 75,000 RSUs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Scola – 65,000 RSUs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Swank – 65,000 RSUs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2013, Mr. Roberts was granted an additional 50,000 RSUs in recognition of his increasing managerial responsibility, the role he plays in the Company’s operations and retention concerns.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with other new hires, Mr. Segal was granted both stock options and RSUs in connection with his commencement of employment with us. The size and terms of the initial awards granted to Mr. Segal were the result of arm’s length negotiations at the time he was hired and reflect the equity opportunities he was leaving behind at his prior employer.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equity awards granted to our named executive officers in 2013 are reflected in the “2013 Grants of Plan-Based Awards” table below.</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have, nor do we plan to establish, any program, plan or practice to time stock option grants in coordination with releasing material non-public information, nor do we have any established grant schedule. In addition, to date, we have not adopted stock ownership guidelines for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 and Severance</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termination of Mr. Spiegel’s employment, we entered into a separation agreement with Mr. Spiegel pursuant to which he received certain severance benefits described below in “Narrative Disclosure to the Summary Compensation Table and Grants of Plan Based Awards – Separation Agreement with Adam C. Spiegel.” While Mr. Spiegel was not contractually entitled to receive these benefits, we wanted to incentivize Mr. Spiegel to remain employed for a transition period and believe it was in our best interests to obtain a release of claims from Mr. Spiegel.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equity awards granted to Messrs. Amster and Segal in 2013 include a “double trigger” acceleration benefit if the officer is terminated without cause or resigns for certain reasons within 12 months after a change in control of our company. The terms of these arrangements are described below in “2013 Potential Payments Upon Termination or Change in Control.” Our compensation committee believes that it is necessary to offer senior members of our executive team the level of protection provided under these agreements to ensure that they remain focused on executing our company’s strategic plans, including in the event our company is to be acquired.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named executive officers have any contractual severance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the following benefits to our named executive officers, generally on the same basis as provided to all of our employees:</w:t>
      </w:r>
    </w:p>
    <w:p>
      <w:pPr>
        <w:spacing w:after="0" w:line="7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health, dental and vision insurance;</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7" w:name="page38"/>
    <w:bookmarkEnd w:id="37"/>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401(k) plan with an up to $2,500 match of employee contributions;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employee assistance plan;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 and long-term disability insurance;</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 and</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health savings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these benefits are consistent with those of companies with which we compete for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Given our location in downtown San Francisco, we pay the monthly parking fee incurred by certain of our officers and employees, including the $495 monthly fee for Mr. Amster. We generally do not provide any additional perquisites to our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Generally, Section 162(m) of the Internal Revenue Code disallows a deduction to any publicly held corporation for individual compensation exceeding $1 million in any taxable year payable to its Chief Executive Officer and certain other officers. However, compensation in excess of $1 million may be deducted if, among other things, it qualifies as “performance-based compensation” within the meaning of Section 162(m). While our compensation committee is mindful of the benefits of deducting compensation, in order to maintain flexibility in compensating executive officers in a manner consistent with our philosophy and business goals, it has not adopted a formal policy regarding tax deductibility of compensation paid to our named executive officers. Stock options granted to our named executive officers under our 2011 Equity Incentive Plan are generally intended to qualify as performance-based compensation so that they will not be subject to the $1 million deduction limitation. In addition, we may grant certain performance-contingent equity awards that are intended to qualify as performance-based compensation. However, base salaries, our performance-based bonuses and restricted stock units granted to our named executive officers do not qualify as performance-based compensation and are generally subject to the $1 million deduction limitation when aggregated with other non-exempt compensation. Our compensation committee may approve compensation or changes to plans, programs or awards that may cause the compensation or awards not to be deductible under Section 162(m).</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280G of the Internal Revenue Code disallows a tax deduction with respect to excess parachute payments to certain executives and significant stockholders of companies that undergo a change in control. In addition, Section 4999 of the Internal Revenue Code imposes a 20% excise tax on the individual with respect to the excess parachute payment. Section 409A of the Internal Revenue Code also imposes significant additional taxes should an executive officer, director or other service provider receive “deferred compensation” that does not meet the requirements of Section 409A of the Internal Revenue Code. We have not provided any named executive officer with a gross-up or other reimbursement for tax amounts the executive might pay pursuant to Section 280G or Section 409A of the Internal Revenue Code.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of the Internal Revenue Code.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Restatement</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committee has not adopted a policy on whether we will make retroactive adjustments to any cash or equity-based incentive compensation paid to the named executive officers (or others) where the payment was predicated upon the achievement of financial results that were subsequently the subject of a restatement. Our compensation committee believes that this issue is best addressed if and when a need actually arises, when all of the facts regarding the restatement are known. We intend to comply with all applicable laws and regulations requiring any adjustments to or recovery of incentive compensation.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 members of the compensation committee, have reviewed and discussed the Compensation Discussion and Analysis contained in this proxy statement with management. Based on such review and discussion, we have recommended to the board of directors that the Compensation Discussion and Analysis be included in this proxy statement and incorporated by reference into our Annual Report on Form 10-K for the fiscal year ended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Sanford R.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2013 Summary Compensation Table</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provides information regarding the compensation of our “principal executive officer,” each person who served as our “principal financial officer” during the 2013 fiscal year and our next three most highly compensated executive officers during the 2013 fiscal year. We refer to these individuals as our “named executive officers.”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Name and 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57960" cy="523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5232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A. Amster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199" w:lineRule="exact"/>
        <w:rPr>
          <w:sz w:val="20"/>
          <w:szCs w:val="20"/>
          <w:color w:val="auto"/>
        </w:rPr>
      </w:pPr>
    </w:p>
    <w:p>
      <w:pPr>
        <w:ind w:left="20" w:right="200"/>
        <w:spacing w:after="0" w:line="283" w:lineRule="auto"/>
        <w:rPr>
          <w:sz w:val="20"/>
          <w:szCs w:val="20"/>
          <w:color w:val="auto"/>
        </w:rPr>
      </w:pPr>
      <w:r>
        <w:rPr>
          <w:rFonts w:ascii="Arial" w:cs="Arial" w:eastAsia="Arial" w:hAnsi="Arial"/>
          <w:sz w:val="16"/>
          <w:szCs w:val="16"/>
          <w:color w:val="auto"/>
        </w:rPr>
        <w:t>Ned D. Segal (4)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145796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548640"/>
                    </a:xfrm>
                    <a:prstGeom prst="rect">
                      <a:avLst/>
                    </a:prstGeom>
                    <a:noFill/>
                  </pic:spPr>
                </pic:pic>
              </a:graphicData>
            </a:graphic>
          </wp:anchor>
        </w:drawing>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Adam C. Spiegel (5)</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Former Chief Financial Officer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(Former Principal Financial</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Martin E. Roberts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Senior Vice President, General</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45796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960" cy="651510"/>
                    </a:xfrm>
                    <a:prstGeom prst="rect">
                      <a:avLst/>
                    </a:prstGeom>
                    <a:noFill/>
                  </pic:spPr>
                </pic:pic>
              </a:graphicData>
            </a:graphic>
          </wp:anchor>
        </w:drawing>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Paul E. Scola</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Steven S. Swank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Senior Vice President, Head of</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Client Development and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Relations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6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8"/>
              </w:rPr>
              <w:t>All Other</w:t>
            </w:r>
          </w:p>
        </w:tc>
        <w:tc>
          <w:tcPr>
            <w:tcW w:w="11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2,001,250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2,701,250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132,000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632,000</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3,157,207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3,780,207</w:t>
            </w:r>
          </w:p>
        </w:tc>
        <w:tc>
          <w:tcPr>
            <w:tcW w:w="0" w:type="dxa"/>
            <w:vAlign w:val="bottom"/>
          </w:tcPr>
          <w:p>
            <w:pPr>
              <w:spacing w:after="0"/>
              <w:rPr>
                <w:sz w:val="1"/>
                <w:szCs w:val="1"/>
                <w:color w:val="auto"/>
              </w:rPr>
            </w:pPr>
          </w:p>
        </w:tc>
      </w:tr>
      <w:tr>
        <w:trPr>
          <w:trHeight w:val="243"/>
        </w:trPr>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308,523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492,500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4,346,000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738,735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5,888,258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103,902</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763,230</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943,779</w:t>
            </w:r>
          </w:p>
        </w:tc>
        <w:tc>
          <w:tcPr>
            <w:tcW w:w="1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210,035 (6)</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2,020,946</w:t>
            </w:r>
          </w:p>
        </w:tc>
      </w:tr>
      <w:tr>
        <w:trPr>
          <w:trHeight w:val="243"/>
        </w:trPr>
        <w:tc>
          <w:tcPr>
            <w:tcW w:w="120" w:type="dxa"/>
            <w:vAlign w:val="bottom"/>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132,000</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199,750</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178,906</w:t>
            </w:r>
          </w:p>
        </w:tc>
        <w:tc>
          <w:tcPr>
            <w:tcW w:w="1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770,656</w:t>
            </w:r>
          </w:p>
        </w:tc>
      </w:tr>
      <w:tr>
        <w:trPr>
          <w:trHeight w:val="318"/>
        </w:trPr>
        <w:tc>
          <w:tcPr>
            <w:tcW w:w="120" w:type="dxa"/>
            <w:vAlign w:val="bottom"/>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260,000</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220,000</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480,000</w:t>
            </w:r>
          </w:p>
        </w:tc>
      </w:tr>
      <w:tr>
        <w:trPr>
          <w:trHeight w:val="243"/>
        </w:trPr>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340,833</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150,000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1,413,750</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2,500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1,907,083</w:t>
            </w:r>
          </w:p>
        </w:tc>
      </w:tr>
      <w:tr>
        <w:trPr>
          <w:trHeight w:val="270"/>
        </w:trPr>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259,375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122,000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199,750</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223,633</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804,758</w:t>
            </w:r>
          </w:p>
        </w:tc>
      </w:tr>
      <w:tr>
        <w:trPr>
          <w:trHeight w:val="405"/>
        </w:trPr>
        <w:tc>
          <w:tcPr>
            <w:tcW w:w="8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283,125</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120,000</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650,650</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1,053,775</w:t>
            </w:r>
          </w:p>
        </w:tc>
      </w:tr>
      <w:tr>
        <w:trPr>
          <w:trHeight w:val="756"/>
        </w:trPr>
        <w:tc>
          <w:tcPr>
            <w:tcW w:w="120" w:type="dxa"/>
            <w:vAlign w:val="bottom"/>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bl>
    <w:p>
      <w:pPr>
        <w:spacing w:after="0" w:line="1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283,542</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120,000</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650,650</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2,500</w:t>
            </w:r>
          </w:p>
        </w:tc>
        <w:tc>
          <w:tcPr>
            <w:tcW w:w="1160" w:type="dxa"/>
            <w:vAlign w:val="bottom"/>
          </w:tcPr>
          <w:p>
            <w:pPr>
              <w:jc w:val="right"/>
              <w:spacing w:after="0"/>
              <w:rPr>
                <w:sz w:val="20"/>
                <w:szCs w:val="20"/>
                <w:color w:val="auto"/>
              </w:rPr>
            </w:pPr>
            <w:r>
              <w:rPr>
                <w:rFonts w:ascii="Arial" w:cs="Arial" w:eastAsia="Arial" w:hAnsi="Arial"/>
                <w:sz w:val="18"/>
                <w:szCs w:val="18"/>
                <w:color w:val="auto"/>
              </w:rPr>
              <w:t>1,056,692</w:t>
            </w:r>
          </w:p>
        </w:tc>
      </w:tr>
      <w:tr>
        <w:trPr>
          <w:trHeight w:val="284"/>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250,000</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122,000</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199,750</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178,906</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750,656</w:t>
            </w:r>
          </w:p>
        </w:tc>
      </w:tr>
    </w:tbl>
    <w:p>
      <w:pPr>
        <w:spacing w:after="0" w:line="390" w:lineRule="exact"/>
        <w:rPr>
          <w:sz w:val="20"/>
          <w:szCs w:val="20"/>
          <w:color w:val="auto"/>
        </w:rPr>
      </w:pPr>
    </w:p>
    <w:p>
      <w:pPr>
        <w:sectPr>
          <w:pgSz w:w="11900" w:h="16838" w:orient="portrait"/>
          <w:cols w:equalWidth="0" w:num="2">
            <w:col w:w="2120" w:space="60"/>
            <w:col w:w="9240"/>
          </w:cols>
          <w:pgMar w:left="240" w:top="796"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jc w:val="both"/>
        <w:ind w:left="500" w:hanging="492"/>
        <w:spacing w:after="0" w:line="250"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in the case of Mr. Segal, the 2013 amounts in this column reflect discretionary bonuses approved by the compensation committee of our board of directors on December 18, 2013 for our company and individual performance, which were paid on January 31, 2014. In the case of Mr. Segal, the amount includes a guaranteed 2013 bonus of $292,500 and a $200,000 signing bonus.</w:t>
      </w:r>
    </w:p>
    <w:p>
      <w:pPr>
        <w:spacing w:after="0" w:line="1" w:lineRule="exact"/>
        <w:rPr>
          <w:rFonts w:ascii="Arial" w:cs="Arial" w:eastAsia="Arial" w:hAnsi="Arial"/>
          <w:sz w:val="18"/>
          <w:szCs w:val="18"/>
          <w:color w:val="auto"/>
        </w:rPr>
      </w:pPr>
    </w:p>
    <w:p>
      <w:pPr>
        <w:jc w:val="both"/>
        <w:ind w:left="500" w:hanging="492"/>
        <w:spacing w:after="0" w:line="281"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restricted stock unit awards granted to the officer in the applicable fiscal year computed in accordance with FASB ASC Topic 718. In the case of Mr. Spiegel, the 2013 amount includes $12,480 in incremental fair value associated with the vesting of certain of Mr. Spiegel’s restricted stock units pursuant to his separation agreement. In accordance with SEC rules, the grant date fair value of an award that is subject to a performance condition is based on the probable outcome of the performance condition. See Note 13 of the notes to our consolidated financial statements for the fiscal year ended December 31, 2013 in our annual report on Form 10-K for fiscal year 2013 filed on March 10, 2014, for a discussion of the assumptions made by our company in determining the grant date fair value of its equity awards.</w:t>
      </w:r>
    </w:p>
    <w:p>
      <w:pPr>
        <w:spacing w:after="0" w:line="4" w:lineRule="exact"/>
        <w:rPr>
          <w:rFonts w:ascii="Arial" w:cs="Arial" w:eastAsia="Arial" w:hAnsi="Arial"/>
          <w:sz w:val="16"/>
          <w:szCs w:val="16"/>
          <w:color w:val="auto"/>
        </w:rPr>
      </w:pPr>
    </w:p>
    <w:p>
      <w:pPr>
        <w:jc w:val="both"/>
        <w:ind w:left="500" w:hanging="492"/>
        <w:spacing w:after="0" w:line="255"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officer in the applicable fiscal year computed in accordance with FASB ASC Topic 718. In the case of Mr. Spiegel, the 2013 amount reflects the incremental fair value associated with the vesting of certain of Mr. Spiegel’s options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type w:val="continuous"/>
        </w:sectPr>
      </w:pPr>
    </w:p>
    <w:bookmarkStart w:id="40" w:name="page41"/>
    <w:bookmarkEnd w:id="40"/>
    <w:p>
      <w:pPr>
        <w:jc w:val="both"/>
        <w:ind w:left="500"/>
        <w:spacing w:after="0" w:line="287" w:lineRule="auto"/>
        <w:rPr>
          <w:sz w:val="20"/>
          <w:szCs w:val="20"/>
          <w:color w:val="auto"/>
        </w:rPr>
      </w:pPr>
      <w:r>
        <w:rPr>
          <w:rFonts w:ascii="Arial" w:cs="Arial" w:eastAsia="Arial" w:hAnsi="Arial"/>
          <w:sz w:val="18"/>
          <w:szCs w:val="18"/>
          <w:color w:val="auto"/>
        </w:rPr>
        <w:t>pursuant to his separation agreement. See Note 13 of the notes to our consolidated financial statements for the fiscal year ended December 31, 2013 in our annual report on Form 10-K for fiscal year 2013 filed on March 10, 2014, for a discussion of the assumptions made by our company in determining the grant date fair value of its equity awards.</w:t>
      </w:r>
    </w:p>
    <w:p>
      <w:pPr>
        <w:spacing w:after="0" w:line="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Segal’s employment with us began on April 24, 2013.</w:t>
      </w:r>
    </w:p>
    <w:p>
      <w:pPr>
        <w:spacing w:after="0" w:line="22"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Spiegel’s employment with us ended on May 1, 2013.</w:t>
      </w:r>
    </w:p>
    <w:p>
      <w:pPr>
        <w:spacing w:after="0" w:line="9" w:lineRule="exact"/>
        <w:rPr>
          <w:rFonts w:ascii="Arial" w:cs="Arial" w:eastAsia="Arial" w:hAnsi="Arial"/>
          <w:sz w:val="18"/>
          <w:szCs w:val="18"/>
          <w:color w:val="auto"/>
        </w:rPr>
      </w:pPr>
    </w:p>
    <w:p>
      <w:pPr>
        <w:jc w:val="both"/>
        <w:ind w:left="500" w:right="20" w:hanging="492"/>
        <w:spacing w:after="0" w:line="255"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amount reflects a $157,500 severance payment and $10,056 in company-paid COBRA premiums pursuant to Mr. Spiegel’s separation agreement, as well as $39,979 in payment of accrued but unused paid-time off and a $2,500 matching contribution to the Company’s qualified defined contribution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Grants of Plan-Based Awards</w:t>
      </w:r>
    </w:p>
    <w:p>
      <w:pPr>
        <w:spacing w:after="0" w:line="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sets forth certain information regarding each plan-based award granted to our named executive officers during our 2013 fiscal year. In the case of Mr. Spiegel, the table also includes information regarding the accelerated vesting of certain stock options and restricted stock units pursuant to his separation agreement.</w:t>
      </w:r>
    </w:p>
    <w:p>
      <w:pPr>
        <w:spacing w:after="0" w:line="335" w:lineRule="exact"/>
        <w:rPr>
          <w:sz w:val="20"/>
          <w:szCs w:val="20"/>
          <w:color w:val="auto"/>
        </w:rPr>
      </w:pPr>
    </w:p>
    <w:p>
      <w:pPr>
        <w:jc w:val="center"/>
        <w:ind w:right="3080"/>
        <w:spacing w:after="0"/>
        <w:rPr>
          <w:sz w:val="20"/>
          <w:szCs w:val="20"/>
          <w:color w:val="auto"/>
        </w:rPr>
      </w:pPr>
      <w:r>
        <w:rPr>
          <w:rFonts w:ascii="Arial" w:cs="Arial" w:eastAsia="Arial" w:hAnsi="Arial"/>
          <w:sz w:val="14"/>
          <w:szCs w:val="14"/>
          <w:b w:val="1"/>
          <w:bCs w:val="1"/>
          <w:color w:val="auto"/>
        </w:rPr>
        <w:t>Estimated Future Payouts Under Equity</w:t>
      </w:r>
    </w:p>
    <w:p>
      <w:pPr>
        <w:jc w:val="center"/>
        <w:ind w:right="3080"/>
        <w:spacing w:after="0" w:line="226" w:lineRule="auto"/>
        <w:rPr>
          <w:sz w:val="20"/>
          <w:szCs w:val="20"/>
          <w:color w:val="auto"/>
        </w:rPr>
      </w:pPr>
      <w:r>
        <w:rPr>
          <w:rFonts w:ascii="Arial" w:cs="Arial" w:eastAsia="Arial" w:hAnsi="Arial"/>
          <w:sz w:val="14"/>
          <w:szCs w:val="14"/>
          <w:b w:val="1"/>
          <w:bCs w:val="1"/>
          <w:color w:val="auto"/>
        </w:rPr>
        <w:t>Incentive Plan Awards</w:t>
      </w:r>
    </w:p>
    <w:p>
      <w:pPr>
        <w:spacing w:after="0" w:line="1" w:lineRule="exact"/>
        <w:rPr>
          <w:sz w:val="20"/>
          <w:szCs w:val="20"/>
          <w:color w:val="auto"/>
        </w:rPr>
      </w:pPr>
    </w:p>
    <w:p>
      <w:pPr>
        <w:jc w:val="center"/>
        <w:ind w:right="3080"/>
        <w:spacing w:after="0"/>
        <w:rPr>
          <w:sz w:val="20"/>
          <w:szCs w:val="20"/>
          <w:color w:val="auto"/>
        </w:rPr>
      </w:pPr>
      <w:r>
        <w:rPr>
          <w:rFonts w:ascii="Arial" w:cs="Arial" w:eastAsia="Arial" w:hAnsi="Arial"/>
          <w:sz w:val="14"/>
          <w:szCs w:val="14"/>
          <w:b w:val="1"/>
          <w:bCs w:val="1"/>
          <w:color w:val="auto"/>
        </w:rPr>
        <w:t>(1)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All Other Stock</w:t>
            </w:r>
          </w:p>
        </w:tc>
        <w:tc>
          <w:tcPr>
            <w:tcW w:w="162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7"/>
              </w:rPr>
              <w:t>All Other Option</w:t>
            </w: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Exercise or Base</w:t>
            </w:r>
          </w:p>
        </w:tc>
        <w:tc>
          <w:tcPr>
            <w:tcW w:w="140" w:type="dxa"/>
            <w:vAlign w:val="bottom"/>
          </w:tcPr>
          <w:p>
            <w:pPr>
              <w:spacing w:after="0"/>
              <w:rPr>
                <w:sz w:val="12"/>
                <w:szCs w:val="12"/>
                <w:color w:val="auto"/>
              </w:rPr>
            </w:pPr>
          </w:p>
        </w:tc>
        <w:tc>
          <w:tcPr>
            <w:tcW w:w="12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6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Threshold</w:t>
            </w:r>
          </w:p>
        </w:tc>
        <w:tc>
          <w:tcPr>
            <w:tcW w:w="15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Target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of Stock or</w:t>
            </w:r>
          </w:p>
        </w:tc>
        <w:tc>
          <w:tcPr>
            <w:tcW w:w="16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 of Option</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Value of Stock and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Units</w:t>
            </w:r>
          </w:p>
        </w:tc>
        <w:tc>
          <w:tcPr>
            <w:tcW w:w="16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12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Option Awards</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7"/>
              </w:rPr>
              <w:t>($/Sh)</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43"/>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A. Amster</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1/7/2013</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1,251,250</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1/7/2013</w:t>
            </w:r>
          </w:p>
        </w:tc>
        <w:tc>
          <w:tcPr>
            <w:tcW w:w="13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31,250 (4)</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 (4)</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Ned D. Segal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4/25/2013</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738,735</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4/25/2013</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3,978,000</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4/25/2013</w:t>
            </w:r>
          </w:p>
        </w:tc>
        <w:tc>
          <w:tcPr>
            <w:tcW w:w="1380" w:type="dxa"/>
            <w:vAlign w:val="bottom"/>
            <w:gridSpan w:val="2"/>
          </w:tcPr>
          <w:p>
            <w:pPr>
              <w:jc w:val="right"/>
              <w:ind w:right="33"/>
              <w:spacing w:after="0"/>
              <w:rPr>
                <w:sz w:val="20"/>
                <w:szCs w:val="20"/>
                <w:color w:val="auto"/>
              </w:rPr>
            </w:pPr>
            <w:r>
              <w:rPr>
                <w:rFonts w:ascii="Arial" w:cs="Arial" w:eastAsia="Arial" w:hAnsi="Arial"/>
                <w:sz w:val="18"/>
                <w:szCs w:val="18"/>
                <w:color w:val="auto"/>
              </w:rPr>
              <w:t>12,500 (4)</w:t>
            </w:r>
          </w:p>
        </w:tc>
        <w:tc>
          <w:tcPr>
            <w:tcW w:w="12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50,000 (4)</w:t>
            </w: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368,000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Adam C. Spiegel</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1/7/2013</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750,750</w:t>
            </w: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3/8/2013</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12,480 (5)</w:t>
            </w: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3/8/2013</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15,792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196,958 (5)</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3/8/2013</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87,500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746,821 (5)</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w w:val="94"/>
              </w:rPr>
              <w:t>Martin E. Roberts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1/7/2013</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750,750</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4/25/2013</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3"/>
                <w:szCs w:val="23"/>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663,000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E. Scola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1/7/2013</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650,650</w:t>
            </w:r>
          </w:p>
        </w:tc>
        <w:tc>
          <w:tcPr>
            <w:tcW w:w="0" w:type="dxa"/>
            <w:vAlign w:val="bottom"/>
          </w:tcPr>
          <w:p>
            <w:pPr>
              <w:spacing w:after="0"/>
              <w:rPr>
                <w:sz w:val="1"/>
                <w:szCs w:val="1"/>
                <w:color w:val="auto"/>
              </w:rPr>
            </w:pPr>
          </w:p>
        </w:tc>
      </w:tr>
      <w:tr>
        <w:trPr>
          <w:trHeight w:val="324"/>
        </w:trPr>
        <w:tc>
          <w:tcPr>
            <w:tcW w:w="13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w w:val="96"/>
              </w:rPr>
              <w:t>Steven S. Swank</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1/7/2013</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650,650</w:t>
            </w:r>
          </w:p>
        </w:tc>
        <w:tc>
          <w:tcPr>
            <w:tcW w:w="0" w:type="dxa"/>
            <w:vAlign w:val="bottom"/>
          </w:tcPr>
          <w:p>
            <w:pPr>
              <w:spacing w:after="0"/>
              <w:rPr>
                <w:sz w:val="1"/>
                <w:szCs w:val="1"/>
                <w:color w:val="auto"/>
              </w:rPr>
            </w:pPr>
          </w:p>
        </w:tc>
      </w:tr>
      <w:tr>
        <w:trPr>
          <w:trHeight w:val="486"/>
        </w:trPr>
        <w:tc>
          <w:tcPr>
            <w:tcW w:w="1380" w:type="dxa"/>
            <w:vAlign w:val="bottom"/>
          </w:tcPr>
          <w:p>
            <w:pPr>
              <w:spacing w:after="0"/>
              <w:rPr>
                <w:sz w:val="20"/>
                <w:szCs w:val="20"/>
                <w:color w:val="auto"/>
              </w:rPr>
            </w:pPr>
            <w:r>
              <w:rPr>
                <w:rFonts w:ascii="Arial" w:cs="Arial" w:eastAsia="Arial" w:hAnsi="Arial"/>
                <w:sz w:val="18"/>
                <w:szCs w:val="18"/>
                <w:color w:val="auto"/>
              </w:rPr>
              <w:t>_____________</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line="25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vesting schedule for each of these restricted stock unit awards is described in the table entitled “Outstanding Equity Awards at 2013 Fiscal Year-End” below.</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vesting schedule for each of these options is described in the table entitled “Outstanding Equity Awards at 2013 Fiscal Year-End” below.</w:t>
      </w:r>
    </w:p>
    <w:p>
      <w:pPr>
        <w:spacing w:after="0" w:line="20" w:lineRule="exact"/>
        <w:rPr>
          <w:rFonts w:ascii="Arial" w:cs="Arial" w:eastAsia="Arial" w:hAnsi="Arial"/>
          <w:sz w:val="17"/>
          <w:szCs w:val="17"/>
          <w:color w:val="auto"/>
        </w:rPr>
      </w:pPr>
    </w:p>
    <w:p>
      <w:pPr>
        <w:jc w:val="both"/>
        <w:ind w:left="500" w:hanging="492"/>
        <w:spacing w:after="0" w:line="273"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option awards and restricted stock unit awards granted to the officer in the applicable fiscal year computed in accordance with FASB ASC Topic 718. See Note 13 of the notes to our consolidated financial statements for the fiscal year ended December 31, 2013 in our annual report on Form 10-K for fiscal year 2013 filed on March 10, 2014, for a discussion of the assumptions made by our company in determining the grant date fair value of its equity awards. In accordance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11" w:right="239" w:bottom="1440" w:gutter="0" w:footer="0" w:header="0"/>
        </w:sectPr>
      </w:pPr>
    </w:p>
    <w:bookmarkStart w:id="41" w:name="page42"/>
    <w:bookmarkEnd w:id="41"/>
    <w:p>
      <w:pPr>
        <w:ind w:left="500" w:right="20"/>
        <w:spacing w:after="0" w:line="282" w:lineRule="auto"/>
        <w:rPr>
          <w:sz w:val="20"/>
          <w:szCs w:val="20"/>
          <w:color w:val="auto"/>
        </w:rPr>
      </w:pPr>
      <w:r>
        <w:rPr>
          <w:rFonts w:ascii="Arial" w:cs="Arial" w:eastAsia="Arial" w:hAnsi="Arial"/>
          <w:sz w:val="18"/>
          <w:szCs w:val="18"/>
          <w:color w:val="auto"/>
        </w:rPr>
        <w:t>with SEC rules, the grant date fair value of an award that is subject to a performance condition is based on the probable outcome of the performance condition.</w:t>
      </w:r>
    </w:p>
    <w:p>
      <w:pPr>
        <w:spacing w:after="0" w:line="1" w:lineRule="exact"/>
        <w:rPr>
          <w:sz w:val="20"/>
          <w:szCs w:val="20"/>
          <w:color w:val="auto"/>
        </w:rPr>
      </w:pPr>
    </w:p>
    <w:p>
      <w:pPr>
        <w:jc w:val="both"/>
        <w:ind w:left="500" w:hanging="492"/>
        <w:spacing w:after="0" w:line="255"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in the “threshold” column reflects the minimum number of units that could vest if a single price appreciation target is achieved. The number in the “target” column reflects the maximum number of units subject to the award that are eligible to vest if all four price appreciation targets are achieved.</w:t>
      </w:r>
    </w:p>
    <w:p>
      <w:pPr>
        <w:spacing w:after="0" w:line="1"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incremental fair value associated with the vesting of the number of options and restricted stock units reflected in the table above pursuant to Mr. Spiegel’s separation agreement.</w:t>
      </w:r>
    </w:p>
    <w:p>
      <w:pPr>
        <w:spacing w:after="0" w:line="180" w:lineRule="exact"/>
        <w:rPr>
          <w:sz w:val="20"/>
          <w:szCs w:val="20"/>
          <w:color w:val="auto"/>
        </w:rPr>
      </w:pPr>
    </w:p>
    <w:p>
      <w:pPr>
        <w:ind w:right="3780"/>
        <w:spacing w:after="0" w:line="331" w:lineRule="auto"/>
        <w:rPr>
          <w:sz w:val="20"/>
          <w:szCs w:val="20"/>
          <w:color w:val="auto"/>
        </w:rPr>
      </w:pPr>
      <w:r>
        <w:rPr>
          <w:rFonts w:ascii="Arial" w:cs="Arial" w:eastAsia="Arial" w:hAnsi="Arial"/>
          <w:sz w:val="18"/>
          <w:szCs w:val="18"/>
          <w:b w:val="1"/>
          <w:bCs w:val="1"/>
          <w:color w:val="auto"/>
        </w:rPr>
        <w:t xml:space="preserve">Narrative Disclosure to the Summary Compensation Table and Grants of Plan-Based Awards Table </w:t>
      </w:r>
      <w:r>
        <w:rPr>
          <w:rFonts w:ascii="Arial" w:cs="Arial" w:eastAsia="Arial" w:hAnsi="Arial"/>
          <w:sz w:val="18"/>
          <w:szCs w:val="18"/>
          <w:b w:val="1"/>
          <w:bCs w:val="1"/>
          <w:i w:val="1"/>
          <w:iCs w:val="1"/>
          <w:color w:val="auto"/>
        </w:rPr>
        <w:t>Offer Letters</w:t>
      </w:r>
    </w:p>
    <w:p>
      <w:pPr>
        <w:jc w:val="both"/>
        <w:ind w:firstLine="648"/>
        <w:spacing w:after="0" w:line="277" w:lineRule="auto"/>
        <w:rPr>
          <w:sz w:val="20"/>
          <w:szCs w:val="20"/>
          <w:color w:val="auto"/>
        </w:rPr>
      </w:pPr>
      <w:r>
        <w:rPr>
          <w:rFonts w:ascii="Arial" w:cs="Arial" w:eastAsia="Arial" w:hAnsi="Arial"/>
          <w:sz w:val="18"/>
          <w:szCs w:val="18"/>
          <w:color w:val="auto"/>
        </w:rPr>
        <w:t>We have entered into offer letters with each of our named executive officers. The offer letters set forth each named executive officer’s initial base salary and other general terms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John A. Amster</w:t>
      </w:r>
    </w:p>
    <w:p>
      <w:pPr>
        <w:spacing w:after="0" w:line="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entered into an offer letter with Mr. Amster in August 2008, setting forth the initial terms of his employment with our company. Pursuant to his offer letter, Mr. Amster was entitled to receive a base salary of $300,000 per year. In January 2011, our board of directors adjusted Mr. Amster’s salary to $500,000 per year. Pursuant to his offer letter, Mr. Amster was also eligible for an incentive bonus with a target amount of $200,000 per year, payable in quarterly installments. Beginning in 2011, Mr. Amster is no longer eligible for this bonus opportunity and instead participates in the Company’s bonus plan for all employees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Ned D. Segal</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offer letter with Mr. Segal in February 2013, setting forth the initial terms of his employment with our company, including an initial base salary of $450,000 per year, a guaranteed 2013 bonus of $292,500, a $500,000 signing bonus, and the initial equity awards reflected in the “2013 Grants of Plan-Based Awards” table above. Pursuant to his offer letter, $200,000 of Mr. Segal’s signing bonus was paid after 90 days of employment, and the remaining $300,000 was paid in January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Martin E. Roberts</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offer letter with Mr. Roberts in September 2010 setting forth the initial terms of his employment, including an initial base salary of $245,000 per year. Mr. Roberts received an increase of his salary to $260,000 per year in January 2012, and in connection with his promotion to Senior Vice President, his salary was increased to $300,000 per year effective January 2013. Mr. Roberts’s salary was further increased to $360,000 per year in April 2013 in light of his increased operational responsibilities at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Paul E. Scola</w:t>
      </w:r>
    </w:p>
    <w:p>
      <w:pPr>
        <w:spacing w:after="0" w:line="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entered into an offer letter with Mr. Scola in October 2010 setting forth the initial terms of his employment, including an initial base salary of $225,000 per year. Mr. Scola received an increase of his salary to $240,000 per year in January 2011, and in connection with his promotion to Senior Vice President, his salary was increased to $285,000 per year effective January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Steven S. Swank</w:t>
      </w:r>
    </w:p>
    <w:p>
      <w:pPr>
        <w:spacing w:after="0" w:line="7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entered into an offer letter with Mr. Swank in July 2010 setting forth the initial terms of his employment, including an initial base salary of $250,000 per year. In connection with Mr. Swank’s promotion to Senior Vice President, his salary was increased to $285,000 per year effective January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Adam C. Spiegel</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termination of Mr. Spiegel’s employment, we entered into a separation agreement and general release of claims with Mr. Spiegel. Pursuant to the separation agreement, Mr. Spiegel received a $157,500 cash severance payment, payment of up to six months of Mr. Spiegel’s premiums to extend his health, dental and vision coverage under COBRA, accelerated vesting of 103,292 unvested options and 781 unvested restricted stock units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11"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an extension of the period of time in which Mr. Spiegel had to exercise his vested options from three to twelve months. Receipt of these benefits was contingent upon Mr. Spiegel’s release of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regarding each unexercised option and all unvested restricted stock and restricted stock units held by each of our named executive officers as of December 31, 2013.</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the equity awards held by our named executive officers, see “2013 Potential Payments Upon Termination or Change in Control” below.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September 2010, our stock options were generally exercisable in full on the grant date but any shares purchased under the option were subject to repurchase by us at the exercise price until vested. Options granted after September 2010 are exercisable in accordance with the applicable option’s vesting schedule for vested (unrestricted) shares.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gridSpan w:val="4"/>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Equity Incentive</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Market Value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Shares, Units or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or Units of Stock</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 Expiration</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49"/>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38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 Vested</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Unvested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9"/>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John A.</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179,230</w:t>
            </w:r>
          </w:p>
        </w:tc>
        <w:tc>
          <w:tcPr>
            <w:tcW w:w="15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358,462 (2)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1/19/2021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Amster</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101,563 (3)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1,716,415</w:t>
            </w: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125,000 (4)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2,112,500</w:t>
            </w:r>
          </w:p>
        </w:tc>
        <w:tc>
          <w:tcPr>
            <w:tcW w:w="0" w:type="dxa"/>
            <w:vAlign w:val="bottom"/>
          </w:tcPr>
          <w:p>
            <w:pPr>
              <w:spacing w:after="0"/>
              <w:rPr>
                <w:sz w:val="1"/>
                <w:szCs w:val="1"/>
                <w:color w:val="auto"/>
              </w:rPr>
            </w:pPr>
          </w:p>
        </w:tc>
      </w:tr>
      <w:tr>
        <w:trPr>
          <w:trHeight w:val="220"/>
        </w:trPr>
        <w:tc>
          <w:tcPr>
            <w:tcW w:w="920" w:type="dxa"/>
            <w:vAlign w:val="bottom"/>
          </w:tcPr>
          <w:p>
            <w:pPr>
              <w:ind w:left="40"/>
              <w:spacing w:after="0"/>
              <w:rPr>
                <w:sz w:val="20"/>
                <w:szCs w:val="20"/>
                <w:color w:val="auto"/>
              </w:rPr>
            </w:pPr>
            <w:r>
              <w:rPr>
                <w:rFonts w:ascii="Arial" w:cs="Arial" w:eastAsia="Arial" w:hAnsi="Arial"/>
                <w:sz w:val="16"/>
                <w:szCs w:val="16"/>
                <w:color w:val="auto"/>
              </w:rPr>
              <w:t>Ned D.</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42"/>
              <w:spacing w:after="0"/>
              <w:rPr>
                <w:sz w:val="20"/>
                <w:szCs w:val="20"/>
                <w:color w:val="auto"/>
              </w:rPr>
            </w:pPr>
            <w:r>
              <w:rPr>
                <w:rFonts w:ascii="Arial" w:cs="Arial" w:eastAsia="Arial" w:hAnsi="Arial"/>
                <w:sz w:val="16"/>
                <w:szCs w:val="16"/>
                <w:color w:val="auto"/>
              </w:rPr>
              <w:t>100,000 (5)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4/24/2023</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20" w:type="dxa"/>
            <w:vAlign w:val="bottom"/>
          </w:tcPr>
          <w:p>
            <w:pPr>
              <w:ind w:left="40"/>
              <w:spacing w:after="0"/>
              <w:rPr>
                <w:sz w:val="20"/>
                <w:szCs w:val="20"/>
                <w:color w:val="auto"/>
              </w:rPr>
            </w:pPr>
            <w:r>
              <w:rPr>
                <w:rFonts w:ascii="Arial" w:cs="Arial" w:eastAsia="Arial" w:hAnsi="Arial"/>
                <w:sz w:val="16"/>
                <w:szCs w:val="16"/>
                <w:color w:val="auto"/>
              </w:rPr>
              <w:t>Segal</w:t>
            </w:r>
          </w:p>
        </w:tc>
        <w:tc>
          <w:tcPr>
            <w:tcW w:w="120" w:type="dxa"/>
            <w:vAlign w:val="bottom"/>
          </w:tcPr>
          <w:p>
            <w:pPr>
              <w:spacing w:after="0"/>
              <w:rPr>
                <w:sz w:val="17"/>
                <w:szCs w:val="17"/>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21"/>
              <w:spacing w:after="0"/>
              <w:rPr>
                <w:sz w:val="20"/>
                <w:szCs w:val="20"/>
                <w:color w:val="auto"/>
              </w:rPr>
            </w:pPr>
            <w:r>
              <w:rPr>
                <w:rFonts w:ascii="Arial" w:cs="Arial" w:eastAsia="Arial" w:hAnsi="Arial"/>
                <w:sz w:val="16"/>
                <w:szCs w:val="16"/>
                <w:color w:val="auto"/>
              </w:rPr>
              <w:t>300,000 (6)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6"/>
                <w:szCs w:val="16"/>
                <w:color w:val="auto"/>
              </w:rPr>
              <w:t>5,070,000</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50,000 (7)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845,000</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Adam C.</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2,374 (8)</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5/1/2014 (8)</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Spiegel</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20" w:type="dxa"/>
            <w:vAlign w:val="bottom"/>
          </w:tcPr>
          <w:p>
            <w:pPr>
              <w:ind w:left="40"/>
              <w:spacing w:after="0"/>
              <w:rPr>
                <w:sz w:val="20"/>
                <w:szCs w:val="20"/>
                <w:color w:val="auto"/>
              </w:rPr>
            </w:pPr>
            <w:r>
              <w:rPr>
                <w:rFonts w:ascii="Arial" w:cs="Arial" w:eastAsia="Arial" w:hAnsi="Arial"/>
                <w:sz w:val="16"/>
                <w:szCs w:val="16"/>
                <w:color w:val="auto"/>
              </w:rPr>
              <w:t>Martin E.</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1,763</w:t>
            </w:r>
          </w:p>
        </w:tc>
        <w:tc>
          <w:tcPr>
            <w:tcW w:w="1500" w:type="dxa"/>
            <w:vAlign w:val="bottom"/>
            <w:gridSpan w:val="2"/>
          </w:tcPr>
          <w:p>
            <w:pPr>
              <w:jc w:val="right"/>
              <w:ind w:right="42"/>
              <w:spacing w:after="0"/>
              <w:rPr>
                <w:sz w:val="20"/>
                <w:szCs w:val="20"/>
                <w:color w:val="auto"/>
              </w:rPr>
            </w:pPr>
            <w:r>
              <w:rPr>
                <w:rFonts w:ascii="Arial" w:cs="Arial" w:eastAsia="Arial" w:hAnsi="Arial"/>
                <w:sz w:val="16"/>
                <w:szCs w:val="16"/>
                <w:color w:val="auto"/>
              </w:rPr>
              <w:t>54,811 (9)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10/20/2020</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20" w:type="dxa"/>
            <w:vAlign w:val="bottom"/>
          </w:tcPr>
          <w:p>
            <w:pPr>
              <w:ind w:left="40"/>
              <w:spacing w:after="0"/>
              <w:rPr>
                <w:sz w:val="20"/>
                <w:szCs w:val="20"/>
                <w:color w:val="auto"/>
              </w:rPr>
            </w:pPr>
            <w:r>
              <w:rPr>
                <w:rFonts w:ascii="Arial" w:cs="Arial" w:eastAsia="Arial" w:hAnsi="Arial"/>
                <w:sz w:val="16"/>
                <w:szCs w:val="16"/>
                <w:color w:val="auto"/>
              </w:rPr>
              <w:t>Roberts</w:t>
            </w:r>
          </w:p>
        </w:tc>
        <w:tc>
          <w:tcPr>
            <w:tcW w:w="150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11,979</w:t>
            </w:r>
          </w:p>
        </w:tc>
        <w:tc>
          <w:tcPr>
            <w:tcW w:w="1500" w:type="dxa"/>
            <w:vAlign w:val="bottom"/>
            <w:gridSpan w:val="2"/>
            <w:vMerge w:val="restart"/>
          </w:tcPr>
          <w:p>
            <w:pPr>
              <w:jc w:val="right"/>
              <w:ind w:right="42"/>
              <w:spacing w:after="0"/>
              <w:rPr>
                <w:sz w:val="20"/>
                <w:szCs w:val="20"/>
                <w:color w:val="auto"/>
              </w:rPr>
            </w:pPr>
            <w:r>
              <w:rPr>
                <w:rFonts w:ascii="Arial" w:cs="Arial" w:eastAsia="Arial" w:hAnsi="Arial"/>
                <w:sz w:val="16"/>
                <w:szCs w:val="16"/>
                <w:color w:val="auto"/>
              </w:rPr>
              <w:t>13,021 (10)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17"/>
                <w:szCs w:val="17"/>
                <w:color w:val="auto"/>
              </w:rPr>
            </w:pPr>
          </w:p>
        </w:tc>
        <w:tc>
          <w:tcPr>
            <w:tcW w:w="1260" w:type="dxa"/>
            <w:vAlign w:val="bottom"/>
            <w:vMerge w:val="restart"/>
          </w:tcPr>
          <w:p>
            <w:pPr>
              <w:jc w:val="right"/>
              <w:ind w:right="40"/>
              <w:spacing w:after="0"/>
              <w:rPr>
                <w:sz w:val="20"/>
                <w:szCs w:val="20"/>
                <w:color w:val="auto"/>
              </w:rPr>
            </w:pPr>
            <w:r>
              <w:rPr>
                <w:rFonts w:ascii="Arial" w:cs="Arial" w:eastAsia="Arial" w:hAnsi="Arial"/>
                <w:sz w:val="16"/>
                <w:szCs w:val="16"/>
                <w:color w:val="auto"/>
              </w:rPr>
              <w:t>1/23/2022</w:t>
            </w:r>
          </w:p>
        </w:tc>
        <w:tc>
          <w:tcPr>
            <w:tcW w:w="120" w:type="dxa"/>
            <w:vAlign w:val="bottom"/>
          </w:tcPr>
          <w:p>
            <w:pPr>
              <w:spacing w:after="0"/>
              <w:rPr>
                <w:sz w:val="17"/>
                <w:szCs w:val="17"/>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7,032 (11)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118,841</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60,938 (3)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1,029,852</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12,500 (12)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211,250</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Paul E.</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121,087</w:t>
            </w:r>
          </w:p>
        </w:tc>
        <w:tc>
          <w:tcPr>
            <w:tcW w:w="15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45,024 (13)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10/20/2020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Scola</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4,791</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5,209 (10)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1/23/2022</w:t>
            </w:r>
          </w:p>
        </w:tc>
        <w:tc>
          <w:tcPr>
            <w:tcW w:w="12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12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5,625 (11)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95,063</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52,813 (3)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892,540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20" w:type="dxa"/>
            <w:vAlign w:val="bottom"/>
          </w:tcPr>
          <w:p>
            <w:pPr>
              <w:ind w:left="40"/>
              <w:spacing w:after="0"/>
              <w:rPr>
                <w:sz w:val="20"/>
                <w:szCs w:val="20"/>
                <w:color w:val="auto"/>
              </w:rPr>
            </w:pPr>
            <w:r>
              <w:rPr>
                <w:rFonts w:ascii="Arial" w:cs="Arial" w:eastAsia="Arial" w:hAnsi="Arial"/>
                <w:sz w:val="16"/>
                <w:szCs w:val="16"/>
                <w:color w:val="auto"/>
              </w:rPr>
              <w:t>Steven S.</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42"/>
              <w:spacing w:after="0"/>
              <w:rPr>
                <w:sz w:val="20"/>
                <w:szCs w:val="20"/>
                <w:color w:val="auto"/>
              </w:rPr>
            </w:pPr>
            <w:r>
              <w:rPr>
                <w:rFonts w:ascii="Arial" w:cs="Arial" w:eastAsia="Arial" w:hAnsi="Arial"/>
                <w:sz w:val="16"/>
                <w:szCs w:val="16"/>
                <w:color w:val="auto"/>
              </w:rPr>
              <w:t>31,517 (14)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9/14/2020</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20" w:type="dxa"/>
            <w:vAlign w:val="bottom"/>
          </w:tcPr>
          <w:p>
            <w:pPr>
              <w:ind w:left="40"/>
              <w:spacing w:after="0"/>
              <w:rPr>
                <w:sz w:val="20"/>
                <w:szCs w:val="20"/>
                <w:color w:val="auto"/>
              </w:rPr>
            </w:pPr>
            <w:r>
              <w:rPr>
                <w:rFonts w:ascii="Arial" w:cs="Arial" w:eastAsia="Arial" w:hAnsi="Arial"/>
                <w:sz w:val="16"/>
                <w:szCs w:val="16"/>
                <w:color w:val="auto"/>
              </w:rPr>
              <w:t>Swank</w:t>
            </w:r>
          </w:p>
        </w:tc>
        <w:tc>
          <w:tcPr>
            <w:tcW w:w="120" w:type="dxa"/>
            <w:vAlign w:val="bottom"/>
          </w:tcPr>
          <w:p>
            <w:pPr>
              <w:spacing w:after="0"/>
              <w:rPr>
                <w:sz w:val="17"/>
                <w:szCs w:val="17"/>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vMerge w:val="restart"/>
          </w:tcPr>
          <w:p>
            <w:pPr>
              <w:jc w:val="right"/>
              <w:ind w:right="42"/>
              <w:spacing w:after="0"/>
              <w:rPr>
                <w:sz w:val="20"/>
                <w:szCs w:val="20"/>
                <w:color w:val="auto"/>
              </w:rPr>
            </w:pPr>
            <w:r>
              <w:rPr>
                <w:rFonts w:ascii="Arial" w:cs="Arial" w:eastAsia="Arial" w:hAnsi="Arial"/>
                <w:sz w:val="16"/>
                <w:szCs w:val="16"/>
                <w:color w:val="auto"/>
              </w:rPr>
              <w:t>2,084 (15)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7"/>
                <w:szCs w:val="17"/>
                <w:color w:val="auto"/>
              </w:rPr>
            </w:pPr>
          </w:p>
        </w:tc>
        <w:tc>
          <w:tcPr>
            <w:tcW w:w="1260" w:type="dxa"/>
            <w:vAlign w:val="bottom"/>
            <w:vMerge w:val="restart"/>
          </w:tcPr>
          <w:p>
            <w:pPr>
              <w:jc w:val="right"/>
              <w:ind w:right="40"/>
              <w:spacing w:after="0"/>
              <w:rPr>
                <w:sz w:val="20"/>
                <w:szCs w:val="20"/>
                <w:color w:val="auto"/>
              </w:rPr>
            </w:pPr>
            <w:r>
              <w:rPr>
                <w:rFonts w:ascii="Arial" w:cs="Arial" w:eastAsia="Arial" w:hAnsi="Arial"/>
                <w:sz w:val="16"/>
                <w:szCs w:val="16"/>
                <w:color w:val="auto"/>
              </w:rPr>
              <w:t>10/20/2020</w:t>
            </w:r>
          </w:p>
        </w:tc>
        <w:tc>
          <w:tcPr>
            <w:tcW w:w="120" w:type="dxa"/>
            <w:vAlign w:val="bottom"/>
          </w:tcPr>
          <w:p>
            <w:pPr>
              <w:spacing w:after="0"/>
              <w:rPr>
                <w:sz w:val="17"/>
                <w:szCs w:val="17"/>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9,583</w:t>
            </w:r>
          </w:p>
        </w:tc>
        <w:tc>
          <w:tcPr>
            <w:tcW w:w="1500" w:type="dxa"/>
            <w:vAlign w:val="bottom"/>
            <w:gridSpan w:val="2"/>
          </w:tcPr>
          <w:p>
            <w:pPr>
              <w:jc w:val="right"/>
              <w:ind w:right="42"/>
              <w:spacing w:after="0"/>
              <w:rPr>
                <w:sz w:val="20"/>
                <w:szCs w:val="20"/>
                <w:color w:val="auto"/>
              </w:rPr>
            </w:pPr>
            <w:r>
              <w:rPr>
                <w:rFonts w:ascii="Arial" w:cs="Arial" w:eastAsia="Arial" w:hAnsi="Arial"/>
                <w:sz w:val="16"/>
                <w:szCs w:val="16"/>
                <w:color w:val="auto"/>
              </w:rPr>
              <w:t>10,417 (10)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1/23/2022</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7,032 (11)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118,841</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52,813 (3)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892,540</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30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00" w:hanging="492"/>
        <w:spacing w:after="0" w:line="250"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accordance with SEC rules, market value is based on the closing price of our common stock on December 31, 2013, the last trading day of the year, of $16.90.</w:t>
      </w:r>
    </w:p>
    <w:p>
      <w:pPr>
        <w:jc w:val="both"/>
        <w:ind w:left="500" w:hanging="492"/>
        <w:spacing w:after="0" w:line="221"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unvested portion of an option granted on January 20, 2011 for 537,692 shares. None of the shares subject to the option were eligible to vest unless the option holder remained in service through September 10, 2012, at which point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shares subject to the option vest upon the completion of each month of service thereafter.</w:t>
      </w:r>
    </w:p>
    <w:p>
      <w:pPr>
        <w:spacing w:after="0" w:line="2" w:lineRule="exact"/>
        <w:rPr>
          <w:rFonts w:ascii="Arial" w:cs="Arial" w:eastAsia="Arial" w:hAnsi="Arial"/>
          <w:sz w:val="18"/>
          <w:szCs w:val="18"/>
          <w:color w:val="auto"/>
        </w:rPr>
      </w:pPr>
    </w:p>
    <w:p>
      <w:pPr>
        <w:jc w:val="both"/>
        <w:ind w:left="500" w:hanging="492"/>
        <w:spacing w:after="0" w:line="281"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unvested portion of a restricted stock unit award granted on January 7, 2013 for 125,000 restricted stock units in the case of Mr. Amster, for 75,000 restricted stock units in the case of Mr. Roberts, and 65,000 restricted stock units in the case of Messrs. Scola and Swank. 6.25% of the shares subject to the award vested on May 20, 2013 and 6.25% of the shares subject to the award vest quarterly thereafter as long as continuous service is provided through each vesting date. Each restricted stock unit represents a contingent right to receive one share of our common stock.</w:t>
      </w:r>
    </w:p>
    <w:p>
      <w:pPr>
        <w:spacing w:after="0" w:line="2" w:lineRule="exact"/>
        <w:rPr>
          <w:rFonts w:ascii="Arial" w:cs="Arial" w:eastAsia="Arial" w:hAnsi="Arial"/>
          <w:sz w:val="16"/>
          <w:szCs w:val="16"/>
          <w:color w:val="auto"/>
        </w:rPr>
      </w:pPr>
    </w:p>
    <w:p>
      <w:pPr>
        <w:jc w:val="both"/>
        <w:ind w:left="500" w:hanging="492"/>
        <w:spacing w:after="0" w:line="255"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unvested portion of a performance-based restricted stock unit award granted on January 7, 2013 for 125,000 restricted stock units. The units vest over approximately 4 years from the grant date, with 25% of the total number of units eligible to vest following each one-year anniversary, provided that as of each anniversary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38" w:right="239" w:bottom="1440" w:gutter="0" w:footer="0" w:header="0"/>
        </w:sectPr>
      </w:pPr>
    </w:p>
    <w:bookmarkStart w:id="44" w:name="page45"/>
    <w:bookmarkEnd w:id="44"/>
    <w:p>
      <w:pPr>
        <w:jc w:val="both"/>
        <w:ind w:left="500"/>
        <w:spacing w:after="0" w:line="331" w:lineRule="auto"/>
        <w:rPr>
          <w:sz w:val="20"/>
          <w:szCs w:val="20"/>
          <w:color w:val="auto"/>
        </w:rPr>
      </w:pPr>
      <w:r>
        <w:rPr>
          <w:rFonts w:ascii="Arial" w:cs="Arial" w:eastAsia="Arial" w:hAnsi="Arial"/>
          <w:sz w:val="16"/>
          <w:szCs w:val="16"/>
          <w:color w:val="auto"/>
        </w:rPr>
        <w:t>the average closing price per share of the Company’s common stock (“ACP”) for any period of 90 consecutive calendar days during the year preceding such anniversary is: (i) on the first anniversary, equal to or greater than $11.81; (ii) on the second anniversary, equal to or greater than the higher of (a) $14.17 or (b) the ACP for the period of 90 calendar days ending on the first anniversary of the grant date times 1.25; (iii) on the third anniversary, equal to or greater than the higher of (a) $16.54 or (b) the ACP for the period of 90 calendar days ending on the second anniversary of the grant date times 1.25; and (iv) on the fourth anniversary, equal to or greater than the higher of (a) $18.90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 Each restricted stock unit represents a contingent right to receive one share of our common stock.</w:t>
      </w:r>
    </w:p>
    <w:p>
      <w:pPr>
        <w:spacing w:after="0" w:line="2" w:lineRule="exact"/>
        <w:rPr>
          <w:sz w:val="20"/>
          <w:szCs w:val="20"/>
          <w:color w:val="auto"/>
        </w:rPr>
      </w:pPr>
    </w:p>
    <w:p>
      <w:pPr>
        <w:jc w:val="both"/>
        <w:ind w:left="500" w:hanging="492"/>
        <w:spacing w:after="0" w:line="255"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unvested portion of an option granted on April 25, 2013 for 100,000 shares. 25% of the shares subject to the option vest upon the completion of one year of continuous service beginning from April 24, 2013, and an additional 1/48th of the shares subject to the option vest upon the completion of each month of continuous service thereafter.</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unvested portion of a restricted stock unit award granted on April 25, 2013 for 300,000 restricted stock units. 25% of the shares subject to the award vest on May 20, 2014 and 6.25% of the shares subject to the award vest quarterly thereafter as long as continuous service is provided through each vesting date. Each restricted stock unit represents a contingent right to receive one share of our common stock.</w:t>
      </w:r>
    </w:p>
    <w:p>
      <w:pPr>
        <w:jc w:val="both"/>
        <w:ind w:left="500" w:hanging="492"/>
        <w:spacing w:after="0" w:line="281"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unvested portion of a performance-based restricted stock unit award granted on April 25, 2013 for 50,000 restricted stock units. The units vest over approximately four years from the grant date, with 25% of the total number of units eligible to vest following each one-year anniversary, provided that as of each anniversary the average closing price per share of the Company’s common stock (“ACP”) for any period of 90 consecutive calendar days during the year preceding such anniversary is: (i) on the first anniversary, equal to or greater than $15.90; (ii) on the second anniversary, equal to or greater than the higher of (a) $19.08 or (b) the ACP for the period of 90 calendar days ending on the first anniversary of the grant date times 1.25; (iii) on the third anniversary, equal to or greater than the higher of (a) $22.26 or (b) the ACP for the period of 90 calendar days ending on the second anniversary of the grant date times 1.25; and (iv) on the fourth anniversary, equal to or greater than the higher of (a) $25.44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 Each restricted stock unit represents a contingent right to receive one share of our common stock.</w:t>
      </w:r>
    </w:p>
    <w:p>
      <w:pPr>
        <w:spacing w:after="0" w:line="8" w:lineRule="exact"/>
        <w:rPr>
          <w:rFonts w:ascii="Arial" w:cs="Arial" w:eastAsia="Arial" w:hAnsi="Arial"/>
          <w:sz w:val="16"/>
          <w:szCs w:val="16"/>
          <w:color w:val="auto"/>
        </w:rPr>
      </w:pPr>
    </w:p>
    <w:p>
      <w:pPr>
        <w:jc w:val="both"/>
        <w:ind w:left="5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unexercised portion of an option granted on October 21, 2010 for 100,000 shares. None of the shares subject to the option were eligible to vest unless the option holder remained in service through October 21, 2012, at which point 1/48th of the shares subject to the option vest upon the completion of each month of service thereafter. Upon Mr. Spiegel’s termination of employment on May 1, 2013, 87,500 unvested shares from this option were accelerated to vest and any vested shares from the option are to remain exercisable until May 1, 2014. If unexercised, the vested shares are forfeited on May 1, 2014.</w:t>
      </w:r>
    </w:p>
    <w:p>
      <w:pPr>
        <w:spacing w:after="0" w:line="2"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unvested portion of an option granted on October 21, 2010 for 263,092 shares. 25% of the shares subject to the option vested on October 11, 2011, and an additional 1/48th of the shares vest upon completion of each month of continuous service thereafter.</w:t>
      </w:r>
    </w:p>
    <w:p>
      <w:pPr>
        <w:jc w:val="both"/>
        <w:ind w:left="5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unvested portion of an option granted on January 24, 2012 for 25,000 shares in the case of Mr. Roberts, for 10,000 shares in the case of Mr. Scola, and for 20,000 shares in the case of Mr. Swank. 1/48th of the shares subject to the option vest upon the completion of each month of continuous service beginning on January 24, 2012.</w:t>
      </w:r>
    </w:p>
    <w:p>
      <w:pPr>
        <w:spacing w:after="0" w:line="1"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24, 2012 for 12,500 restricted stock units in the case of Messrs. Roberts and Swank, and for 10,000 restricted stock units in the case of Mr. Scola. 6.25% of the shares subject to the award vested on May 20, 2012 and 6.25% of the shares subject to the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5" w:name="page46"/>
    <w:bookmarkEnd w:id="45"/>
    <w:p>
      <w:pPr>
        <w:ind w:left="500"/>
        <w:spacing w:after="0" w:line="282" w:lineRule="auto"/>
        <w:rPr>
          <w:sz w:val="20"/>
          <w:szCs w:val="20"/>
          <w:color w:val="auto"/>
        </w:rPr>
      </w:pPr>
      <w:r>
        <w:rPr>
          <w:rFonts w:ascii="Arial" w:cs="Arial" w:eastAsia="Arial" w:hAnsi="Arial"/>
          <w:sz w:val="18"/>
          <w:szCs w:val="18"/>
          <w:color w:val="auto"/>
        </w:rPr>
        <w:t>award vest quarterly thereafter as long as continuous service is provided through each vesting date. Each restricted stock unit represents a contingent right to receive one share of our common stock.</w:t>
      </w:r>
    </w:p>
    <w:p>
      <w:pPr>
        <w:spacing w:after="0" w:line="1" w:lineRule="exact"/>
        <w:rPr>
          <w:sz w:val="20"/>
          <w:szCs w:val="20"/>
          <w:color w:val="auto"/>
        </w:rPr>
      </w:pPr>
    </w:p>
    <w:p>
      <w:pPr>
        <w:jc w:val="both"/>
        <w:ind w:left="500" w:hanging="492"/>
        <w:spacing w:after="0" w:line="255"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April 25, 2013 for 50,000 restricted stock units. 25% of the award vested on May 20, 2013 and 25% of the shares subject to the award vest quarterly thereafter as long as continuous service is provided through each vesting date. Each restricted stock unit represents a contingent right to receive one share of our common stock.</w:t>
      </w:r>
    </w:p>
    <w:p>
      <w:pPr>
        <w:spacing w:after="0" w:line="1" w:lineRule="exact"/>
        <w:rPr>
          <w:rFonts w:ascii="Arial" w:cs="Arial" w:eastAsia="Arial" w:hAnsi="Arial"/>
          <w:sz w:val="18"/>
          <w:szCs w:val="18"/>
          <w:color w:val="auto"/>
        </w:rPr>
      </w:pPr>
    </w:p>
    <w:p>
      <w:pPr>
        <w:ind w:left="500" w:right="620" w:hanging="492"/>
        <w:spacing w:after="0" w:line="265"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unvested portion of an option granted on October 21, 2010 for 216,111 shares. 25% of the shares subject to the option vested on October 11, 2011, and an additional 1/48th of the shares vest upon completion of each month of continuous service thereafter.</w:t>
      </w:r>
    </w:p>
    <w:p>
      <w:pPr>
        <w:ind w:left="500" w:hanging="492"/>
        <w:spacing w:after="0" w:line="265"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unvested portion of an option granted on September 15, 2010 for 216,111 shares. 25% of the shares subject to the option vested on July 5, 2011, and an additional 1/48th of the shares vest upon completion of each month of continuous service thereafter.</w:t>
      </w:r>
    </w:p>
    <w:p>
      <w:pPr>
        <w:jc w:val="both"/>
        <w:ind w:left="500" w:hanging="492"/>
        <w:spacing w:after="0" w:line="255"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an option granted on September 21, 2010 for 10,000 shares. 1,666 shares subject to the option vested on July 5, 2011; 1/48th of the shares subject to the option vested on July 21, 2011; and an additional 1/48th of the shares subject to the option vest upon completion of each month of continuous service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Option Exercises and Stock Vested</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number of shares acquired upon exercise of options by each named executive officer in 2013 and the number of shares of restricted stock and restricted stock units held by each named executive officer that vested during the 2013 fiscal year. In the case of Mr. Spiegel, the amounts in the “Stock Awards” columns include vesting of shares acquired upon exercise of an unvested option.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3"/>
          </w:tcPr>
          <w:p>
            <w:pPr>
              <w:jc w:val="center"/>
              <w:ind w:left="1437"/>
              <w:spacing w:after="0"/>
              <w:rPr>
                <w:sz w:val="20"/>
                <w:szCs w:val="20"/>
                <w:color w:val="auto"/>
              </w:rPr>
            </w:pPr>
            <w:r>
              <w:rPr>
                <w:rFonts w:ascii="Arial" w:cs="Arial" w:eastAsia="Arial" w:hAnsi="Arial"/>
                <w:sz w:val="14"/>
                <w:szCs w:val="14"/>
                <w:b w:val="1"/>
                <w:bCs w:val="1"/>
                <w:color w:val="auto"/>
                <w:w w:val="90"/>
              </w:rPr>
              <w:t>Stock Awards</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Value Realized</w:t>
            </w:r>
          </w:p>
        </w:tc>
        <w:tc>
          <w:tcPr>
            <w:tcW w:w="1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520" w:type="dxa"/>
            <w:vAlign w:val="bottom"/>
          </w:tcPr>
          <w:p>
            <w:pPr>
              <w:spacing w:after="0"/>
              <w:rPr>
                <w:sz w:val="13"/>
                <w:szCs w:val="13"/>
                <w:color w:val="auto"/>
              </w:rPr>
            </w:pPr>
          </w:p>
        </w:tc>
        <w:tc>
          <w:tcPr>
            <w:tcW w:w="1500" w:type="dxa"/>
            <w:vAlign w:val="bottom"/>
          </w:tcPr>
          <w:p>
            <w:pPr>
              <w:jc w:val="center"/>
              <w:ind w:right="456"/>
              <w:spacing w:after="0" w:line="153"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2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Acquired on Vesting</w:t>
            </w:r>
          </w:p>
        </w:tc>
        <w:tc>
          <w:tcPr>
            <w:tcW w:w="520" w:type="dxa"/>
            <w:vAlign w:val="bottom"/>
          </w:tcPr>
          <w:p>
            <w:pPr>
              <w:spacing w:after="0"/>
              <w:rPr>
                <w:sz w:val="12"/>
                <w:szCs w:val="12"/>
                <w:color w:val="auto"/>
              </w:rPr>
            </w:pPr>
          </w:p>
        </w:tc>
        <w:tc>
          <w:tcPr>
            <w:tcW w:w="1500" w:type="dxa"/>
            <w:vAlign w:val="bottom"/>
          </w:tcPr>
          <w:p>
            <w:pPr>
              <w:jc w:val="center"/>
              <w:ind w:right="416"/>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416"/>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A. Amster</w:t>
            </w:r>
          </w:p>
        </w:tc>
        <w:tc>
          <w:tcPr>
            <w:tcW w:w="2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374,758</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Ned D. Segal</w:t>
            </w:r>
          </w:p>
        </w:tc>
        <w:tc>
          <w:tcPr>
            <w:tcW w:w="226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Adam C. Spiegel</w:t>
            </w:r>
          </w:p>
        </w:tc>
        <w:tc>
          <w:tcPr>
            <w:tcW w:w="22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123,966</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1,366,956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26,563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304,710</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Martin E. Roberts</w:t>
            </w:r>
          </w:p>
        </w:tc>
        <w:tc>
          <w:tcPr>
            <w:tcW w:w="2260" w:type="dxa"/>
            <w:vAlign w:val="bottom"/>
          </w:tcPr>
          <w:p>
            <w:pPr>
              <w:jc w:val="right"/>
              <w:ind w:right="357"/>
              <w:spacing w:after="0"/>
              <w:rPr>
                <w:sz w:val="20"/>
                <w:szCs w:val="20"/>
                <w:color w:val="auto"/>
              </w:rPr>
            </w:pPr>
            <w:r>
              <w:rPr>
                <w:rFonts w:ascii="Arial" w:cs="Arial" w:eastAsia="Arial" w:hAnsi="Arial"/>
                <w:sz w:val="18"/>
                <w:szCs w:val="18"/>
                <w:color w:val="auto"/>
              </w:rPr>
              <w:t>96,897</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1,041,877</w:t>
            </w:r>
          </w:p>
        </w:tc>
        <w:tc>
          <w:tcPr>
            <w:tcW w:w="10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54,687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871,747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Paul E. Scola</w:t>
            </w:r>
          </w:p>
        </w:tc>
        <w:tc>
          <w:tcPr>
            <w:tcW w:w="22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20,000</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207,000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232,689</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Steven S. Swank</w:t>
            </w:r>
          </w:p>
        </w:tc>
        <w:tc>
          <w:tcPr>
            <w:tcW w:w="2260" w:type="dxa"/>
            <w:vAlign w:val="bottom"/>
          </w:tcPr>
          <w:p>
            <w:pPr>
              <w:jc w:val="right"/>
              <w:ind w:right="357"/>
              <w:spacing w:after="0"/>
              <w:rPr>
                <w:sz w:val="20"/>
                <w:szCs w:val="20"/>
                <w:color w:val="auto"/>
              </w:rPr>
            </w:pPr>
            <w:r>
              <w:rPr>
                <w:rFonts w:ascii="Arial" w:cs="Arial" w:eastAsia="Arial" w:hAnsi="Arial"/>
                <w:sz w:val="18"/>
                <w:szCs w:val="18"/>
                <w:color w:val="auto"/>
              </w:rPr>
              <w:t>80,080</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830,399</w:t>
            </w:r>
          </w:p>
        </w:tc>
        <w:tc>
          <w:tcPr>
            <w:tcW w:w="10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15,312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242,141</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Value realized is based on the difference between the fair market value of our common stock on the date of exercise and the exercise price.</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Value realized is based on the fair market value of our common stock on the vesting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company does not provide a pension plan for its employees, and no named executive officers participated in a non-qualified deferred compensation plan during the 2013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Potential Payments Upon Termination or Change in Control</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entered into offer letters and either stock option, restricted stock unit or stock purchase agreements with each of our named executive officers, and, in connection with the termination of his employment, we entered into a separation agreement with Mr. Spiegel described above. None of the offer letters entered into with our named executive officers provide for the payment of severance; however, we have entered into agreements with Messrs. Amster and Segal under which they may be entitled to accelerated vesting of equity awards upon certain terminations of employment, as described in further detail below. Additionally, options and restricted stock units granted pursuant to either our 2008 Stock Plan or our 2011 Equity Incentive Plan, including any options or restricted stock units granted to our named executive officers, may accelerate and vest in full if our company is subject to certain corporate transactions in which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1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surviving corporation does not assume the options or restricted stock units or substitute new awards for outstanding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John A. Amster</w:t>
      </w:r>
    </w:p>
    <w:p>
      <w:pPr>
        <w:spacing w:after="0" w:line="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January 2011 we granted Mr. Amster 537,692 options, and in January 2013 we granted Mr. Amster 125,000 restricted stock units. Pursuant to the stock option and restricted stock unit agreements applicable to these awards, if Mr. Amster is subject to an involuntary termination within 12 months following a change in control, then he will be entitled to vesting acceleration of 50% of any then-unvested shares subject to the awards.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2013, we granted Mr. Amster 125,000 performance-based restricted stock units. Pursuant to the performance-based restricted stock unit award agreement applicable to this award, if our company is subject to a change in control before Mr. Amster’s service terminates and prior to the fourth anniversary of the award date, then the performance conditions applicable to the award will be waived and 6.25% of the units will vest quarterly on the Company’s established vesting dates until the fourth anniversary of the award date, provided Mr. Amster remains in continuous service through each vesting date. Any units are not vested by the fourth anniversary of the award date shall be forfeited. However, if Mr. Amster is subject to an involuntary termination within 12 months after the change in control and prior to the fourth anniversary of the award date, then 50% of the unvested units at the time of the involuntary termination will vest.</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the stock option agreement, restricted stock unit award agreement, and the performance-based restricted stock unit award agreement with Mr. Amster: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“Involuntary termination” </w:t>
      </w:r>
      <w:r>
        <w:rPr>
          <w:rFonts w:ascii="Arial" w:cs="Arial" w:eastAsia="Arial" w:hAnsi="Arial"/>
          <w:sz w:val="17"/>
          <w:szCs w:val="17"/>
          <w:color w:val="auto"/>
        </w:rPr>
        <w:t>is defined as the termination of Mr. Amster’s service by reason of (i) the involuntary discharge of Mr. Amster by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reasons other than cause or death or disability or (ii) his voluntary resignation following (a) the material reduction in authority and responsibility with our company (it being understood that a material reduction in authority and responsibility shall not be deemed to have occurred as long as he retains substantial senior executive responsibilities in the same line of business that he was involved with immediately prior to a change in control), (b) a reduction in his base salary by more than 10% or (c) a request by our company that he relocate by more than 50 miles.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is defined as (i) the consummation of a merger or consolidation of our company with or into another entity or (ii) the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liquidation or winding up of our company. The foregoing notwithstanding, a merger or consolidation of our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our stockholders immediately prior to such merger or consolidation in substantially the same proportions as their ownership of the voting power of our capital stock immediately prior to such merger or consolidation.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is defined as (i) an intentional and unauthorized use or disclosure by Mr. Amster of our confidential information or trade secrets, which use</w:t>
      </w:r>
      <w:r>
        <w:rPr>
          <w:rFonts w:ascii="Arial" w:cs="Arial" w:eastAsia="Arial" w:hAnsi="Arial"/>
          <w:sz w:val="16"/>
          <w:szCs w:val="16"/>
          <w:i w:val="1"/>
          <w:iCs w:val="1"/>
          <w:color w:val="auto"/>
        </w:rPr>
        <w:t xml:space="preserve"> </w:t>
      </w:r>
      <w:r>
        <w:rPr>
          <w:rFonts w:ascii="Arial" w:cs="Arial" w:eastAsia="Arial" w:hAnsi="Arial"/>
          <w:sz w:val="16"/>
          <w:szCs w:val="16"/>
          <w:color w:val="auto"/>
        </w:rPr>
        <w:t>or disclosure causes material harm to our company, (ii) a material breach by Mr. Amster of any agreement between him and our company, (iii) a material failure by Mr. Amster to comply with our written policies or rules, (iv) Mr. Amster’s conviction of, or plea of “guilty” or “no contest” to, a felony under the laws of the United States or any State thereof, (v) Mr. Amster’s gross negligence or willful misconduct, (vi) a continuing failure by Mr. Amster to perform assigned duties after receiving written notification of such failure from our board of directors or (vii) a failure by Mr. Amster to cooperate in good faith with a governmental or internal investigation of our company or its directors, officers or employees, if our company has requested his cooperation.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is defined as Mr. Amster’s inability to engage in any substantial gainful activity by reason of any medically determinable physical or</w:t>
      </w:r>
      <w:r>
        <w:rPr>
          <w:rFonts w:ascii="Arial" w:cs="Arial" w:eastAsia="Arial" w:hAnsi="Arial"/>
          <w:sz w:val="18"/>
          <w:szCs w:val="18"/>
          <w:i w:val="1"/>
          <w:iCs w:val="1"/>
          <w:color w:val="auto"/>
        </w:rPr>
        <w:t xml:space="preserve"> </w:t>
      </w:r>
      <w:r>
        <w:rPr>
          <w:rFonts w:ascii="Arial" w:cs="Arial" w:eastAsia="Arial" w:hAnsi="Arial"/>
          <w:sz w:val="18"/>
          <w:szCs w:val="18"/>
          <w:color w:val="auto"/>
        </w:rPr>
        <w:t>mental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Ned D. Segal</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2013, we granted Mr. Segal 100,000 options and 300,000 restricted stock units. Pursuant to the stock option and restricted stock unit agreements applicable to these awards, if Mr. Segal is subject to an involuntary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termination within 12 months following a change in control, then he will be entitled to vesting acceleration of 50% of any then-unvested shares subject to the awards. In addition, if Mr. Segal dies or his employment terminates because of his disability before April 24, 2014, the first 25% of the shares subject to the awards will vest.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2013, we also granted Mr. Segal 50,000 performance-based restricted stock units. The treatment of this award upon a change in control is the same as described above with respect to Mr. Amster’s performance-based restricted stock units.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the stock option agreement, restricted stock unit award agreement, and the performance-based restricted stock unit award agreement with Mr. Segal: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“Involuntary Termination” </w:t>
      </w:r>
      <w:r>
        <w:rPr>
          <w:rFonts w:ascii="Arial" w:cs="Arial" w:eastAsia="Arial" w:hAnsi="Arial"/>
          <w:sz w:val="18"/>
          <w:szCs w:val="18"/>
          <w:color w:val="auto"/>
        </w:rPr>
        <w:t>is defined as either (i) a separation as a result of the termination of Mr. Segal’s employment by our company for reasons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cause or death or disability; or (ii) Mr. Segal’s Resignation for Good Reason.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“Resignation for Good Reason” </w:t>
      </w:r>
      <w:r>
        <w:rPr>
          <w:rFonts w:ascii="Arial" w:cs="Arial" w:eastAsia="Arial" w:hAnsi="Arial"/>
          <w:sz w:val="17"/>
          <w:szCs w:val="17"/>
          <w:color w:val="auto"/>
        </w:rPr>
        <w:t>is defined as a separation as a result of Mr. Segal’s resignation within 12 months after one of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has come into existence without Mr. Segal’s consent: (i) a material reduction in Mr. Segal’s authority and responsibility (it being understood that a material reduction in authority and responsibility shall not be deemed to have occurred as long as Mr. Segal retains substantial senior executive responsibilities in the same line of business that Mr. Segal was involved with immediately prior to a Change in Control); (ii) a reduction in Mr. Segal’s base salary by more than 10%; or (iii) a request by our company that Mr. Segal relocate by more than 50 miles. A Resignation for Good Reason will not be deemed to have occurred unless Mr. Segal gives our company written notice of the condition within 90 days after the condition comes into existence and our company fails to remedy the condition within 30 days after receiving Mr. Segal’s written notice.</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is defined as (i) Mr. Segal’s intentional and unauthorized use or disclosure of our company’s confidential information or trade secrets,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use or disclosure causes material harm to our company; (ii) Mr. Segal’s material breach of any agreement between Mr. Segal and our company; (iii) Mr. Segal’s material failure to comply with our company’s written policies or rules; (iv) Mr. Segal’s conviction of, or plea of “guilty” or “no contest” to, a felony under the laws of the United States or any State thereof; (v) Mr. Segal’s gross negligence or willful misconduct; (vi) Mr. Segal’s continuing failure to perform assigned duties after receiving written notification of such failure from the Board of Directors; or (vii) Mr. Segal’s failure to cooperate in good faith with a governmental or internal investigation of our company or its directors, officers or employees, if our company has requested Mr. Segal’s cooperation. To the extent Mr. Segal commits an act that would constitute Cause pursuant to (ii), (iii) or (vii), he will be given notice and an opportunity to cure within 30 days of receiving notice and, if he reasonably cures such act as determined by the audit committee of our company’s board, it will not constitute Cause.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is defined as Mr. Segal’s inability to engage in any substantial gainful activity by reason of any medically determinable physical or</w:t>
      </w:r>
      <w:r>
        <w:rPr>
          <w:rFonts w:ascii="Arial" w:cs="Arial" w:eastAsia="Arial" w:hAnsi="Arial"/>
          <w:sz w:val="18"/>
          <w:szCs w:val="18"/>
          <w:i w:val="1"/>
          <w:iCs w:val="1"/>
          <w:color w:val="auto"/>
        </w:rPr>
        <w:t xml:space="preserve"> </w:t>
      </w:r>
      <w:r>
        <w:rPr>
          <w:rFonts w:ascii="Arial" w:cs="Arial" w:eastAsia="Arial" w:hAnsi="Arial"/>
          <w:sz w:val="18"/>
          <w:szCs w:val="18"/>
          <w:color w:val="auto"/>
        </w:rPr>
        <w:t>mental impairment that results in death or lasts for a continuous period of not less than six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648"/>
        <w:spacing w:after="0" w:line="312" w:lineRule="auto"/>
        <w:rPr>
          <w:sz w:val="20"/>
          <w:szCs w:val="20"/>
          <w:color w:val="auto"/>
        </w:rPr>
      </w:pPr>
      <w:r>
        <w:rPr>
          <w:rFonts w:ascii="Arial" w:cs="Arial" w:eastAsia="Arial" w:hAnsi="Arial"/>
          <w:sz w:val="16"/>
          <w:szCs w:val="16"/>
          <w:color w:val="auto"/>
        </w:rPr>
        <w:t>The following table describes the potential benefits to which Messrs. Amster and Segal would have been entitled under the arrangements described above, assuming that each such officer’s employment terminated as of December 31, 2013, and the actual benefits Mr. Spiegel received pursuant to his separation agreement. Messrs. Roberts, Scola and Swank were not entitled to any benefits upon a termination of employment on December 31, 2013.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Involuntary Termination</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Termination Due to Death</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436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Following a Change in</w:t>
            </w:r>
          </w:p>
        </w:tc>
        <w:tc>
          <w:tcPr>
            <w:tcW w:w="1820" w:type="dxa"/>
            <w:vAlign w:val="bottom"/>
            <w:gridSpan w:val="3"/>
            <w:vMerge w:val="continue"/>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Actual Termination</w:t>
            </w:r>
          </w:p>
        </w:tc>
        <w:tc>
          <w:tcPr>
            <w:tcW w:w="0" w:type="dxa"/>
            <w:vAlign w:val="bottom"/>
          </w:tcPr>
          <w:p>
            <w:pPr>
              <w:spacing w:after="0"/>
              <w:rPr>
                <w:sz w:val="1"/>
                <w:szCs w:val="1"/>
                <w:color w:val="auto"/>
              </w:rPr>
            </w:pPr>
          </w:p>
        </w:tc>
      </w:tr>
      <w:tr>
        <w:trPr>
          <w:trHeight w:val="185"/>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Control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or Disability</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A. Amster</w:t>
            </w:r>
          </w:p>
        </w:tc>
        <w:tc>
          <w:tcPr>
            <w:tcW w:w="120" w:type="dxa"/>
            <w:vAlign w:val="bottom"/>
            <w:shd w:val="clear" w:color="auto" w:fill="CCEEFF"/>
          </w:tcPr>
          <w:p>
            <w:pPr>
              <w:spacing w:after="0"/>
              <w:rPr>
                <w:sz w:val="20"/>
                <w:szCs w:val="20"/>
                <w:color w:val="auto"/>
              </w:rPr>
            </w:pPr>
          </w:p>
        </w:tc>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Acceleration (1)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1,263,579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Acceleration (2)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1,914,457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Value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3,178,036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40" w:type="dxa"/>
            <w:vAlign w:val="bottom"/>
          </w:tcPr>
          <w:p>
            <w:pPr>
              <w:ind w:left="20"/>
              <w:spacing w:after="0"/>
              <w:rPr>
                <w:sz w:val="20"/>
                <w:szCs w:val="20"/>
                <w:color w:val="auto"/>
              </w:rPr>
            </w:pPr>
            <w:r>
              <w:rPr>
                <w:rFonts w:ascii="Arial" w:cs="Arial" w:eastAsia="Arial" w:hAnsi="Arial"/>
                <w:sz w:val="18"/>
                <w:szCs w:val="18"/>
                <w:color w:val="auto"/>
              </w:rPr>
              <w:t>Ned D. Segal</w:t>
            </w:r>
          </w:p>
        </w:tc>
        <w:tc>
          <w:tcPr>
            <w:tcW w:w="120" w:type="dxa"/>
            <w:vAlign w:val="bottom"/>
          </w:tcPr>
          <w:p>
            <w:pPr>
              <w:spacing w:after="0"/>
              <w:rPr>
                <w:sz w:val="22"/>
                <w:szCs w:val="22"/>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Option Acceleration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91,000</w:t>
            </w:r>
          </w:p>
        </w:tc>
        <w:tc>
          <w:tcPr>
            <w:tcW w:w="120" w:type="dxa"/>
            <w:vAlign w:val="bottom"/>
          </w:tcPr>
          <w:p>
            <w:pPr>
              <w:spacing w:after="0"/>
              <w:rPr>
                <w:sz w:val="22"/>
                <w:szCs w:val="22"/>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Restricted Stock Acceleration (2)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2,957,500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1,267,500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Total Value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3,139,500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1,358,500</w:t>
            </w:r>
          </w:p>
        </w:tc>
        <w:tc>
          <w:tcPr>
            <w:tcW w:w="1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Adam C. Spiegel</w:t>
            </w:r>
          </w:p>
        </w:tc>
        <w:tc>
          <w:tcPr>
            <w:tcW w:w="120" w:type="dxa"/>
            <w:vAlign w:val="bottom"/>
            <w:shd w:val="clear" w:color="auto" w:fill="CCEEFF"/>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Severance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157,500</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of Accrued Paid Time Off</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39,979</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COBRA Premiums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Acceleration (3)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1,067,252</w:t>
            </w:r>
          </w:p>
        </w:tc>
        <w:tc>
          <w:tcPr>
            <w:tcW w:w="0" w:type="dxa"/>
            <w:vAlign w:val="bottom"/>
          </w:tcPr>
          <w:p>
            <w:pPr>
              <w:spacing w:after="0"/>
              <w:rPr>
                <w:sz w:val="1"/>
                <w:szCs w:val="1"/>
                <w:color w:val="auto"/>
              </w:rPr>
            </w:pPr>
          </w:p>
        </w:tc>
      </w:tr>
      <w:tr>
        <w:trPr>
          <w:trHeight w:val="277"/>
        </w:trPr>
        <w:tc>
          <w:tcPr>
            <w:tcW w:w="1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 Acceleration (4)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11,473</w:t>
            </w:r>
          </w:p>
        </w:tc>
        <w:tc>
          <w:tcPr>
            <w:tcW w:w="0" w:type="dxa"/>
            <w:vAlign w:val="bottom"/>
          </w:tcPr>
          <w:p>
            <w:pPr>
              <w:spacing w:after="0"/>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Value</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1,286,260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___________________</w:t>
            </w:r>
          </w:p>
        </w:tc>
        <w:tc>
          <w:tcPr>
            <w:tcW w:w="1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65"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value of option acceleration shown in the table above assumes that the termination of the named executive officer’s employment occurred on December 31, 2013, and was calculated by multiplying the number of unvested option shares accelerated by the difference between $16.90, the closing price of our common stock on December 31, 2013, the last trading day of the year, and the exercise price of the option.</w:t>
      </w:r>
    </w:p>
    <w:p>
      <w:pPr>
        <w:jc w:val="both"/>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value of restricted stock acceleration shown in the table above assumes that the termination of the named executive officer’s employment occurred on December 31, 2013, and was calculated by multiplying the number of unvested shares accelerated by $16.90, the closing price of our common stock on December 31, 2013, the last trading day of the year. No value is assigned to the waiver of the performance conditions applicable to performance-contingent restricted stock units in connection with a change in control.</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value of option acceleration shown in the table above was calculated by multiplying the number of unvested option shares accelerated by the difference between $14.69, the closing price of our common stock on May 9, 2013, the date Mr. Spiegel’s separation agreement became irrevocable, and the exercise price of the option.</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value of restricted stock unit acceleration shown in the table above was calculated by multiplying the number of unvested units accelerated by $14.69, the closing price of our common stock on May 9, 2013, the date Mr. Spiegel’s separation agreement became irrevocable.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the time of preparation of this proxy statement, neither the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Accompanying this proxy statement and posted on our website with this proxy statement, is our Annual Report on Form 10-K for the fiscal year ended December 31, 2013. Copies of our Annual Report on Form 10-K for the fiscal year ended December 31, 2013, as filed with the SEC, are available free of charge on the investor relations portion of our website at http://ir.rpxcorp.com/annual-proxy.cfm.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13"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CONTACT FOR QUESTIONS AND ASSISTANCE WITH VOTING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have any questions or require any assistance with voting your shares or need additional copies of this proxy statement or voting materials, please contact:</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RPX Corporation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One Market Plaza, Suite 800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call (415) 418-2563</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It is important that your shares are represented at the Annual Meeting. Whether or not you plan to attend the Annual Meeting, please vote by using the Internet or by telephone or, if you received a paper copy of the proxy card by mail, by signing and returning the enclosed proxy card, so your shares will be represented at the Annual Meeting.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form of proxy and this proxy statement have been approved by the board of directors and are being mailed or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RPX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2"/>
    </w:lvl>
  </w:abstractNum>
  <w:abstractNum w:abstractNumId="10">
    <w:nsid w:val="7C3DBD3D"/>
    <w:multiLevelType w:val="hybridMultilevel"/>
    <w:lvl w:ilvl="0">
      <w:lvlJc w:val="left"/>
      <w:lvlText w:val="(%1)"/>
      <w:numFmt w:val="decimal"/>
      <w:start w:val="3"/>
    </w:lvl>
  </w:abstractNum>
  <w:abstractNum w:abstractNumId="11">
    <w:nsid w:val="737B8DDC"/>
    <w:multiLevelType w:val="hybridMultilevel"/>
    <w:lvl w:ilvl="0">
      <w:lvlJc w:val="left"/>
      <w:lvlText w:val="(%1)"/>
      <w:numFmt w:val="decimal"/>
      <w:start w:val="4"/>
    </w:lvl>
  </w:abstractNum>
  <w:abstractNum w:abstractNumId="12">
    <w:nsid w:val="6CEAF087"/>
    <w:multiLevelType w:val="hybridMultilevel"/>
    <w:lvl w:ilvl="0">
      <w:lvlJc w:val="left"/>
      <w:lvlText w:val="%1."/>
      <w:numFmt w:val="decimal"/>
      <w:start w:val="1"/>
    </w:lvl>
    <w:lvl w:ilvl="1">
      <w:lvlJc w:val="left"/>
      <w:lvlText w:val="%2."/>
      <w:numFmt w:val="decimal"/>
      <w:start w:val="3"/>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4"/>
    </w:lvl>
  </w:abstractNum>
  <w:abstractNum w:abstractNumId="31">
    <w:nsid w:val="3855585C"/>
    <w:multiLevelType w:val="hybridMultilevel"/>
    <w:lvl w:ilvl="0">
      <w:lvlJc w:val="left"/>
      <w:lvlText w:val="(%1)"/>
      <w:numFmt w:val="decimal"/>
      <w:start w:val="13"/>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4"/>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decimal"/>
      <w:start w:val="12"/>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2019-12-08T00:36:53Z</dcterms:created>
  <dcterms:modified xsi:type="dcterms:W3CDTF">2019-12-08T00:36:53Z</dcterms:modified>
</cp:coreProperties>
</file>