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June 19, 2018 (June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238760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RPX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001-35146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 of</w:t>
      </w:r>
    </w:p>
    <w:p>
      <w:pPr>
        <w:jc w:val="center"/>
        <w:ind w:right="8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One Market Plaza, Suite 1100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94105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(866) 779-7641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RPX Corporation, a Delaware corporation (“</w:t>
      </w:r>
      <w:r>
        <w:rPr>
          <w:rFonts w:ascii="Arial" w:cs="Arial" w:eastAsia="Arial" w:hAnsi="Arial"/>
          <w:sz w:val="16"/>
          <w:szCs w:val="16"/>
          <w:u w:val="single" w:color="auto"/>
          <w:color w:val="auto"/>
        </w:rPr>
        <w:t>RPX</w:t>
      </w:r>
      <w:r>
        <w:rPr>
          <w:rFonts w:ascii="Arial" w:cs="Arial" w:eastAsia="Arial" w:hAnsi="Arial"/>
          <w:sz w:val="16"/>
          <w:szCs w:val="16"/>
          <w:color w:val="auto"/>
        </w:rPr>
        <w:t>”), entered into an Agreement and Plan of Merger, dated as of April 30, 2018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Riptide Parent, LLC, a Delaware limited liability company (“</w:t>
      </w:r>
      <w:r>
        <w:rPr>
          <w:rFonts w:ascii="Arial" w:cs="Arial" w:eastAsia="Arial" w:hAnsi="Arial"/>
          <w:sz w:val="17"/>
          <w:szCs w:val="17"/>
          <w:u w:val="single" w:color="auto"/>
          <w:color w:val="auto"/>
        </w:rPr>
        <w:t>Parent</w:t>
      </w:r>
      <w:r>
        <w:rPr>
          <w:rFonts w:ascii="Arial" w:cs="Arial" w:eastAsia="Arial" w:hAnsi="Arial"/>
          <w:sz w:val="17"/>
          <w:szCs w:val="17"/>
          <w:color w:val="auto"/>
        </w:rPr>
        <w:t>”), and Riptide Purchaser,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and a wholly owned subsidiary of Parent (“</w:t>
      </w:r>
      <w:r>
        <w:rPr>
          <w:rFonts w:ascii="Arial" w:cs="Arial" w:eastAsia="Arial" w:hAnsi="Arial"/>
          <w:sz w:val="17"/>
          <w:szCs w:val="17"/>
          <w:u w:val="single" w:color="auto"/>
          <w:color w:val="auto"/>
        </w:rPr>
        <w:t>Purchaser</w:t>
      </w:r>
      <w:r>
        <w:rPr>
          <w:rFonts w:ascii="Arial" w:cs="Arial" w:eastAsia="Arial" w:hAnsi="Arial"/>
          <w:sz w:val="17"/>
          <w:szCs w:val="17"/>
          <w:color w:val="auto"/>
        </w:rPr>
        <w:t>”). Parent and Purchaser are beneficially owned by affiliates of HGGC, LLC (“</w:t>
      </w:r>
      <w:r>
        <w:rPr>
          <w:rFonts w:ascii="Arial" w:cs="Arial" w:eastAsia="Arial" w:hAnsi="Arial"/>
          <w:sz w:val="17"/>
          <w:szCs w:val="17"/>
          <w:u w:val="single" w:color="auto"/>
          <w:color w:val="auto"/>
        </w:rPr>
        <w:t>HGGC</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Merger Agreement, Purchaser conducted a tender offer (the “</w:t>
      </w:r>
      <w:r>
        <w:rPr>
          <w:rFonts w:ascii="Arial" w:cs="Arial" w:eastAsia="Arial" w:hAnsi="Arial"/>
          <w:sz w:val="17"/>
          <w:szCs w:val="17"/>
          <w:u w:val="single" w:color="auto"/>
          <w:color w:val="auto"/>
        </w:rPr>
        <w:t>Offer</w:t>
      </w:r>
      <w:r>
        <w:rPr>
          <w:rFonts w:ascii="Arial" w:cs="Arial" w:eastAsia="Arial" w:hAnsi="Arial"/>
          <w:sz w:val="17"/>
          <w:szCs w:val="17"/>
          <w:color w:val="auto"/>
        </w:rPr>
        <w:t>”) for all of the outstanding shares of common stock of RPX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Shares</w:t>
      </w:r>
      <w:r>
        <w:rPr>
          <w:rFonts w:ascii="Arial" w:cs="Arial" w:eastAsia="Arial" w:hAnsi="Arial"/>
          <w:sz w:val="16"/>
          <w:szCs w:val="16"/>
          <w:color w:val="auto"/>
        </w:rPr>
        <w:t>”) at a purchase price of $10.50 per Company Share, net to the seller in cash, subject to reduction for any applicable withholding taxes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thereof, without interest (the “</w:t>
      </w:r>
      <w:r>
        <w:rPr>
          <w:rFonts w:ascii="Arial" w:cs="Arial" w:eastAsia="Arial" w:hAnsi="Arial"/>
          <w:sz w:val="18"/>
          <w:szCs w:val="18"/>
          <w:u w:val="single" w:color="auto"/>
          <w:color w:val="auto"/>
        </w:rPr>
        <w:t>Offer Price</w:t>
      </w:r>
      <w:r>
        <w:rPr>
          <w:rFonts w:ascii="Arial" w:cs="Arial" w:eastAsia="Arial" w:hAnsi="Arial"/>
          <w:sz w:val="18"/>
          <w:szCs w:val="18"/>
          <w:color w:val="auto"/>
        </w:rPr>
        <w:t>”).</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Offer and withdrawal rights expired at one minute after 11:59 p.m., New York City time, on June 18th, 2018. The depository for the Offer, Computershare Trust Company (the “</w:t>
      </w:r>
      <w:r>
        <w:rPr>
          <w:rFonts w:ascii="Arial" w:cs="Arial" w:eastAsia="Arial" w:hAnsi="Arial"/>
          <w:sz w:val="17"/>
          <w:szCs w:val="17"/>
          <w:u w:val="single" w:color="auto"/>
          <w:color w:val="auto"/>
        </w:rPr>
        <w:t>Depository</w:t>
      </w:r>
      <w:r>
        <w:rPr>
          <w:rFonts w:ascii="Arial" w:cs="Arial" w:eastAsia="Arial" w:hAnsi="Arial"/>
          <w:sz w:val="17"/>
          <w:szCs w:val="17"/>
          <w:color w:val="auto"/>
        </w:rPr>
        <w:t>”), has indicated that as of the expiration of the Offer, a total of 34,330,652 Company Shares were validly tendered into and not validly withdrawn from the Offer (not including 910,497 Company Shares tendered pursuant to notices of guaranteed delivery), representing approximately 68% of the outstanding Company Shares. The number of Company Shares validly tendered and not validly withdrawn pursuant to the Offer (excluding Company Shares tendered pursuant to guaranteed delivery procedures that have not yet been “received” (as defined by Section 251(h)(6)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by the Depositary in the Offer), when added to the 1,594,500 Company Shares already owned by Parent, Purchaser or their respective affiliates, satisfies the Minimum Tender Condition (as defined in the Merger Agreement). All Offer conditions were satisfied or waived, and Purchaser has accepted for payment all Company Shares validly tendered into and not validly withdrawn from the Offer, and payment for such Company Shares will be promptly made to the Depository, which will transmit such payments to tendering RPX stockholders whose Company Shares have been accepted for payment, in accordance with the terms of the Offer.</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June 19, 2018, following consummation of the Offer, Purchaser merged with and into RPX (the “</w:t>
      </w:r>
      <w:r>
        <w:rPr>
          <w:rFonts w:ascii="Arial" w:cs="Arial" w:eastAsia="Arial" w:hAnsi="Arial"/>
          <w:sz w:val="17"/>
          <w:szCs w:val="17"/>
          <w:u w:val="single" w:color="auto"/>
          <w:color w:val="auto"/>
        </w:rPr>
        <w:t>Merger</w:t>
      </w:r>
      <w:r>
        <w:rPr>
          <w:rFonts w:ascii="Arial" w:cs="Arial" w:eastAsia="Arial" w:hAnsi="Arial"/>
          <w:sz w:val="17"/>
          <w:szCs w:val="17"/>
          <w:color w:val="auto"/>
        </w:rPr>
        <w:t>”), with RPX surviving as a wholly owned subsidiary of Parent. The Merger was completed pursuant to Section 251(h) of the DGCL, with no vote of the RPX stockholders required to consummate the Merger.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issued and outstanding Company Share (other than shares owned by Purchaser, Parent, RPX (as treasury stock), any wholly owned subsidiary of Parent or RPX, or by any stockholder of RPX who is entitled to and properly demanded and perfected their respective demands for appraisal of such shares in the time and manner provided in Section 262 of the DGCL and, as of the Effective Time, have neither effectively withdrawn their respective demand nor otherwise lost their respective rights to appraisal pursuant to Section 262 of the DGCL “dissenting shares”)) was converted into the right to receive an amount in cash equal to the Offer Price.</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Pursuant to the Merger Agreement, at the Effective Time, each option to acquire Company Shares, whether vested or unvested, granted pursuant to any Company Stock Plan (as defined in the Merger Agreement) that was outstanding immediately prior to the Effective Time (collectively, the “</w:t>
      </w:r>
      <w:r>
        <w:rPr>
          <w:rFonts w:ascii="Arial" w:cs="Arial" w:eastAsia="Arial" w:hAnsi="Arial"/>
          <w:sz w:val="18"/>
          <w:szCs w:val="18"/>
          <w:u w:val="single" w:color="auto"/>
          <w:color w:val="auto"/>
        </w:rPr>
        <w:t>Company Stock</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Options</w:t>
      </w:r>
      <w:r>
        <w:rPr>
          <w:rFonts w:ascii="Arial" w:cs="Arial" w:eastAsia="Arial" w:hAnsi="Arial"/>
          <w:sz w:val="18"/>
          <w:szCs w:val="18"/>
          <w:color w:val="auto"/>
        </w:rPr>
        <w:t>”) were canceled and converted into the right to receive an amount in cash, without interest, equal to the product of (i) the excess, if any, of the Offer Price over the applicable per-share exercise price of such canceled Company Stock Option, multiplied by (ii) the total number of shares of Company Shares underlying such Company Stock Option, less any required withholding taxes, payable within five business days following the Effective Time, provided, that, if the per-share exercise price of any such Company Stock Option was equal to or greater than the Offer Price, such Company Stock Option was canceled for no consideration.</w:t>
      </w:r>
    </w:p>
    <w:p>
      <w:pPr>
        <w:spacing w:after="0" w:line="18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Merger Agreement also provides that each restricted stock unit granted pursuant to any Company Stock Plan that was outstanding and vested by its terms (taking into account any accelerated vesting as a result of the transaction contemplated by the Merger Agreement) immediately prior to the Effective Time (collectively, the “</w:t>
      </w:r>
      <w:r>
        <w:rPr>
          <w:rFonts w:ascii="Arial" w:cs="Arial" w:eastAsia="Arial" w:hAnsi="Arial"/>
          <w:sz w:val="16"/>
          <w:szCs w:val="16"/>
          <w:u w:val="single" w:color="auto"/>
          <w:color w:val="auto"/>
        </w:rPr>
        <w:t>Company RSUs</w:t>
      </w:r>
      <w:r>
        <w:rPr>
          <w:rFonts w:ascii="Arial" w:cs="Arial" w:eastAsia="Arial" w:hAnsi="Arial"/>
          <w:sz w:val="16"/>
          <w:szCs w:val="16"/>
          <w:color w:val="auto"/>
        </w:rPr>
        <w:t>”) was canceled and converted into the right to receive an amount in cash, without interest, equal to the product of (i) the total number of shares of Company Shares underlying such Company RSU, multiplied by (ii) the Offer Price, less any required withholding taxes, payable within five business days following the Effective Time. Each unvested Company RSUs was assumed and substituted by Parent (the “</w:t>
      </w:r>
      <w:r>
        <w:rPr>
          <w:rFonts w:ascii="Arial" w:cs="Arial" w:eastAsia="Arial" w:hAnsi="Arial"/>
          <w:sz w:val="16"/>
          <w:szCs w:val="16"/>
          <w:u w:val="single" w:color="auto"/>
          <w:color w:val="auto"/>
        </w:rPr>
        <w:t>Substituted RSUs</w:t>
      </w:r>
      <w:r>
        <w:rPr>
          <w:rFonts w:ascii="Arial" w:cs="Arial" w:eastAsia="Arial" w:hAnsi="Arial"/>
          <w:sz w:val="16"/>
          <w:szCs w:val="16"/>
          <w:color w:val="auto"/>
        </w:rPr>
        <w:t>”) and will continue to have, and be subject to, the same terms and conditions as were in effect immediately prior to the Effective Time (including with respect to vesting, settlement, forfeiture terms, and accelerated vesting on specific terminations of employment, to the extent applicable), except for changes to certain terms rendered inoperative by reason of the Merger or for such certain administrative or ministerial changes, and, upon vesting, the holder thereof shall be entitled to the amount in cash, without interest, equal to the product of (i) the total number of shares of Company Shares underlying such Substituted RSU that would have become vested pursuant to its terms, multiplied by (ii) the Offer Price, less any required withholding taxes, payable at the same time as such Company RSUs for which the Substituted RSUs were assumed and substituted would have been settled pursuant to their terms.</w:t>
      </w:r>
    </w:p>
    <w:p>
      <w:pPr>
        <w:sectPr>
          <w:pgSz w:w="11900" w:h="16838" w:orient="portrait"/>
          <w:cols w:equalWidth="0" w:num="1">
            <w:col w:w="11400"/>
          </w:cols>
          <w:pgMar w:left="240" w:top="270" w:right="25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Agreement provides that each performance stock unit granted pursuant to any Company Stock Plan that was outstanding immediately prior to the Effective Time (collectively, the “</w:t>
      </w:r>
      <w:r>
        <w:rPr>
          <w:rFonts w:ascii="Arial" w:cs="Arial" w:eastAsia="Arial" w:hAnsi="Arial"/>
          <w:sz w:val="17"/>
          <w:szCs w:val="17"/>
          <w:u w:val="single" w:color="auto"/>
          <w:color w:val="auto"/>
        </w:rPr>
        <w:t>Company PSUs</w:t>
      </w:r>
      <w:r>
        <w:rPr>
          <w:rFonts w:ascii="Arial" w:cs="Arial" w:eastAsia="Arial" w:hAnsi="Arial"/>
          <w:sz w:val="17"/>
          <w:szCs w:val="17"/>
          <w:color w:val="auto"/>
        </w:rPr>
        <w:t>”) and vested by its terms (taking into account any accelerated vesting as a result of the transaction contemplated by the Merger Agreement) immediately prior to the Effective Time was canceled and converted into the right to receive an amount in cash, without interest, equal to the product of (i) the total number of shares of Company Shares underlying such Company PSU, multiplied by (ii) the Offer Price, less any required withholding taxes, payable within five business days following the Effective Date. Each unvested Company PSUs was assumed and substituted by Parent (the “</w:t>
      </w:r>
      <w:r>
        <w:rPr>
          <w:rFonts w:ascii="Arial" w:cs="Arial" w:eastAsia="Arial" w:hAnsi="Arial"/>
          <w:sz w:val="17"/>
          <w:szCs w:val="17"/>
          <w:u w:val="single" w:color="auto"/>
          <w:color w:val="auto"/>
        </w:rPr>
        <w:t>Substituted PSUs</w:t>
      </w:r>
      <w:r>
        <w:rPr>
          <w:rFonts w:ascii="Arial" w:cs="Arial" w:eastAsia="Arial" w:hAnsi="Arial"/>
          <w:sz w:val="17"/>
          <w:szCs w:val="17"/>
          <w:color w:val="auto"/>
        </w:rPr>
        <w:t>”) and has the same terms and conditions as are in effect immediately prior to the Effective Time (including vesting, settlement and forfeiture terms), except that any performance-based vesting condition to which such Substituted PSU was subject was treated as having been attained at target achievement levels, for changes to certain terms rendered inoperative by reason of the Merger or for such certain administrative or ministerial changes and, upon vesting, the holder thereof shall be entitled to the amount in cash, without interest, equal to the product of (i) the total number of shares of Company Shares underlying such Substituted PSU that would have become vested pursuant to its terms, multiplied by (ii) the Offer Price, less any required withholding taxes, payable at the same time as such Company PSUs for which the Substituted PSUs were assumed and substituted would have been settled pursuant to their terms.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foregoing summary of the Merger Agreement and the transactions contemplated thereby does not purport to be complete and is subject to, and qualified in its entirety by, the full text of the Merger Agreement attached as Exhibit 2.1 to the Current Report on Form 8-K filed by RPX on May 1, 2018 and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described in the Introductory Note above, on June 19, 2018, Purchaser irrevocably accepted for payment all Company Shares validly tendered and not validly withdrawn pursuant to the Offer on or prior to the Expiration Date. On June 19, 2018, the Merger was completed pursuant to Section 251(h) of the DGCL, with no vote of RPX stockholders required to consummate the Merger. Upon the consummation of the Merger, RPX became a wholly owned subsidiary of Parent.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consummation of the Offer and Merger, and subject to payments in respect of dissenting shares, the aggregate consideration paid by Purchaser for all equity securities of RPX is approximately $508.2 million, without giving effect to related transaction fees and expenses. The purchase price was funded by a combination of RPX’s cash on hand, equity financing from investment funds affiliated with HGGC and previously disclosed in the Offer to Purchase, dated May 21, 2018 (as amended), and debt financing from Jefferies Finance LLC (“</w:t>
      </w:r>
      <w:r>
        <w:rPr>
          <w:rFonts w:ascii="Arial" w:cs="Arial" w:eastAsia="Arial" w:hAnsi="Arial"/>
          <w:sz w:val="16"/>
          <w:szCs w:val="16"/>
          <w:u w:val="single" w:color="auto"/>
          <w:color w:val="auto"/>
        </w:rPr>
        <w:t>Jefferies</w:t>
      </w:r>
      <w:r>
        <w:rPr>
          <w:rFonts w:ascii="Arial" w:cs="Arial" w:eastAsia="Arial" w:hAnsi="Arial"/>
          <w:sz w:val="16"/>
          <w:szCs w:val="16"/>
          <w:color w:val="auto"/>
        </w:rPr>
        <w:t>”), BCF Senior Funding I LLC, BBH-Barings Senior Funding I, LLC, Massachusetts Mutual Life Insurance Company, NAPLF Senior Funding I LLC, C.M. Life Insurance Company, and Barings Finance LLC, consisting of a term loan of $240 million pursuant to that certain Credit Agreement, dated as of June 19, 2018, by and among Purchaser, RPX, Parent, certain domestic subsidiaries of Parent as guarantors, the lenders from time to time party thereto and Jefferies as administrative agent and collateral agent.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in the Introductory Note of this Current Report on Form 8-K is incorporated by reference into this Item 2.01.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consummation of the Merger, RPX (i) notified the NASDAQ Stock Market (“</w:t>
      </w:r>
      <w:r>
        <w:rPr>
          <w:rFonts w:ascii="Arial" w:cs="Arial" w:eastAsia="Arial" w:hAnsi="Arial"/>
          <w:sz w:val="18"/>
          <w:szCs w:val="18"/>
          <w:u w:val="single" w:color="auto"/>
          <w:color w:val="auto"/>
        </w:rPr>
        <w:t>NASDAQ</w:t>
      </w:r>
      <w:r>
        <w:rPr>
          <w:rFonts w:ascii="Arial" w:cs="Arial" w:eastAsia="Arial" w:hAnsi="Arial"/>
          <w:sz w:val="18"/>
          <w:szCs w:val="18"/>
          <w:color w:val="auto"/>
        </w:rPr>
        <w:t>”) of the consummation of the Merger on June 19, 2018, and (ii) requested that NASDAQ file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 Notification of Removal from Listing and/or Registration on Form 25 to delist and deregister the Shares under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Trading of Company Shares on NASDAQ has been halted and will be suspended prior to the next trading day. RPX also intends to file with the SEC a Certification and Notice of Termination of Registration on Form 15 under the Exchange Act, requesting that RPX’s reporting obligations under Sections 13 and 15(d) of the Exchange Act be suspended.</w:t>
      </w:r>
    </w:p>
    <w:p>
      <w:pPr>
        <w:sectPr>
          <w:pgSz w:w="11900" w:h="16838" w:orient="portrait"/>
          <w:cols w:equalWidth="0" w:num="1">
            <w:col w:w="11380"/>
          </w:cols>
          <w:pgMar w:left="240" w:top="274" w:right="27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contained in the Introductory Note and Items 2.01, 3.01 and 5.03 of this Current Report on Form 8-K is incorporated by reference into this Item 3.03.</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result of the Offer and the Merger, a change in control of RPX occurred. At the Effective Time, RPX became a wholly owned subsidiary of Parent. The information contained in the Introductory Note and Items 2.01, 5.02 and 5.03 of this Current Report on Form 8-K is incorporated by reference into this Item 5.01.</w:t>
      </w:r>
    </w:p>
    <w:p>
      <w:pPr>
        <w:spacing w:after="0" w:line="326" w:lineRule="exact"/>
        <w:rPr>
          <w:sz w:val="20"/>
          <w:szCs w:val="20"/>
          <w:color w:val="auto"/>
        </w:rPr>
      </w:pPr>
    </w:p>
    <w:p>
      <w:pPr>
        <w:ind w:left="1040" w:right="1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Effective Time and pursuant to the terms of the Merger Agreement, each of the directors of RPX (Andrew Africk, Martin E. Roberts, Shelby W. Bonnie, Frank Dangeard, Steven L. Fingerhood, Gilbert S. Palter, Sanford Robertson, Mallun Yen and Magdalena Yesil) ceased to be a director of RPX, and each ceased to be on any committee of the board of directors of RPX. At such time, Richard F. Lawson, J. Steven Young, David Chung and Steven A. Leistner became the directors of RPX.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at the Effective Time each of Martin E. Roberts, David J. Anderson, and Edward F. Straube will continue to be officers of RPX.</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the terms of the Merger Agreement, as of the Effective Time, RPX’s certificate of incorporation and bylaws were amended and restated in their entirety. A copy of RPX’s Amended and Restated Certificate of Incorporation and Amended and Restated Bylaws are included as Exhibits 3.1 and 3.2, respectively, to this Current Report on Form 8-K and are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June 19, 2018, HGGC and RPX issued a joint press release announcing the expiration and results of the Offer and the consummation of the Merger. A copy of the joint press release is attached as Exhibit 99.1 to this Current Report on Form 8-K and is incorporated by reference herein.</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58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5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22"/>
                <w:szCs w:val="22"/>
                <w:color w:val="auto"/>
              </w:rPr>
            </w:pPr>
          </w:p>
        </w:tc>
        <w:tc>
          <w:tcPr>
            <w:tcW w:w="10300" w:type="dxa"/>
            <w:vAlign w:val="bottom"/>
            <w:tcBorders>
              <w:bottom w:val="single" w:sz="8" w:color="0000EE"/>
            </w:tcBorders>
            <w:gridSpan w:val="6"/>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Agreement and Plan of Merger, dated April 30, 2018, among RPX Corporation, Riptide Parent, LLC and Riptide Purchaser, Inc. (incorporated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00" w:type="dxa"/>
            <w:vAlign w:val="bottom"/>
            <w:gridSpan w:val="6"/>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by reference to Exhibit 2.1 to RPX Corporation’s Current Report on Form 8-K filed with the SEC on May 1, 2018).</w:t>
              </w:r>
            </w:hyperlink>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67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Amended and Restated Certificate of Incorporation of RPX Corporation, dated June 19, 2018.</w:t>
              </w:r>
            </w:hyperlink>
          </w:p>
        </w:tc>
        <w:tc>
          <w:tcPr>
            <w:tcW w:w="158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55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Amended and Restated Bylaws of RPX Corporation, effective June 19, 2018.</w:t>
              </w:r>
            </w:hyperlink>
          </w:p>
        </w:tc>
        <w:tc>
          <w:tcPr>
            <w:tcW w:w="4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6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Joint Press Release issued by HGGC, LLC and RPX Corporation, dated June 19, 2018.</w:t>
              </w:r>
            </w:hyperlink>
          </w:p>
        </w:tc>
        <w:tc>
          <w:tcPr>
            <w:tcW w:w="4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RPX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Martin Roberts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Martin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2018</w:t>
      </w:r>
    </w:p>
    <w:p>
      <w:pPr>
        <w:sectPr>
          <w:pgSz w:w="11900" w:h="16838" w:orient="portrait"/>
          <w:cols w:equalWidth="0" w:num="1">
            <w:col w:w="10740"/>
          </w:cols>
          <w:pgMar w:left="240" w:top="270" w:right="9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18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FIRST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RPX Corporation (hereinafter called the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3500 South DuPont Highway, in the City of Dover, County of Kent, State of Delaware, 19901. The name of its registered agent at such address is Incorporating Services, Ltd.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Delaware General Corporation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w:t>
      </w:r>
    </w:p>
    <w:p>
      <w:pPr>
        <w:spacing w:after="0" w:line="18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total number of shares of stock which the Corporation has authority to issue is 1,000 shares of common stock, with a par value of $0.001 per share.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to have perpetual existence.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make, alter or repeal the by-laws of the Corporation.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w:t>
      </w:r>
    </w:p>
    <w:p>
      <w:pPr>
        <w:spacing w:after="0" w:line="1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 Election of directors need not be by written ballot unless the by-laws of the Corporation so provide.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approval by the stockholders of this Article Eight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ectPr>
          <w:pgSz w:w="11900" w:h="16838" w:orient="portrait"/>
          <w:cols w:equalWidth="0" w:num="1">
            <w:col w:w="11420"/>
          </w:cols>
          <w:pgMar w:left="240" w:top="121" w:right="239" w:bottom="1440" w:gutter="0" w:footer="0" w:header="0"/>
        </w:sectPr>
      </w:pPr>
    </w:p>
    <w:bookmarkStart w:id="6" w:name="page7"/>
    <w:bookmarkEnd w:id="6"/>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repeal or modification of the foregoing provisions of this Article Eight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expressly elects not to be governed by Section 203 of the General Corporation Law of the State of Delaware.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TENTH</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ectPr>
          <w:pgSz w:w="11900" w:h="16838" w:orient="portrait"/>
          <w:cols w:equalWidth="0" w:num="1">
            <w:col w:w="11380"/>
          </w:cols>
          <w:pgMar w:left="240" w:top="274"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RPX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(Adopted as of June 19,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Section 1 Registered Office. The registered office of RPX Corporation (the “corporation”) the corporation in the State of Delaware shall be located at c/o Intertrust Corporate Services, 200 Bellevue Parkway, Suite 210, City of Wilmington, County of New Castle, Delaware 19809. The name of the corporation’s registered agent at such address shall be Intertrust Corporate Services Delaware Ltd. The registered office and/or registered agent of the corporation may be changed from time to time by action of the board of directors of the corporation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-455930</wp:posOffset>
            </wp:positionV>
            <wp:extent cx="1578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578610" cy="8890"/>
                    </a:xfrm>
                    <a:prstGeom prst="rect">
                      <a:avLst/>
                    </a:prstGeom>
                    <a:noFill/>
                  </pic:spPr>
                </pic:pic>
              </a:graphicData>
            </a:graphic>
          </wp:anchor>
        </w:drawing>
      </w:r>
    </w:p>
    <w:p>
      <w:pPr>
        <w:spacing w:after="0" w:line="15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-182245</wp:posOffset>
            </wp:positionV>
            <wp:extent cx="13944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39446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1 Annual Meetings. An annual meeting of the stockholders shall be held each year within one hundred twenty (120) days after the close of the immediately preceding fiscal year of the corporation for the purpose of electing directors and conducting such other proper business as may come before the meeting. The date, time and place, if any, and/or the means of remote communication, of the annual meeting shall be determined by the board of directors of the corporation. No annual meeting of stockholders need be held if not required by the corporation’s certificate of incorporation or by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-582295</wp:posOffset>
            </wp:positionV>
            <wp:extent cx="1555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555750" cy="8890"/>
                    </a:xfrm>
                    <a:prstGeom prst="rect">
                      <a:avLst/>
                    </a:prstGeom>
                    <a:noFill/>
                  </pic:spPr>
                </pic:pic>
              </a:graphicData>
            </a:graphic>
          </wp:anchor>
        </w:drawing>
      </w:r>
    </w:p>
    <w:p>
      <w:pPr>
        <w:spacing w:after="0" w:line="16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Section 2 Special Meetings. Special meetings of stockholders may be called for any purpose (including, without limitation, the filling of board vacancies and newly created directorships) and may be held at such time and place, within or without the State of Delaware, and/or by means of remote communication, as shall be stated in a written notice of meeting or in a duly executed waiver of notice thereof. Such meetings may be called at any time by the board of directors or the president and shall be called by the president upon the written request of holders of shares entitled to cast not less than a majority of the votes at the meeting, which written request shall state the purpose or purposes of the meeting and shall be delivered to the president. The date, time and place, if any, and/or remote communication, of any special meeting of stockholders shall be determined by the board of directors of the corporation. On such written request, the president shall fix a date and time for such meeting within 10 days after receipt of a request for such meeting in such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-870585</wp:posOffset>
            </wp:positionV>
            <wp:extent cx="15614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561465" cy="8890"/>
                    </a:xfrm>
                    <a:prstGeom prst="rect">
                      <a:avLst/>
                    </a:prstGeom>
                    <a:noFill/>
                  </pic:spPr>
                </pic:pic>
              </a:graphicData>
            </a:graphic>
          </wp:anchor>
        </w:drawing>
      </w:r>
    </w:p>
    <w:p>
      <w:pPr>
        <w:spacing w:after="0" w:line="14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Section 3 Place of Meetings. The board of directors may designate any place, either within or without the State of Delaware, and/or by means of remote communication, as the place of meeting for any annual meeting or for any special meeting called by the board of directors. If no designation is made, or if a special meeting be otherwise called, the place of meeting shall be the principal executive office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-322580</wp:posOffset>
            </wp:positionV>
            <wp:extent cx="15963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59639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 Notice. Whenever stockholders are required or permitted to take any action at a meeting, written or printed notice stating the place, if any, date and hour of the meeting, the means of remote communications, if any, by which stockholders and proxy holders may be deemed to be present in person and vote at such meeting, and, in the case of special meetings, the purpose or purposes, of such meeting, shall be given to each stockholder entitled to vote at such meeting and to each director not less than 10 nor more than 60 days before the date of the meeting. All such notices shall be delivered, either personally, by mail, or by a form of electronic transmission consented to by the stockholder to whom the notice is given, by or at the direction of the board of directors, the president or the secretary, and if mailed, such notice shall be deemed to be delivered when deposited in the United States mail, postage prepaid, addressed to the stockholder at his, her or its address as the same appears on the records of the corporation. If given by electronic transmission, such notice shall be deemed to be delivered (a) if by facsimile telecommunication, when directed to a number at which the stockholder has consented to receive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-984885</wp:posOffset>
            </wp:positionV>
            <wp:extent cx="1075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75690" cy="8890"/>
                    </a:xfrm>
                    <a:prstGeom prst="rect">
                      <a:avLst/>
                    </a:prstGeom>
                    <a:noFill/>
                  </pic:spPr>
                </pic:pic>
              </a:graphicData>
            </a:graphic>
          </wp:anchor>
        </w:drawing>
      </w:r>
    </w:p>
    <w:p>
      <w:pPr>
        <w:ind w:right="180" w:firstLine="8"/>
        <w:spacing w:after="0" w:line="252"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 (c) if by a posting on an electronic network together with separate notice to the stockholder of such specific posting, upon the later of (1) such posting and (2) the giving of such separate notice; and (d) if by any other form of electronic transmission, when directed to the stockholder. Any such consent shall be revocable by the stockholder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Attendance of a person at a meeting shall constitute a waiver of notice of such meeting, except when the person attends for the express purpose of objecting at the beginning of the meeting to the transaction of any business because the meeting is not lawfully called or convened.</w:t>
      </w:r>
    </w:p>
    <w:p>
      <w:pPr>
        <w:spacing w:after="0" w:line="19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5 Stockholders List. The officer who has charge of the stock ledger of the corporation shall make, at least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and/or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-1280795</wp:posOffset>
            </wp:positionV>
            <wp:extent cx="1574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1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6 Quorum. The holders of a majority of the issued and outstanding shares of capital stock, entitled to vote thereon, present in person or represented by proxy, shall constitute a quorum at all meetings of the stockholders, except as otherwise provided by statute or by the corporation’s certificate of incorporation. If a quorum is not present, the holders of a majority of the shares present in person or represented by proxy at the meeting, and entitled to vote at the meeting, may adjourn the meeting to another time and/or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11525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152525" cy="8890"/>
                    </a:xfrm>
                    <a:prstGeom prst="rect">
                      <a:avLst/>
                    </a:prstGeom>
                    <a:noFill/>
                  </pic:spPr>
                </pic:pic>
              </a:graphicData>
            </a:graphic>
          </wp:anchor>
        </w:drawing>
      </w:r>
    </w:p>
    <w:p>
      <w:pPr>
        <w:spacing w:after="0" w:line="16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Section 7 Adjourned Meetings. When a meeting is adjourned to another time and place, notice need not be given of the adjourned meeting if the time, place, if any, thereof, and the means of remote communications, if any, by which stockholders and proxy holders may be deemed to be present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-211455</wp:posOffset>
            </wp:positionV>
            <wp:extent cx="1707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9" w:name="page10"/>
    <w:bookmarkEnd w:id="9"/>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and vote at such adjourned meeting are announced at the meeting at which the adjournment is taken. At the adjourned meeting,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4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Section 8 Vote Required.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or of the corporation’s certificate of incorporation a different vote is required, in which case such express provision shall govern and control the decision of such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14243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24305" cy="8890"/>
                    </a:xfrm>
                    <a:prstGeom prst="rect">
                      <a:avLst/>
                    </a:prstGeom>
                    <a:noFill/>
                  </pic:spPr>
                </pic:pic>
              </a:graphicData>
            </a:graphic>
          </wp:anchor>
        </w:drawing>
      </w:r>
    </w:p>
    <w:p>
      <w:pPr>
        <w:spacing w:after="0" w:line="167"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Section 9 Voting Rights. Except as otherwise provided by the General Corporation Law of the State of Delaware or by the corporation’s certificate of incorporation or any amendments thereto and subject to Section 3 of Article VI hereof, every stockholder shall at every meeting of the stockholders be entitled to one vote in person or by proxy for each share of common stock held by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-322580</wp:posOffset>
            </wp:positionV>
            <wp:extent cx="13989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spacing w:after="0" w:line="14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Section 10 Proxies.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Any proxy is suspended when the person executing the proxy is present at a meeting of stockholders and elects to vote, except that when such proxy is coupled with an interest and the fact of the interest appears on the face of the proxy, the agent named in the proxy shall have all voting and other rights referred to in the proxy, notwithstanding the presence of the person executing the proxy.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-1275080</wp:posOffset>
            </wp:positionV>
            <wp:extent cx="1171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Section 11 Action by Written Consent. Unless otherwise provided in the corporation’s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and bearing the dates of signature of the stockholders who signed the consent or consents,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 or books in which proceedings of meetings of the stockholders are recorded. Delivery made to the corporation’s registered office shall be by hand or by certified or registered mail, return receipt requested or by reputable overnight courier service. All consents properly delivered in accordance with this section shall be deemed to be recorded when so delivered. No written consent shall be effective to take the corporate action referred to therein unless, within 60 days after the earliest dated consent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Any action taken pursuant to such written consent or consents of the stockholders shall have the same force and effect as if taken by the stockholders at a meeting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-1819275</wp:posOffset>
            </wp:positionV>
            <wp:extent cx="2047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047875"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 w:name="page11"/>
    <w:bookmarkEnd w:id="10"/>
    <w:p>
      <w:pPr>
        <w:ind w:right="1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81"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Action by Facsimile, Email or Other Electronic Transmission Consent. A facsimile, email or other electronic transmission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40335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033520" cy="8890"/>
                    </a:xfrm>
                    <a:prstGeom prst="rect">
                      <a:avLst/>
                    </a:prstGeom>
                    <a:noFill/>
                  </pic:spPr>
                </pic:pic>
              </a:graphicData>
            </a:graphic>
          </wp:anchor>
        </w:drawing>
      </w:r>
    </w:p>
    <w:p>
      <w:pPr>
        <w:spacing w:after="0" w:line="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stockholder or proxyholder (or by any person authorized to act on such person’s behalf) of a proxy or a written consent to an action to be taken (including the delivery of such a document in the .pdf, .tif, .gif, .peg or similar format attached to an email message) shall be deemed to be written, signed, dated and delivered to the corporation for the purposes of this Article;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facsimile, email or other electronic transmission sets forth or is delivered with information from which the corporation can determine (A) that the facsimile, email or other electronic transmission was transmitted by the stockholder or proxyholder or by a person authorized to act for the stockholder or proxyholder and (B) the date on which such stockholder or proxyholder or authorized person transmitted such facsimile, email or other electronic transmission. The date on which such facsimile, email or other electronic transmission is transmitted shall be deemed to be the date on which such consent or proxy was signed. Any such facsimile, email or other electronic transmission of a consent or proxy shall be treated in all respects as an original executed consent or proxy and shall be considered to have the same binding legal effect as if it were the original signed version thereof delivered in person. At the request of the board of directors or the Secretary of the corporation, each stockholder, proxyholder or other authorized person who delivered a consent or proxy by facsimile, email or other electronic transmission shall re-execute the original form thereof and deliver such original to the corporation at its registered office in the State of Delaware, its principal place of business or to an officer or agent of the corporation having custody of the book in which proceedings of meetings of stockholders are recorded. No consent given by facsimile, email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General Powers. The business and affairs of the corporation shall be managed by or under the direction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14979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pacing w:after="0" w:line="205"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Section 2 Number, Election and Term of Office. The number of directors which shall constitute the board shall be five (5). Thereafter, the number of directors shall be established from time to time by resolution of the board. The directors shall be elected by a plurality of the votes of the shares present in person or represented by proxy at the meeting and entitled to vote in the election of directors. The directors shall be elected in this manner at the annual meeting of the stockholders, except as otherwise provided in Section 4 of this Article III. Each director elected shall hold office until a successor is duly elected and qualified or until his or her earlier death, resignation or removal as hereinafter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-592455</wp:posOffset>
            </wp:positionV>
            <wp:extent cx="24834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483485" cy="8890"/>
                    </a:xfrm>
                    <a:prstGeom prst="rect">
                      <a:avLst/>
                    </a:prstGeom>
                    <a:noFill/>
                  </pic:spPr>
                </pic:pic>
              </a:graphicData>
            </a:graphic>
          </wp:anchor>
        </w:drawing>
      </w:r>
    </w:p>
    <w:p>
      <w:pPr>
        <w:spacing w:after="0" w:line="153"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Section 3 Removal and Resignation. Any director or the entire board of directors may be removed at any time, with or without cause, by the holders of a majority of the shares then entitled to vote at an election of directors. Whenever the holders of any class or series are entitled to elect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-211455</wp:posOffset>
            </wp:positionV>
            <wp:extent cx="1951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951990" cy="8890"/>
                    </a:xfrm>
                    <a:prstGeom prst="rect">
                      <a:avLst/>
                    </a:prstGeom>
                    <a:noFill/>
                  </pic:spPr>
                </pic:pic>
              </a:graphicData>
            </a:graphic>
          </wp:anchor>
        </w:drawing>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1" w:name="page12"/>
    <w:bookmarkEnd w:id="1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by the provisions of the corporation’s certificate of incorporation, the provisions of this section shall apply, in respect to the removal without cause of a director or directors so elected, to the vote of the holders of the outstanding shares of that class or series and not to the vote of the outstanding shares as a whole. Any director may resign at any time upon notice given in writing or by electronic transmission to the corporation.</w:t>
      </w:r>
    </w:p>
    <w:p>
      <w:pPr>
        <w:spacing w:after="0" w:line="1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Section 4 Vacancies. Except as otherwise provided in the corporation’s certificate of incorporation, board vacancies and newly created directorships resulting from any increase in the authorized number of directors may be filled by a majority of the directors then in office, though less than a quorum, or by a sole remaining director. Each director so chosen shall hold office until a successor is duly elected and qualified or until his or her earlier death, resignation or removal as herein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12261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6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Section 5 Annual Meetings. The annual meeting of each newly elected board of directors shall be held without notice (other than notice under these by-laws) immediately after, and at the same place, if any, as the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-182245</wp:posOffset>
            </wp:positionV>
            <wp:extent cx="1555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555750" cy="8890"/>
                    </a:xfrm>
                    <a:prstGeom prst="rect">
                      <a:avLst/>
                    </a:prstGeom>
                    <a:noFill/>
                  </pic:spPr>
                </pic:pic>
              </a:graphicData>
            </a:graphic>
          </wp:anchor>
        </w:drawing>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6 Other Meetings and Notice. Regular meetings, other than the annual meeting, of the board of directors may be held without notice at such time and at such place, if any, as shall from time to time be determined by resolution of the board of directors and promptly communicated to all directors then in office. Special meetings of the board of directors may be called by or at the request of the president or any director on at least 24 hours notice to each director, either personally, by telephone, by mail or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20123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012315" cy="8890"/>
                    </a:xfrm>
                    <a:prstGeom prst="rect">
                      <a:avLst/>
                    </a:prstGeom>
                    <a:noFill/>
                  </pic:spPr>
                </pic:pic>
              </a:graphicData>
            </a:graphic>
          </wp:anchor>
        </w:drawing>
      </w:r>
    </w:p>
    <w:p>
      <w:pPr>
        <w:spacing w:after="0" w:line="16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Section 7 Quorum, Required Vote and Adjournment. A majority of the total number of directors then in office authorized shall 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 Except as otherwise required by the corporation’s certificate of incorporation, each director shall be entitled to one vote on exactly the matter presented to the board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-592455</wp:posOffset>
            </wp:positionV>
            <wp:extent cx="2694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694305" cy="8890"/>
                    </a:xfrm>
                    <a:prstGeom prst="rect">
                      <a:avLst/>
                    </a:prstGeom>
                    <a:noFill/>
                  </pic:spPr>
                </pic:pic>
              </a:graphicData>
            </a:graphic>
          </wp:anchor>
        </w:drawing>
      </w:r>
    </w:p>
    <w:p>
      <w:pPr>
        <w:spacing w:after="0" w:line="15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Section 8 Committees. The board of directors may, by resolution passed by a majority of the whole board, designate one or more committees, each committee to consist of one or more of the directors of the corporation, which to the extent provided in such resolution or these by-laws shall have and may exercise the powers of the board of directors in the management and affairs of the corporation, except as otherwise limited 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-734695</wp:posOffset>
            </wp:positionV>
            <wp:extent cx="13239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14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9 Committee Rules.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 majority of the members of the committee then in office shall be necessary to constitute a quorum. In the event that a member and that member’s alternate, if alternates are designated by the board of directors as provided in Section 8 of this Article III,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-856615</wp:posOffset>
            </wp:positionV>
            <wp:extent cx="1568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2" w:name="page13"/>
    <w:bookmarkEnd w:id="12"/>
    <w:p>
      <w:pPr>
        <w:ind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10 Communications Equipment. Members of the board of directors or any committee thereof may participate in and act at any meeting of such board or committee by means of conference telephone or other communications equipment by means of which all persons participating in the meeting can hear each other, and participation in the meeting pursuant to this section shall constitute presence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-322580</wp:posOffset>
            </wp:positionV>
            <wp:extent cx="2139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139950" cy="8890"/>
                    </a:xfrm>
                    <a:prstGeom prst="rect">
                      <a:avLst/>
                    </a:prstGeom>
                    <a:noFill/>
                  </pic:spPr>
                </pic:pic>
              </a:graphicData>
            </a:graphic>
          </wp:anchor>
        </w:drawing>
      </w:r>
    </w:p>
    <w:p>
      <w:pPr>
        <w:spacing w:after="0" w:line="146"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Waiver of Notice and Presumption of Assent. Any member of the board of directors or any committee thereof who is present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28638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863850" cy="8890"/>
                    </a:xfrm>
                    <a:prstGeom prst="rect">
                      <a:avLst/>
                    </a:prstGeom>
                    <a:noFill/>
                  </pic:spPr>
                </pic:pic>
              </a:graphicData>
            </a:graphic>
          </wp:anchor>
        </w:drawing>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9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12 Action by Written Consent. Unless otherwise restricted by the corporation’s certificate of incorporation,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-582295</wp:posOffset>
            </wp:positionV>
            <wp:extent cx="205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052320" cy="8890"/>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Section 1 Number. The officers of the corporation shall be elected by the board of directors and shall consist of a chief executive officer, a president, one or more vice-presidents, a chief financial officer, a treasurer, a secretary, and such other officers and assistant officers as may be deemed necessary or desirable by the board of directors. Any number of offices may be held by the same person. In its discretion, the board of directors may choose not to fill any office for any period as it may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11455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2 Election and Term of Office. The officers of the corporation shall be elected annually by the board of directors at its first meeting held after each annual meeting of stockholders or as soon thereafter as conveniently may be. Vacancies may be filled or new offices created and filled at any meeting of the board of directors. Each officer shall hold office until a successor is duly elected and qualified or until his or her earlier death, resignation or removal as hereinafter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2056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56130" cy="8890"/>
                    </a:xfrm>
                    <a:prstGeom prst="rect">
                      <a:avLst/>
                    </a:prstGeom>
                    <a:noFill/>
                  </pic:spPr>
                </pic:pic>
              </a:graphicData>
            </a:graphic>
          </wp:anchor>
        </w:drawing>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Section 3 Removal. Any officer or agent elected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-312420</wp:posOffset>
            </wp:positionV>
            <wp:extent cx="1184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3" w:name="page14"/>
    <w:bookmarkEnd w:id="13"/>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 Vacancies. Any vacancy occurring in any office because of death, resignation, removal, disqualification or otherwise, may be filled by the board of directors for the unexpired portion of the term by the board of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-182245</wp:posOffset>
            </wp:positionV>
            <wp:extent cx="12261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15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Section 5 Compensation. Compensation of all officers shall be fixed by the board of directors, and no officer shall be prevented from receiving such compensation by virtue of his or her also being a director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-182245</wp:posOffset>
            </wp:positionV>
            <wp:extent cx="14319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5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6 Chief Executive Officer. The chief executive officer shall have the powers and perform the duties incident to that position. Subject to the powers of the board of directors, the chief executive officer shall be in the general and active charge of the entire business and affairs of the corporation, and shall be its chief policy making officer. The chief executive officer shall have such other powers and perform such other duties as may be prescribed by the board of directors or provided in these by-laws. The chief executive officer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Whenever the president is unable to serve, by reason of sickness, absence or otherwise, the chief executive officer shall perform all the duties and responsibilities and exercise all the powers of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-991870</wp:posOffset>
            </wp:positionV>
            <wp:extent cx="18675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spacing w:after="0" w:line="1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Section 7 The President. The president shall be subject to the powers of the board of directors and have general charge of the business, affairs and property of the corporation, and control over its officers, agents and employees; and shall see that all orders and resolutions of the board of directors are carried into effect.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have such other powers and perform such other duties as may be prescribed by the board of directors or as may be provided in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-716915</wp:posOffset>
            </wp:positionV>
            <wp:extent cx="14008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spacing w:after="0" w:line="17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Section 8 Vice-presidents. The vice-president, or if there shall be more than one, the vice-presidents in the order determined by the board of directors, shall, in the absence or disability of the president, act with all of the powers and be subject to all the restrictions of the president. The vice-presidents shall also perform such other duties and have such other powers as the board of directors, the president or these by-laws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-446405</wp:posOffset>
            </wp:positionV>
            <wp:extent cx="1479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79550" cy="8890"/>
                    </a:xfrm>
                    <a:prstGeom prst="rect">
                      <a:avLst/>
                    </a:prstGeom>
                    <a:noFill/>
                  </pic:spPr>
                </pic:pic>
              </a:graphicData>
            </a:graphic>
          </wp:anchor>
        </w:drawing>
      </w:r>
    </w:p>
    <w:p>
      <w:pPr>
        <w:spacing w:after="0" w:line="16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Section 9 The Chief Financial Officer. The chief financial officer of the corporation shall, under the direction of the chief executive officer, be responsible for all financial and accounting matters and for the direction of the offices of treasurer and controller. The chief financial officer shall have such other powers and perform such other duties as may be prescribed by the president or the board of directors or as may be provided in these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-334645</wp:posOffset>
            </wp:positionV>
            <wp:extent cx="20681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068195" cy="8890"/>
                    </a:xfrm>
                    <a:prstGeom prst="rect">
                      <a:avLst/>
                    </a:prstGeom>
                    <a:noFill/>
                  </pic:spPr>
                </pic:pic>
              </a:graphicData>
            </a:graphic>
          </wp:anchor>
        </w:drawing>
      </w:r>
    </w:p>
    <w:p>
      <w:pPr>
        <w:spacing w:after="0" w:line="12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Section 10 Treasurer. The treasurer shall have the custody of the corporate funds and securities; shall keep full and accurate accounts of receipts and disbursements in books belonging to the corporation; shall deposit all monies and other valuable effects in the name and to the credit of the corporation as may be ordered by the board of directors; shall cause the funds of the corporation to be disbursed when such disbursements have been duly authorized, taking proper vouchers for such disbursements; and shall render to the president and the board of directors, at its regular meeting or when the board of directors so requires, an account of the corporation; shall have such powers and perform such duties as the board of directors, the president or these by-laws may, from time to time, prescribe. If required by the board of directors, the treasurer shall give the corporation a bond (which shall be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-734695</wp:posOffset>
            </wp:positionV>
            <wp:extent cx="12604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4" w:name="page15"/>
    <w:bookmarkEnd w:id="14"/>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six years) in such sums and with such surety or sureties as shall be satisfactory to the board of directors for the faithful performance of the duties of the office of treasurer and for the restoration to the corporation, in case of death, resignation, retirement, or removal from office, of all books, papers, vouchers, money, and other property of whatever kind in the possession or under the control of the treasurer belonging to the corporation. The treasurer shall perform such other duties and have such other powers as the board of directors or the president may, from time to time, prescribe.</w:t>
      </w:r>
    </w:p>
    <w:p>
      <w:pPr>
        <w:spacing w:after="0" w:line="17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Section 11 Secretary and Assistant Secretaries. The secretary shall attend all meetings of the board of directors, all meetings of the committees thereof and all meetings of the stockholders and record all the proceedings of the meetings in a book or books to be kept for that purpose. Under the president’s supervision, the secretary shall give, or cause to be given, all notices required to be given by these by-laws or by law, shall have such powers and perform such duties as the board of directors, the president or these by-laws may, from time to time, prescribe, and shall have custody of the corporate seal of the corporation. The secretary, or any assistant secretary shall have authority to affix the corporate seal to any instrument requiring it and when so affixed, it (if any)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or the president, or secretary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-1275080</wp:posOffset>
            </wp:positionV>
            <wp:extent cx="24269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8"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Other Officers, Assistant Officers and Agents. Officers, assistant officers and agents, if any, other than those whose duties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29063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906395" cy="8890"/>
                    </a:xfrm>
                    <a:prstGeom prst="rect">
                      <a:avLst/>
                    </a:prstGeom>
                    <a:noFill/>
                  </pic:spPr>
                </pic:pic>
              </a:graphicData>
            </a:graphic>
          </wp:anchor>
        </w:drawing>
      </w:r>
    </w:p>
    <w:p>
      <w:pPr>
        <w:spacing w:after="0" w:line="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provided for in these by-laws, shall have such authority and perform such duties as may from time to time be prescribed by resolution of the board of directors.</w:t>
      </w:r>
    </w:p>
    <w:p>
      <w:pPr>
        <w:spacing w:after="0" w:line="18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Section 13 Absence or Disability of Officers. In the case of the absence or disability of any officer of the corporation and of 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-312420</wp:posOffset>
            </wp:positionV>
            <wp:extent cx="23437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343785"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 OF OFFICERS, DIRECTORS AND OTHERS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 Right to Indemnification. Each person who was or is made a party or is threatened to be made a party to or is otherwise involved in any action, suit or proceeding, whether civil, criminal, administrative or investigative (hereinafter a “proceeding”),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(hereinafter an “indemnitee”), where the basis of such proceeding is alleged action in an official capacity as a director, officer, employee or agent, shall be indemnified and held harmless by the corporation to the fullest extent authorized by the General Corporation Law of the State of Delaware, as the same exists or may hereafter be amended (but, in the ease of any such amendment, only to the extent that such amendment permits the corporation to provide broader indemnification rights than permitted prior thereto), against all expense, liability and loss (including attorneys’ fees, judgments, fines, ERISA 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Section 3 of this Article with respect to proceedings to enforce rights to indemnification, the corporation shall indemnify any such indemnitee in connection with a proceeding (or part thereof) initiated by such indemnitee only if such proceeding (or part thereof) was authorized by the board of directors. The corporation is permitted to enter into indemnification agreements with its directors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-1688465</wp:posOffset>
            </wp:positionV>
            <wp:extent cx="1929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 w:name="page16"/>
    <w:bookmarkEnd w:id="15"/>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Right to Advancement of Expenses. The right to indemnification conferred in Section 1 of this Article shall include the right to be paid by the corporation the expenses incurred in defending any proceeding for which such right to indemnification is applicable in advance of its final disposition (hereinafter an “advancement of expenses”); provided, however, that, if the General Corporation Law of the State of Delaware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-991870</wp:posOffset>
            </wp:positionV>
            <wp:extent cx="23901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390140" cy="8890"/>
                    </a:xfrm>
                    <a:prstGeom prst="rect">
                      <a:avLst/>
                    </a:prstGeom>
                    <a:noFill/>
                  </pic:spPr>
                </pic:pic>
              </a:graphicData>
            </a:graphic>
          </wp:anchor>
        </w:drawing>
      </w:r>
    </w:p>
    <w:p>
      <w:pPr>
        <w:spacing w:after="0" w:line="17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3 Right of Indemnitee to Bring Suit. The rights to indemnification and to the advancement of expenses conferred in Sections 1 and 2 of this Article, respectively, shall be contract rights. If a claim under Sections 1 or 2 of this Article is not paid in full by the corporation within sixty days after a written claim has been received by the corporation, except in the case of a claim for an advancement of expenses, in which case the applicable period shall be twenty days, the indemnitee may at any time thereafter bring suit against the corporation to recover the unpaid amount of the claim. If successful in whole or in part in any such suit, or in a suit brought by the corporation to recover an advancement, if expenses pursuant to the terms of an undertaking, the indemnitee shall be entitled to be paid also the expense of prosecuting or defending such suit. In (A) any suit brought by the indemnitee to enforce a right to indemnification hereunder (but not in a suit brought by the indemnitee to enforce a right to an advancement of expenses) it shall be a defense that, and (B) in any suit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3 or otherwise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-2237105</wp:posOffset>
            </wp:positionV>
            <wp:extent cx="2310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310765" cy="8890"/>
                    </a:xfrm>
                    <a:prstGeom prst="rect">
                      <a:avLst/>
                    </a:prstGeom>
                    <a:noFill/>
                  </pic:spPr>
                </pic:pic>
              </a:graphicData>
            </a:graphic>
          </wp:anchor>
        </w:drawing>
      </w:r>
    </w:p>
    <w:p>
      <w:pPr>
        <w:spacing w:after="0" w:line="371"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Non-Exclusivity of Rights. The rights to indemnification and to the advancement of expenses conferred in this Article V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20059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exclusive of any other right which any person may have or hereafter acquire under the Certificate of Incorporation, these Bylaws, or any statute, agreement, vote of stockholders or disinterested directors or otherwise.</w:t>
      </w:r>
    </w:p>
    <w:p>
      <w:pPr>
        <w:spacing w:after="0" w:line="184"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Section 5 Insurance.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-334645</wp:posOffset>
            </wp:positionV>
            <wp:extent cx="12153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6" w:name="page17"/>
    <w:bookmarkEnd w:id="16"/>
    <w:p>
      <w:pPr>
        <w:ind w:right="2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Amendment of Rights. Any amendment, alteration or repeal of this Article V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-312420</wp:posOffset>
            </wp:positionV>
            <wp:extent cx="1781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781175" cy="8890"/>
                    </a:xfrm>
                    <a:prstGeom prst="rect">
                      <a:avLst/>
                    </a:prstGeom>
                    <a:noFill/>
                  </pic:spPr>
                </pic:pic>
              </a:graphicData>
            </a:graphic>
          </wp:anchor>
        </w:drawing>
      </w:r>
    </w:p>
    <w:p>
      <w:pPr>
        <w:spacing w:after="0" w:line="16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Section 7 Indemnification of Employees and Agents of the corporation. The corporation may, to the extent authorized from time to time by the board of directors, grant rights to indemnification, and to the advancement of expenses, to any employee or agent of the corporation to the fullest extent of the provisions of this Section with respect to the indemnification and advancement of expenses of directors and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-322580</wp:posOffset>
            </wp:positionV>
            <wp:extent cx="3554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554730" cy="8890"/>
                    </a:xfrm>
                    <a:prstGeom prst="rect">
                      <a:avLst/>
                    </a:prstGeom>
                    <a:noFill/>
                  </pic:spPr>
                </pic:pic>
              </a:graphicData>
            </a:graphic>
          </wp:anchor>
        </w:drawing>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CERTIFICATES OF STOCK</w:t>
      </w:r>
    </w:p>
    <w:p>
      <w:pPr>
        <w:spacing w:after="0" w:line="21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Section 1 Form. Shares of stock of the corporation may be certificated or uncertificated, as provided under the General Corporation Law of the State of Delaware. If such shares are certificated, every holder of stock in the corporation shall be entitled to have a certificate, signed by, or in the name of the corporation by any two (2) duly appointed officers of the corporation, certifying the number of shares owned by such holder in the corporation. If such a certificate is countersigned (1) by a transfer agent or an assistant transfer agent other than the corporation or its employee or (2) by a registrar, other than the corporation or its employee, the signature of any such duly appointed officers may be facsimiles.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facsimile signature or signatures have been used thereon had not ceased to be such officer or officers of the corporation. All certificates for shares shall be consecutively numbered or otherwise identified. The name of the person to whom the shares represented thereby are issued, with the number of shares and date of issue, shall be entered on the books of the corporation. Shares of stock of the corporation shall only be transferred on the books of the corporation by the holder of record thereof or by such holder’s attorney duly authorized in writing, upon surrender to the corporation of the certificate or certificates for such shares endorsed by the appropriate person or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 or certificates, and record the transaction on its books.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-2237105</wp:posOffset>
            </wp:positionV>
            <wp:extent cx="1019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019175" cy="8890"/>
                    </a:xfrm>
                    <a:prstGeom prst="rect">
                      <a:avLst/>
                    </a:prstGeom>
                    <a:noFill/>
                  </pic:spPr>
                </pic:pic>
              </a:graphicData>
            </a:graphic>
          </wp:anchor>
        </w:drawing>
      </w:r>
    </w:p>
    <w:p>
      <w:pPr>
        <w:spacing w:after="0" w:line="15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Section 2 Lost Certificates. The board of directors may direct a new certificate or certificates to be issued in place of any certificate or certificates previously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-725805</wp:posOffset>
            </wp:positionV>
            <wp:extent cx="15297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529715" cy="8890"/>
                    </a:xfrm>
                    <a:prstGeom prst="rect">
                      <a:avLst/>
                    </a:prstGeom>
                    <a:noFill/>
                  </pic:spPr>
                </pic:pic>
              </a:graphicData>
            </a:graphic>
          </wp:anchor>
        </w:drawing>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7" w:name="page18"/>
    <w:bookmarkEnd w:id="17"/>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 Fixing a Record Date for Stockholder Meetings.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the close of business on the next day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that the board of directors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-991870</wp:posOffset>
            </wp:positionV>
            <wp:extent cx="29489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72"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Section 4 Fixing a Record Date for Action by Written Consent.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-1409065</wp:posOffset>
            </wp:positionV>
            <wp:extent cx="31705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70555" cy="8890"/>
                    </a:xfrm>
                    <a:prstGeom prst="rect">
                      <a:avLst/>
                    </a:prstGeom>
                    <a:noFill/>
                  </pic:spPr>
                </pic:pic>
              </a:graphicData>
            </a:graphic>
          </wp:anchor>
        </w:drawing>
      </w:r>
    </w:p>
    <w:p>
      <w:pPr>
        <w:spacing w:after="0" w:line="16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Section 5 Fixing a Record Date for Other Purposes. In order that the corporation may determine the stockholders entitled to receive payment of any dividend or other distribution or allotment or any rights or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-716915</wp:posOffset>
            </wp:positionV>
            <wp:extent cx="26441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44140" cy="8890"/>
                    </a:xfrm>
                    <a:prstGeom prst="rect">
                      <a:avLst/>
                    </a:prstGeom>
                    <a:noFill/>
                  </pic:spPr>
                </pic:pic>
              </a:graphicData>
            </a:graphic>
          </wp:anchor>
        </w:drawing>
      </w:r>
    </w:p>
    <w:p>
      <w:pPr>
        <w:spacing w:after="0" w:line="173"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Section 6 Registered Stockholders. Prior to the surrender to the corporation of the certificate or certificates for a share or shares of stock with a request to record the transfer of such share or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-466725</wp:posOffset>
            </wp:positionV>
            <wp:extent cx="18853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885315" cy="8890"/>
                    </a:xfrm>
                    <a:prstGeom prst="rect">
                      <a:avLst/>
                    </a:prstGeom>
                    <a:noFill/>
                  </pic:spPr>
                </pic:pic>
              </a:graphicData>
            </a:graphic>
          </wp:anchor>
        </w:drawing>
      </w:r>
    </w:p>
    <w:p>
      <w:pPr>
        <w:spacing w:after="0" w:line="13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Section 7 Subscriptions for Stock.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-466725</wp:posOffset>
            </wp:positionV>
            <wp:extent cx="18446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844675" cy="8890"/>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Section 1 Dividends. Dividends upon the capital stock of the corporation, subject to the provisions of the corporation’s certificate of incorporation, if any, may be declared by the board of directors at any regular or special meeting, pursuant to law. Dividends may be paid in cash, in property, or in shares of the capital stock, subject to the provisions of the corporation’s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-725805</wp:posOffset>
            </wp:positionV>
            <wp:extent cx="12414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Section 2 Checks, Drafts or Orders.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-312420</wp:posOffset>
            </wp:positionV>
            <wp:extent cx="1913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913890" cy="8890"/>
                    </a:xfrm>
                    <a:prstGeom prst="rect">
                      <a:avLst/>
                    </a:prstGeom>
                    <a:noFill/>
                  </pic:spPr>
                </pic:pic>
              </a:graphicData>
            </a:graphic>
          </wp:anchor>
        </w:drawing>
      </w:r>
    </w:p>
    <w:p>
      <w:pPr>
        <w:spacing w:after="0" w:line="16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Section 3 Contracts. The board of directors may authorize any officer or officers, or any agent or agents, of the corporation to enter into any contract or to execute and deliver any instrument in the name of and on behalf of the corporation, and such authority may be general or confined to specific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-312420</wp:posOffset>
            </wp:positionV>
            <wp:extent cx="1209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4 Loans. 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-716915</wp:posOffset>
            </wp:positionV>
            <wp:extent cx="10509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173"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Fiscal Year. The fiscal year of the corporation shall be fixed by resolution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12833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20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Section 6 Corporate Seal. The board of directors shall provide a corporate seal which shall be in the form of a circle and shall have inscribed thereon the name of the corporation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-312420</wp:posOffset>
            </wp:positionV>
            <wp:extent cx="14535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53515" cy="8890"/>
                    </a:xfrm>
                    <a:prstGeom prst="rect">
                      <a:avLst/>
                    </a:prstGeom>
                    <a:noFill/>
                  </pic:spPr>
                </pic:pic>
              </a:graphicData>
            </a:graphic>
          </wp:anchor>
        </w:drawing>
      </w:r>
    </w:p>
    <w:p>
      <w:pPr>
        <w:spacing w:after="0" w:line="161"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Voting Securities Owned By Corporation. Voting securities in any other corporation or other entity (such as a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2653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653030" cy="8890"/>
                    </a:xfrm>
                    <a:prstGeom prst="rect">
                      <a:avLst/>
                    </a:prstGeom>
                    <a:noFill/>
                  </pic:spPr>
                </pic:pic>
              </a:graphicData>
            </a:graphic>
          </wp:anchor>
        </w:drawing>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company, limited partnership or trust) held by the corporation shall be voted as directed by the board of directors,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9" w:name="page20"/>
    <w:bookmarkEnd w:id="19"/>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Inspection of Books and Records.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-734695</wp:posOffset>
            </wp:positionV>
            <wp:extent cx="22885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4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Section 9 Exclusive Jurisdiction. Unless otherwise waived by resolution of the Board, the Court of Chancery of the State of Delaware shall be the sole and exclusive forum for (i) any derivative action or proceeding brought on behalf of the corporation, (ii) any action asserting a claim of breach of a fiduciary duty owed by any director or officer of the corporation to the corporation or the corporation’s stockholders, (iii) any action asserting a claim against the corporation arising pursuant to any provision of the General Corporation Law of the State of Delaware or the corporation’s certificate of incorporation or by-laws or (iv) any action asserting a claim against the corporation governed by the internal affairs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-592455</wp:posOffset>
            </wp:positionV>
            <wp:extent cx="17843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15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Section 10 Section Headings. Section headings in these by-laws are for convenience of reference only and shall not be given any substantive effect in limiting or otherwise construing any provision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-182245</wp:posOffset>
            </wp:positionV>
            <wp:extent cx="16313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150"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Inconsistent Provisions. In the event that any provision of these by-laws is or becomes inconsistent with any provision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-10160</wp:posOffset>
            </wp:positionV>
            <wp:extent cx="18878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887855" cy="8890"/>
                    </a:xfrm>
                    <a:prstGeom prst="rect">
                      <a:avLst/>
                    </a:prstGeom>
                    <a:noFill/>
                  </pic:spPr>
                </pic:pic>
              </a:graphicData>
            </a:graphic>
          </wp:anchor>
        </w:drawing>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corporation’s certificate of 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HGGC Successfully Completes Tender Offer for Outstanding Shares of RPX</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SAN FRANCISCO and PALO ALTO</w:t>
      </w:r>
      <w:r>
        <w:rPr>
          <w:rFonts w:ascii="Arial" w:cs="Arial" w:eastAsia="Arial" w:hAnsi="Arial"/>
          <w:sz w:val="18"/>
          <w:szCs w:val="18"/>
          <w:color w:val="auto"/>
        </w:rPr>
        <w:t>,</w:t>
      </w:r>
      <w:r>
        <w:rPr>
          <w:rFonts w:ascii="Arial" w:cs="Arial" w:eastAsia="Arial" w:hAnsi="Arial"/>
          <w:sz w:val="18"/>
          <w:szCs w:val="18"/>
          <w:b w:val="1"/>
          <w:bCs w:val="1"/>
          <w:color w:val="auto"/>
        </w:rPr>
        <w:t xml:space="preserve"> Calif., June 19, 2018 </w:t>
      </w:r>
      <w:r>
        <w:rPr>
          <w:rFonts w:ascii="Arial" w:cs="Arial" w:eastAsia="Arial" w:hAnsi="Arial"/>
          <w:sz w:val="18"/>
          <w:szCs w:val="18"/>
          <w:color w:val="auto"/>
        </w:rPr>
        <w:t>—RPX Corporation (NASDAQ: RPXC) (“RPX”) and HGGC, LLC (“HGGC”)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that HGGC’s affiliate, Riptide Purchaser, Inc. (“Purchaser”), has successfully completed the previously announced tender offer (the “Offer”) to acquire all outstanding shares of RPX’s common stock at a purchase price of $10.50 per share, net to the seller in cash, subject to reduction for any applicable withholding taxes in respect thereof, without interest.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Offer expired as scheduled at one minute after 11:59 p.m., New York City time, on June 18, 2018. As of the expiration of the Offer, 34,330,652 shares of common stock of RPX were validly tendered into and not validly withdrawn from the Offer (not including 910,497 shares tendered pursuant to notices of guaranteed delivery), representing approximately 68% of RPX’s outstanding shares. The condition to the Offer that a number of shares that, when added to the shares already owned by Purchaser and Riptide Parent, LLC (“Parent”) or their respective affiliates, represents in the aggregate at least one share more than 50% of the then-outstanding shares of RPX’s common stock (including shares underlying certain stock options) be validly tendered and received and not validly withdrawn prior to the expiration of the Offer was satisfied, and, accordingly, all shares that were validly tendered and not validly withdrawn prior to the expiration of the Offer were accepted for payment. Parent is promptly paying for all such tendered shares in accordance with the terms of the Offer.</w:t>
      </w:r>
    </w:p>
    <w:p>
      <w:pPr>
        <w:spacing w:after="0" w:line="16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a result of its acceptance of the shares tendered in the Offer, HGGC has acquired a sufficient number of shares of RPX’s common stock to close the merger of Purchaser with and into RPX, without the affirmative vote of RPX’s other stockholders, pursuant to Section 251(h) of the Delaware General Corporation Law. The merger is expected to be completed today.</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pleased with this result, and we are excited to partner with the RPX management team,” said Rich Lawson, HGGC CEO and Co-Founder. “We look forward to being part of RPX’s future and helping the RPX team continue to serve the best interests of its growing client network.”</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confident that by leveraging the experience and resources of HGGC, we will help RPX achieve its next phase of growth and strengthen its leadership position in patent risk and discovery management services,” said Steven Leistner, HGGC Principal.</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“HGGC’s commitment to our vision, combined with its strong financial support, allows us to invest in opportunities that serve the needs of our clients for the long-term, while continuing to provide the innovative services on which our clients rely,” said Marty Roberts, Chief Executive Officer and President of RPX. “We look forward to working alongside HGGC to achieve the goals of both RPX and Inventus.”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Upon the completion of the merger, RPX will become a wholly owned subsidiary of Parent and a wholly owned portfolio company of HGGC. Each outstanding share of RPX’s common stock that was not validly tendered in the Offer (other than shares owned by Purchaser, Parent, RPX (as treasury stock), any wholly owned subsidiary of Parent or RPX, or by any stockholder of RPX who is entitled to and properly demands and perfects appraisal of such shares pursuant to, and complies in all respects with, the applicable provisions of Delaware law) will be cancelled and converted into the right to receive an amount in cash equal to the same $10.50 offer price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1" w:name="page22"/>
    <w:bookmarkEnd w:id="2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to the seller, subject to reduction for any applicable withholding taxes in respect thereof, without interest. In addition, the parties anticipate that the common stock of RPX will cease to be traded on the NASDAQ at the close of market on June 19, 2018, following the completion of the merger, unless the merger is completed prior to the NASDAQ opening today, in which case the stock will not trade today. A notice of delisting with respect to shares of RPX is expected to be filed promptly by the NASDAQ.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RPX</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RPX (NASDAQ: RPXC) is the leading provider of patent risk and discovery management solutions. Since its founding in 2008, RPX has introduced efficiency to the patent market by providing a rational alternative to litigation. The San Francisco-based company’s pioneering approach combines principal capital, deep patent expertise, and client contributions to generate enhanced patent buying power. By acquiring patents and patent rights, RPX helps to mitigate and manage patent risk for its growing client network.</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March 31, 2018, RPX had invested over $2.4 billion to acquire more than 26,000 US and international patent assets and rights on behalf approximately 320 clients in eight key sectors: automotive, consumer electronics and PCs, E-commerce and software, financial services, media content and distribution, mobile communications and devices, networking, and semiconductors.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RPX subsidiary Inventus is a leading international discovery management provider focused on reducing the costs and risks associated with the discovery process through the effective use of technology solutions. Inventus has been providing litigation support services to corporate legal departments, law firms and government agencies since 1991.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HGGC</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HGGC is a leading middle-market private equity firm with $4.3 billion in cumulative capital commitments. Based in Palo Alto, Calif., HGGC is distinguished by its “Advantaged Investing” approach that enables the firm to source and acquire scalable businesses at attractive multiples through partnerships with management teams, founders and sponsors who reinvest alongside HGGC, creating a strong alignment of interests. Over its history, HGGC has completed over 90 platform investments, add-on acquisitions, recapitalizations and liquidity events with an aggregate transaction value of more than $17 billion. More information is available at www.hggc.com.</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Forward-Looking Statements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press release contains forward-looking statements. When used in this press release, the words “can,” “will,” “believes,” “intends,” “expects,” “is expected,” similar expressions and any other statements that are not historical facts are intended to identify those assertions as forward-looking statements. These forward-looking statements include statements regarding acquisition benefits to HGGC, the expected consummation of the merger, the expected delisting of RPX shares from the NASDAQ and the other risk factors set forth from time to time in RPX’s most recent Annual Report on Form 10-K, RPX’s most recent Quarterly Report on Form 10-Q and RPX’s other filings with the SEC, copies of which are available free of charge at the SEC’s website at www.sec.gov or upon request from RPX’s investor relations department. Such statements are based on a number of assumptions that could ultimately prove inaccurate, and are subject to a number of risks. RPX does not assume any obligation to update any forward-looking statement, whether as a result of new information, future events or otherwise, unless required by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RPX: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JoAnn Horne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Street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415-445-3233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ir@rpxcorp.com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 Costa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RPX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415-852-3180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media@rpxcorp.com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HGGC: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Gabriel Ross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646-502-3576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Gross@StantonPRM.com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20" Type="http://schemas.openxmlformats.org/officeDocument/2006/relationships/hyperlink" Target="http://www.sec.gov/Archives/edgar/data/1509432/000119312518145178/d56055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2019-12-28T21:47:45Z</dcterms:created>
  <dcterms:modified xsi:type="dcterms:W3CDTF">2019-12-28T21:47:45Z</dcterms:modified>
</cp:coreProperties>
</file>