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QUARTERLY REPORT PURSUANT TO SECTION 13 OR 15(d) OF THE SECURITIES EXCHANGE ACT OF 1934</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140" w:hanging="132"/>
        <w:spacing w:after="0"/>
        <w:tabs>
          <w:tab w:leader="none" w:pos="140" w:val="left"/>
        </w:tabs>
        <w:numPr>
          <w:ilvl w:val="0"/>
          <w:numId w:val="1"/>
        </w:numPr>
        <w:rPr>
          <w:rFonts w:ascii="Arial" w:cs="Arial" w:eastAsia="Arial" w:hAnsi="Arial"/>
          <w:sz w:val="21"/>
          <w:szCs w:val="21"/>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TRANSITION REPORT PURSUANT TO SECTION 13 OR 15(d) OF THE SECURITIES EXCHANGE ACT OF 1934</w:t>
      </w:r>
    </w:p>
    <w:p>
      <w:pPr>
        <w:spacing w:after="0" w:line="2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transition period from _____to_____</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Commission File Number: 001-35146</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51435</wp:posOffset>
            </wp:positionV>
            <wp:extent cx="109791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RPX Corporation</w:t>
      </w:r>
    </w:p>
    <w:p>
      <w:pPr>
        <w:spacing w:after="0" w:line="16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380"/>
          </w:cols>
          <w:pgMar w:left="240" w:top="233" w:right="279" w:bottom="1440" w:gutter="0" w:footer="0" w:header="0"/>
        </w:sectPr>
      </w:pPr>
    </w:p>
    <w:p>
      <w:pPr>
        <w:spacing w:after="0" w:line="1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31"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280" w:space="720"/>
            <w:col w:w="338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ONE MARKET PLAZA, SUITE 800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CALIFORNIA 94105</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80"/>
          </w:cols>
          <w:pgMar w:left="240" w:top="233" w:right="279" w:bottom="1440" w:gutter="0" w:footer="0" w:header="0"/>
          <w:type w:val="continuous"/>
        </w:sectPr>
      </w:pP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(866) 779-7641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64" w:lineRule="exact"/>
        <w:rPr>
          <w:sz w:val="24"/>
          <w:szCs w:val="24"/>
          <w:color w:val="auto"/>
        </w:rPr>
      </w:pPr>
    </w:p>
    <w:p>
      <w:pPr>
        <w:jc w:val="both"/>
        <w:ind w:right="1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2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 x ] NO [ ]</w:t>
      </w:r>
    </w:p>
    <w:p>
      <w:pPr>
        <w:spacing w:after="0" w:line="21"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1020" w:type="dxa"/>
            <w:vAlign w:val="bottom"/>
          </w:tcPr>
          <w:p>
            <w:pPr>
              <w:jc w:val="center"/>
              <w:ind w:left="419"/>
              <w:spacing w:after="0"/>
              <w:rPr>
                <w:sz w:val="20"/>
                <w:szCs w:val="20"/>
                <w:color w:val="auto"/>
              </w:rPr>
            </w:pPr>
            <w:r>
              <w:rPr>
                <w:rFonts w:ascii="Arial" w:cs="Arial" w:eastAsia="Arial" w:hAnsi="Arial"/>
                <w:sz w:val="16"/>
                <w:szCs w:val="16"/>
                <w:color w:val="auto"/>
              </w:rPr>
              <w:t>[ x ]</w:t>
            </w:r>
          </w:p>
        </w:tc>
        <w:tc>
          <w:tcPr>
            <w:tcW w:w="4280" w:type="dxa"/>
            <w:vAlign w:val="bottom"/>
          </w:tcPr>
          <w:p>
            <w:pPr>
              <w:spacing w:after="0"/>
              <w:rPr>
                <w:sz w:val="17"/>
                <w:szCs w:val="17"/>
                <w:color w:val="auto"/>
              </w:rPr>
            </w:pPr>
          </w:p>
        </w:tc>
        <w:tc>
          <w:tcPr>
            <w:tcW w:w="2720" w:type="dxa"/>
            <w:vAlign w:val="bottom"/>
          </w:tcPr>
          <w:p>
            <w:pPr>
              <w:ind w:left="40"/>
              <w:spacing w:after="0"/>
              <w:rPr>
                <w:sz w:val="20"/>
                <w:szCs w:val="20"/>
                <w:color w:val="auto"/>
              </w:rPr>
            </w:pPr>
            <w:r>
              <w:rPr>
                <w:rFonts w:ascii="Arial" w:cs="Arial" w:eastAsia="Arial" w:hAnsi="Arial"/>
                <w:sz w:val="16"/>
                <w:szCs w:val="16"/>
                <w:color w:val="auto"/>
              </w:rPr>
              <w:t>Accelerated filer</w:t>
            </w: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432"/>
        </w:trPr>
        <w:tc>
          <w:tcPr>
            <w:tcW w:w="21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 ]</w:t>
            </w:r>
          </w:p>
        </w:tc>
        <w:tc>
          <w:tcPr>
            <w:tcW w:w="4280" w:type="dxa"/>
            <w:vAlign w:val="bottom"/>
          </w:tcPr>
          <w:p>
            <w:pPr>
              <w:ind w:left="100"/>
              <w:spacing w:after="0"/>
              <w:rPr>
                <w:sz w:val="20"/>
                <w:szCs w:val="20"/>
                <w:color w:val="auto"/>
              </w:rPr>
            </w:pPr>
            <w:r>
              <w:rPr>
                <w:rFonts w:ascii="Arial" w:cs="Arial" w:eastAsia="Arial" w:hAnsi="Arial"/>
                <w:sz w:val="16"/>
                <w:szCs w:val="16"/>
                <w:color w:val="auto"/>
              </w:rPr>
              <w:t>(Do not check if a smaller reporting company)</w:t>
            </w:r>
          </w:p>
        </w:tc>
        <w:tc>
          <w:tcPr>
            <w:tcW w:w="2720" w:type="dxa"/>
            <w:vAlign w:val="bottom"/>
          </w:tcPr>
          <w:p>
            <w:pPr>
              <w:ind w:left="40"/>
              <w:spacing w:after="0"/>
              <w:rPr>
                <w:sz w:val="20"/>
                <w:szCs w:val="20"/>
                <w:color w:val="auto"/>
              </w:rPr>
            </w:pPr>
            <w:r>
              <w:rPr>
                <w:rFonts w:ascii="Arial" w:cs="Arial" w:eastAsia="Arial" w:hAnsi="Arial"/>
                <w:sz w:val="16"/>
                <w:szCs w:val="16"/>
                <w:color w:val="auto"/>
              </w:rPr>
              <w:t>Smaller reporting company</w:t>
            </w: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8"/>
        </w:trPr>
        <w:tc>
          <w:tcPr>
            <w:tcW w:w="7420" w:type="dxa"/>
            <w:vAlign w:val="bottom"/>
            <w:gridSpan w:val="3"/>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2720" w:type="dxa"/>
            <w:vAlign w:val="bottom"/>
          </w:tcPr>
          <w:p>
            <w:pPr>
              <w:ind w:left="60"/>
              <w:spacing w:after="0"/>
              <w:rPr>
                <w:sz w:val="20"/>
                <w:szCs w:val="20"/>
                <w:color w:val="auto"/>
              </w:rPr>
            </w:pPr>
            <w:r>
              <w:rPr>
                <w:rFonts w:ascii="Arial" w:cs="Arial" w:eastAsia="Arial" w:hAnsi="Arial"/>
                <w:sz w:val="16"/>
                <w:szCs w:val="16"/>
                <w:color w:val="auto"/>
              </w:rPr>
              <w:t>YES [ ]  NO [ x ]</w:t>
            </w:r>
          </w:p>
        </w:tc>
        <w:tc>
          <w:tcPr>
            <w:tcW w:w="1080" w:type="dxa"/>
            <w:vAlign w:val="bottom"/>
          </w:tcPr>
          <w:p>
            <w:pPr>
              <w:spacing w:after="0"/>
              <w:rPr>
                <w:sz w:val="24"/>
                <w:szCs w:val="24"/>
                <w:color w:val="auto"/>
              </w:rPr>
            </w:pPr>
          </w:p>
        </w:tc>
      </w:tr>
      <w:tr>
        <w:trPr>
          <w:trHeight w:val="243"/>
        </w:trPr>
        <w:tc>
          <w:tcPr>
            <w:tcW w:w="7420" w:type="dxa"/>
            <w:vAlign w:val="bottom"/>
            <w:gridSpan w:val="3"/>
          </w:tcPr>
          <w:p>
            <w:pPr>
              <w:spacing w:after="0"/>
              <w:rPr>
                <w:sz w:val="20"/>
                <w:szCs w:val="20"/>
                <w:color w:val="auto"/>
              </w:rPr>
            </w:pPr>
            <w:r>
              <w:rPr>
                <w:rFonts w:ascii="Arial" w:cs="Arial" w:eastAsia="Arial" w:hAnsi="Arial"/>
                <w:sz w:val="16"/>
                <w:szCs w:val="16"/>
                <w:color w:val="auto"/>
                <w:w w:val="96"/>
              </w:rPr>
              <w:t>There were 49,559,900 shares of the registrant’s common stock issued and outstanding as of July 29, 2016.</w:t>
            </w:r>
          </w:p>
        </w:tc>
        <w:tc>
          <w:tcPr>
            <w:tcW w:w="272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380" w:type="dxa"/>
            <w:vAlign w:val="bottom"/>
            <w:gridSpan w:val="2"/>
            <w:vMerge w:val="restart"/>
          </w:tcPr>
          <w:p>
            <w:pPr>
              <w:spacing w:after="0"/>
              <w:rPr>
                <w:sz w:val="2"/>
                <w:szCs w:val="2"/>
                <w:color w:val="auto"/>
              </w:rPr>
            </w:pPr>
          </w:p>
        </w:tc>
        <w:tc>
          <w:tcPr>
            <w:tcW w:w="966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6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380" w:type="dxa"/>
            <w:vAlign w:val="bottom"/>
            <w:gridSpan w:val="2"/>
          </w:tcPr>
          <w:p>
            <w:pPr>
              <w:spacing w:after="0"/>
              <w:rPr>
                <w:sz w:val="24"/>
                <w:szCs w:val="24"/>
                <w:color w:val="auto"/>
              </w:rPr>
            </w:pP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8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2016 and December 31, 2015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Operations for the Three and Six Months Ended June 30, 2016 and 2015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and Six Months Ended June 30, 2016 and 2015</w:t>
              </w:r>
            </w:hyperlink>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80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2016 and 2015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40" w:type="dxa"/>
            <w:vAlign w:val="bottom"/>
            <w:tcBorders>
              <w:top w:val="single" w:sz="8" w:color="0000EE"/>
            </w:tcBorders>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42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20" w:type="dxa"/>
            <w:vAlign w:val="bottom"/>
            <w:gridSpan w:val="2"/>
          </w:tcPr>
          <w:p>
            <w:pPr>
              <w:spacing w:after="0"/>
              <w:rPr>
                <w:sz w:val="21"/>
                <w:szCs w:val="21"/>
                <w:color w:val="auto"/>
              </w:rPr>
            </w:pPr>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tcBorders>
              <w:left w:val="single" w:sz="8" w:color="0000EE"/>
            </w:tcBorders>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PART II</w:t>
              </w:r>
            </w:hyperlink>
          </w:p>
        </w:tc>
        <w:tc>
          <w:tcPr>
            <w:tcW w:w="320" w:type="dxa"/>
            <w:vAlign w:val="bottom"/>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OTHER INFORMATION</w:t>
              </w:r>
            </w:hyperlink>
          </w:p>
        </w:tc>
        <w:tc>
          <w:tcPr>
            <w:tcW w:w="778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1"/>
                <w:szCs w:val="21"/>
                <w:color w:val="auto"/>
              </w:rPr>
            </w:pPr>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734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79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Signatures</w:t>
              </w:r>
            </w:hyperlink>
          </w:p>
        </w:tc>
        <w:tc>
          <w:tcPr>
            <w:tcW w:w="890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rPr>
              <w:t>PART I. FINANCIAL INFORMATION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Item1.</w:t>
            </w:r>
          </w:p>
        </w:tc>
        <w:tc>
          <w:tcPr>
            <w:tcW w:w="302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 (unaudited)</w:t>
            </w: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5"/>
              </w:rPr>
              <w:t>RPX Corporation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88"/>
              </w:rPr>
              <w:t>(in thousands)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1"/>
              </w:rPr>
              <w:t>(unaudited)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94,983</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231,015</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13,905</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12,643</w:t>
            </w: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current assets</w:t>
            </w:r>
          </w:p>
        </w:tc>
        <w:tc>
          <w:tcPr>
            <w:tcW w:w="4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258,502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353,247</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Patent assets, net</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254,560</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4,733</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160,122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19,978</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 less current portion</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tax assets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16,619</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6,896</w:t>
            </w:r>
          </w:p>
        </w:tc>
      </w:tr>
      <w:tr>
        <w:trPr>
          <w:trHeight w:val="297"/>
        </w:trPr>
        <w:tc>
          <w:tcPr>
            <w:tcW w:w="378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Total assets</w:t>
            </w:r>
          </w:p>
        </w:tc>
        <w:tc>
          <w:tcPr>
            <w:tcW w:w="45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737,101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658,561</w:t>
            </w:r>
          </w:p>
        </w:tc>
      </w:tr>
      <w:tr>
        <w:trPr>
          <w:trHeight w:val="237"/>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Accrued liabilities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14,842</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110,921</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Deferred payment obligations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2,383</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467</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129,572</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revenue, less current portion</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4,731</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4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7,779</w:t>
            </w: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liabilities</w:t>
            </w:r>
          </w:p>
        </w:tc>
        <w:tc>
          <w:tcPr>
            <w:tcW w:w="4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250,572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142,082</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351,577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344,610</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172,115</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loss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4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486,529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516,479</w:t>
            </w:r>
          </w:p>
        </w:tc>
      </w:tr>
      <w:tr>
        <w:trPr>
          <w:trHeight w:val="250"/>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58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737,101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8890</wp:posOffset>
            </wp:positionV>
            <wp:extent cx="1946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-130175</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150,838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49,070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71,744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38,456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 net</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41,230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interest and other income (expense), net</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42,285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26,061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5"/>
              </w:rPr>
              <w:t>Weighted-average shares used in computing net income per share: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51,034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54,490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51,548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54,334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51,557</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55,687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52,089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55,457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4,150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Unrealized holding gains (losses) on available-for-sale securities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arising during the period, net of tax</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(7,411)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25,929</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495"/>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8,387</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26,061</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85,585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69,991</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8,525</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Excess tax benefit from stock-based compensation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(1,195)</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on sale of patent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Amortization of premium on investments</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972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3,181</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Unrealized foreign currency loss</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1,213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Fair value adjustments on deferred payment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(705)</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Gain on extinguishment of deferred payment obligation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Realized loss on exchange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Other</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Changes in assets and liabilities, net of business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Accounts receivable,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(15,207)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13,203</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(12,097)</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418</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Accrued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(4,850)</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Deferred revenue</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7,379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6,314</w:t>
            </w:r>
          </w:p>
        </w:tc>
      </w:tr>
      <w:tr>
        <w:trPr>
          <w:trHeight w:val="31"/>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108,068</w:t>
            </w:r>
          </w:p>
        </w:tc>
      </w:tr>
      <w:tr>
        <w:trPr>
          <w:trHeight w:val="233"/>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(137,663)</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Maturities of investments</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42,393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100,548</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Sales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Business acquisition, net of cash acquired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(228,453)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(425)</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Decrease in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269</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property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(1,134)</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Acquisitions of patent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(48,936)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sale of patent assets</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650</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Acquisition of 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(109,693)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(89,191)</w:t>
            </w:r>
          </w:p>
        </w:tc>
      </w:tr>
      <w:tr>
        <w:trPr>
          <w:trHeight w:val="31"/>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Repayment of principal on deferred payment obligations</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(935)</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deferred payment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6,270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issuance of term debt</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100,000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Payment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Repayment of principal on term debt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4,294</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Taxes paid related to net-share settlements of restricted stock units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(2,307)</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Excess tax benefit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1,195</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Payments of capital leases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Repurchase of common stock</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(39,072)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(3,541)</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provided by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55,671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4,976</w:t>
            </w:r>
          </w:p>
        </w:tc>
      </w:tr>
      <w:tr>
        <w:trPr>
          <w:trHeight w:val="31"/>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Foreign-currency effect on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380"/>
              <w:spacing w:after="0"/>
              <w:rPr>
                <w:sz w:val="20"/>
                <w:szCs w:val="20"/>
                <w:color w:val="auto"/>
              </w:rPr>
            </w:pPr>
            <w:r>
              <w:rPr>
                <w:rFonts w:ascii="Arial" w:cs="Arial" w:eastAsia="Arial" w:hAnsi="Arial"/>
                <w:sz w:val="17"/>
                <w:szCs w:val="17"/>
                <w:color w:val="auto"/>
              </w:rPr>
              <w:t>Net increase in cash and cash equivalents</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35,057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23,853</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94,983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78,019</w:t>
            </w:r>
          </w:p>
        </w:tc>
      </w:tr>
      <w:tr>
        <w:trPr>
          <w:trHeight w:val="244"/>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130,040</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101,872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2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219"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patent assets purchased and accrued but not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fixed assets purchased and accrued but not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Patent assets received in barter transactions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Nonmonetary exchange for investments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5,935</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occasionally enters into agreements to acquire covenants not to sue in order to further mitigate its clients’ litigation risk. The acquired patents, licenses to patents, patent rights and agreements for covenants not to sue are collectively referred to as “patent assets.” The Company’s patent risk management clients pay an annual subscription fee and in return, receive a license from the Company to substantially all of its patent assets and access to its proprietary patent market intelligence and data. In some instances, the Company accepts a payment from a client to finance part or all of an acquisition involving patent assets that may cost more than the Company is prepared to spend with its own capital resources or that are relevant only to a very small number of clients. In these instances, the Company facilitates syndicated transactions that include cash contributions from participating clients in addition to their annual subscription fees.</w:t>
      </w:r>
    </w:p>
    <w:p>
      <w:pPr>
        <w:spacing w:after="0" w:line="169"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In addition to the Company’s core solution, in August 2012, the Company began underwriting patent infringement liability insurance policies to insure against certain costs of litigation. In March 2014, the Company formed a reinsurance company to assume a portion of the underwriting risk on insurance policies that the Company issues on behalf of a Lloyd’s of London underwriting syndicate. The Company began placing new policies under the reinsurance model in May 2014. As of and for the six months ended June 30, 2016, the effect of the insurance policies that the Company has issued or assumed through its reinsurance business was not material to the Company’s results of operations, financial condition or cash flows.</w:t>
      </w:r>
    </w:p>
    <w:p>
      <w:pPr>
        <w:spacing w:after="0" w:line="17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 January 2016 the Company acquired Inventus Solutions, Inc. ("Inventus"), now a wholly-owned subsidiary of the Company, and began offering its discovery services solution which provides technology-enabled services to assist leading law firms and corporate legal departments manage costs and risks related to the litigation discovery process. The Company's discovery services solution includes data hosting and backup, data processing and collection, project management, document review, and traditional document production. All of these services are designed to streamline the administration of litigation, investigations, and regulatory compliance.</w:t>
      </w:r>
    </w:p>
    <w:p>
      <w:pPr>
        <w:spacing w:after="0" w:line="171"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accompanying condensed consolidated balance sheet as of June 30, 2016, the condensed consolidated statements of operations and the condensed consolidated statements of comprehensive income for the three and six months ended June 30, 2016 and 2015, and the condensed consolidated statements of cash flows for the six months ended June 30, 2016 and 2015, are unaudited. The condensed consolidated balance sheet as of December 31, 2015 was derived from the audited consolidated financial statements which are included in the Company’s Annual Report on Form 10-K for the fiscal year ended December 31, 2015, which was filed with the U.S. Securities and Exchange Commission (“SEC”) on February 26, 2016. The unaudited condensed consolidated financial statements should be read in conjunction with the audited financial statements and accompanying notes included in the Company’s Annual Report on Form 10-K for the year ended December 31, 2015.</w:t>
      </w:r>
    </w:p>
    <w:p>
      <w:pPr>
        <w:spacing w:after="0" w:line="17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or six months ended June 30, 2016 are not necessarily indicative of the results that may be expected for any subsequent interim period or for the year ending December 31, 2016.</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Other than the adoption of the revenue recognition policies related to the acquired discovery services solution disclosed below, there have been no material changes to the Company’s significant accounting policies during the six months ended June 30, 2016,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February 26, 2016.</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 xml:space="preserve">The Company recognizes revenue from its discovery services solution in accordance with Accounting Standards Codification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("ASC 605"). Under ASC 605, revenue is recognized when persuasive evidence of an arrangement exists, the related services are provided,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price is fixed or determinable, and collectability is reasonably assured.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Company's significant sources of revenue from its discovery services solution:</w:t>
      </w:r>
    </w:p>
    <w:p>
      <w:pPr>
        <w:spacing w:after="0" w:line="225" w:lineRule="exact"/>
        <w:rPr>
          <w:sz w:val="20"/>
          <w:szCs w:val="20"/>
          <w:color w:val="auto"/>
        </w:rPr>
      </w:pPr>
    </w:p>
    <w:p>
      <w:pPr>
        <w:ind w:left="1540" w:hanging="2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hosting fees based on data stored and number of users;</w:t>
      </w:r>
    </w:p>
    <w:p>
      <w:pPr>
        <w:spacing w:after="0" w:line="23" w:lineRule="exact"/>
        <w:rPr>
          <w:rFonts w:ascii="Arial" w:cs="Arial" w:eastAsia="Arial" w:hAnsi="Arial"/>
          <w:sz w:val="18"/>
          <w:szCs w:val="18"/>
          <w:color w:val="auto"/>
        </w:rPr>
      </w:pPr>
    </w:p>
    <w:p>
      <w:pPr>
        <w:ind w:left="1540" w:hanging="249"/>
        <w:spacing w:after="0" w:line="250"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fees for month-to-month delivery of services, such as data processing (conversion of data into organized, searchable electronic database), project management and data collection services;</w:t>
      </w:r>
    </w:p>
    <w:p>
      <w:pPr>
        <w:ind w:left="1540" w:hanging="2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document review services which assist clients in the manual review of data responsive to a legal matter; and</w:t>
      </w:r>
    </w:p>
    <w:p>
      <w:pPr>
        <w:spacing w:after="0" w:line="9" w:lineRule="exact"/>
        <w:rPr>
          <w:rFonts w:ascii="Arial" w:cs="Arial" w:eastAsia="Arial" w:hAnsi="Arial"/>
          <w:sz w:val="18"/>
          <w:szCs w:val="18"/>
          <w:color w:val="auto"/>
        </w:rPr>
      </w:pPr>
    </w:p>
    <w:p>
      <w:pPr>
        <w:ind w:left="1540" w:hanging="2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printing and binding services (paper-based services).</w:t>
      </w:r>
    </w:p>
    <w:p>
      <w:pPr>
        <w:spacing w:after="0" w:line="21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Company enters into agreements pursuant to which the Company offers various discovery services. Clients are generally billed monthly based on contractual unit prices and volumes for services delivered. The agreements are typically for an indefinite period of time, however, they are cancelable at will by either party. The Company is entitled to all fees incurred for services performed. The majority of the Company's discovery services revenue comes from two types of billing arrangements: usage based and fixed fee.</w:t>
      </w:r>
    </w:p>
    <w:p>
      <w:pPr>
        <w:spacing w:after="0" w:line="187"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Usage-based arrangements require the client to pay based upon predetermined unit prices and volumes for data hosing, data processing and paper-based services. Project management and review hours are billed based upon the number of hours worked by certain client service processionals at agreed upon rates.</w:t>
      </w:r>
    </w:p>
    <w:p>
      <w:pPr>
        <w:spacing w:after="0" w:line="18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In fixed-fee billing arrangements, the Company agrees to a pre-established monthly fee over a specified term in exchange for various services. The fees are not tied to the attainment of any contractually defined objectives and the monthly fee is nonrefundable.</w:t>
      </w:r>
    </w:p>
    <w:p>
      <w:pPr>
        <w:spacing w:after="0" w:line="170"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Based on an evaluation of the discovery services delivered to each client, the Company has determined that each deliverable has stand-alone value to the client as each of the Company’s discovery services can be sold on a stand-alone basis by the Company and the discovery services are available from other vendors. Additionally, discovery services do not carry a significant degree of risk or unique acceptance criteria that would require a dependency on the performance of future services. The Company recognizes revenue from these arrangements based on contractually stated prices. The Company allocates revenue to the various units of accounting in its arrangements based on the best estimate of selling price for each unit of accounting, which are consistent with the stated prices in those arrangements.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discovery services arrangements do not include any substantive general rights of return or other contingencies.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jc w:val="both"/>
        <w:ind w:right="200" w:firstLine="486"/>
        <w:spacing w:after="0" w:line="288"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2016-13, </w:t>
      </w:r>
      <w:r>
        <w:rPr>
          <w:rFonts w:ascii="Arial" w:cs="Arial" w:eastAsia="Arial" w:hAnsi="Arial"/>
          <w:sz w:val="16"/>
          <w:szCs w:val="16"/>
          <w:i w:val="1"/>
          <w:iCs w:val="1"/>
          <w:color w:val="auto"/>
        </w:rPr>
        <w:t>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w:t>
      </w:r>
      <w:r>
        <w:rPr>
          <w:rFonts w:ascii="Arial" w:cs="Arial" w:eastAsia="Arial" w:hAnsi="Arial"/>
          <w:sz w:val="16"/>
          <w:szCs w:val="16"/>
          <w:color w:val="auto"/>
        </w:rPr>
        <w:t>("ASU 2016-13") on measurement of credit losses on financial instruments. This ASU requires financial assets measured at amortized cost to</w:t>
      </w:r>
      <w:r>
        <w:rPr>
          <w:rFonts w:ascii="Arial" w:cs="Arial" w:eastAsia="Arial" w:hAnsi="Arial"/>
          <w:sz w:val="16"/>
          <w:szCs w:val="16"/>
          <w:i w:val="1"/>
          <w:iCs w:val="1"/>
          <w:color w:val="auto"/>
        </w:rPr>
        <w:t xml:space="preserve"> </w:t>
      </w:r>
      <w:r>
        <w:rPr>
          <w:rFonts w:ascii="Arial" w:cs="Arial" w:eastAsia="Arial" w:hAnsi="Arial"/>
          <w:sz w:val="16"/>
          <w:szCs w:val="16"/>
          <w:color w:val="auto"/>
        </w:rPr>
        <w:t>be presented at the net amount expected to be collected and available-for-sale debt securities to record credit losses through an allowance for credit losses.</w:t>
      </w:r>
    </w:p>
    <w:p>
      <w:pPr>
        <w:ind w:right="100"/>
        <w:spacing w:after="0" w:line="255" w:lineRule="auto"/>
        <w:rPr>
          <w:sz w:val="20"/>
          <w:szCs w:val="20"/>
          <w:color w:val="auto"/>
        </w:rPr>
      </w:pPr>
      <w:r>
        <w:rPr>
          <w:rFonts w:ascii="Arial" w:cs="Arial" w:eastAsia="Arial" w:hAnsi="Arial"/>
          <w:sz w:val="18"/>
          <w:szCs w:val="18"/>
          <w:color w:val="auto"/>
        </w:rPr>
        <w:t>ASU 2016-13 will be effective for fiscal years, and interim periods within those fiscal years, beginning after December 15, 2019. Early adoption is permitted as early as of the fiscal years beginning after December 15, 2018. The Company is currently evaluating the impact of this guidance on its consolidated financial statements.</w:t>
      </w:r>
    </w:p>
    <w:p>
      <w:pPr>
        <w:spacing w:after="0" w:line="190"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("ASU 2016-09"). This ASU affects entities that issue share-based payment awards to their employees. ASU 2016-09 is designed to simplify several aspects of accounting for share-based payment award transactions that include the income tax consequences, classification of awards as either equity or liabilities, classification on the statement of cash flows, and forfeiture rate calculations. ASU 2016-09 will become effective for annual and interim periods beginning after December 15, 2016 and early adoption is permitted in any interim or annual period. The Company is currently evaluating the impact of this guidance on its consolidated financial statements.</w:t>
      </w:r>
    </w:p>
    <w:p>
      <w:pPr>
        <w:spacing w:after="0" w:line="193"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requires lessees to put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The new standard is effective for interim and annual periods beginning after December 15, 2018 and early adoption is permitted. The Company is currently evaluating the impact of this guidance on its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20" w:firstLine="486"/>
        <w:spacing w:after="0" w:line="302"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which amends guidance related to certain aspects of the recognition, measurement, presentation,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of financial instruments. This update is effective for fiscal years beginning after December 15, 2018, and interim periods in those years. Early adoption is permitted. The Company is currently evaluating the impact of this guidance on its consolidated financial statements.</w:t>
      </w:r>
    </w:p>
    <w:p>
      <w:pPr>
        <w:spacing w:after="0" w:line="154"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U.S. GAAP including identifying performance obligations in the contract, estimating the amount of variable consideration to include in the transaction price and allocating the transaction price to each separate performance obligation. In March 2016, the FASB issued ASU 2016-08, </w:t>
      </w:r>
      <w:r>
        <w:rPr>
          <w:rFonts w:ascii="Arial" w:cs="Arial" w:eastAsia="Arial" w:hAnsi="Arial"/>
          <w:sz w:val="17"/>
          <w:szCs w:val="17"/>
          <w:i w:val="1"/>
          <w:iCs w:val="1"/>
          <w:color w:val="auto"/>
        </w:rPr>
        <w:t>Revenue from Contracts with Customers (Topic 606): Principal versus Agent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Considerations (Reporting Revenue Gross versus Net), </w:t>
      </w:r>
      <w:r>
        <w:rPr>
          <w:rFonts w:ascii="Arial" w:cs="Arial" w:eastAsia="Arial" w:hAnsi="Arial"/>
          <w:sz w:val="17"/>
          <w:szCs w:val="17"/>
          <w:color w:val="auto"/>
        </w:rPr>
        <w:t>which clarifies the implementation guidance for gross versus net considerations in ASU 2014-09.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April 2016, the FASB issued ASU No.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xml:space="preserve">, which amends the guidance in ASU 2014-09 related to identifying performance obligations and accounting for licenses of intellectual property. In May 2016, the FASB issued ASU No. 2016-12, </w:t>
      </w:r>
      <w:r>
        <w:rPr>
          <w:rFonts w:ascii="Arial" w:cs="Arial" w:eastAsia="Arial" w:hAnsi="Arial"/>
          <w:sz w:val="17"/>
          <w:szCs w:val="17"/>
          <w:i w:val="1"/>
          <w:iCs w:val="1"/>
          <w:color w:val="auto"/>
        </w:rPr>
        <w:t>Revenue from Contracts with Customers (Topic 606): Narrow-Scope Improvements and Practical Expedients</w:t>
      </w:r>
      <w:r>
        <w:rPr>
          <w:rFonts w:ascii="Arial" w:cs="Arial" w:eastAsia="Arial" w:hAnsi="Arial"/>
          <w:sz w:val="17"/>
          <w:szCs w:val="17"/>
          <w:color w:val="auto"/>
        </w:rPr>
        <w:t>, which provides clarification on assessing the collectability criterion, presentation of sales taxes, measurement date for noncash consideration, and completed contracts at transition. These ASUs will be effective for annual and interim periods beginning after December 15, 2017 and early adoption is permitted for annual and interim periods beginning after December 15, 2016. The Company is currently evaluating the impact of this guidance on its consolidated financial statements.</w:t>
      </w:r>
    </w:p>
    <w:p>
      <w:pPr>
        <w:spacing w:after="0" w:line="139"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81"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Basic and diluted net income per share are computed by dividing net income by the weighted-average number of shares of common stock outstanding during the period. Diluted net income per share is computed by using the weighted-average number of shares of common stock outstanding during the period, including potentially dilutive shares. Potentially dilutive shares include outstanding stock options and restricted stock units ("RSUs"). The dilutive effect of potentially dilutive shares is reflected in diluted earnings per share by application of the treasury stock method. Under the treasury stock method, an increase in the fair value of the Company's common stock can result in a greater dilutive effect from potentially dilutive shares.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26,061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1"/>
              </w:rPr>
              <w:t>Weighted-average shares used in computing basic net income per</w:t>
            </w:r>
          </w:p>
        </w:tc>
        <w:tc>
          <w:tcPr>
            <w:tcW w:w="300" w:type="dxa"/>
            <w:vAlign w:val="bottom"/>
          </w:tcPr>
          <w:p>
            <w:pPr>
              <w:spacing w:after="0"/>
              <w:rPr>
                <w:sz w:val="19"/>
                <w:szCs w:val="19"/>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18"/>
                <w:szCs w:val="18"/>
                <w:color w:val="auto"/>
              </w:rPr>
              <w:t>51,034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54,490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51,548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54,334</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1"/>
              </w:rPr>
              <w:t>Weighted-average shares used in computing basic net income per</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share</w:t>
            </w: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51,034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51,548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54,334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Dilutive effect of stock options and restricted stock units using the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treasury-stock method</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9"/>
        </w:trPr>
        <w:tc>
          <w:tcPr>
            <w:tcW w:w="5160" w:type="dxa"/>
            <w:vAlign w:val="bottom"/>
          </w:tcPr>
          <w:p>
            <w:pPr>
              <w:ind w:left="280"/>
              <w:spacing w:after="0"/>
              <w:rPr>
                <w:sz w:val="20"/>
                <w:szCs w:val="20"/>
                <w:color w:val="auto"/>
              </w:rPr>
            </w:pPr>
            <w:r>
              <w:rPr>
                <w:rFonts w:ascii="Arial" w:cs="Arial" w:eastAsia="Arial" w:hAnsi="Arial"/>
                <w:sz w:val="18"/>
                <w:szCs w:val="18"/>
                <w:color w:val="auto"/>
                <w:w w:val="90"/>
              </w:rPr>
              <w:t>Weighted-average shares used in computing diluted net income per</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51,557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55,687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52,089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55,457</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securities were not included in the calculation of diluted shares outstanding as the effect would have been anti-dilutive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6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3"/>
          </w:tcPr>
          <w:p>
            <w:pPr>
              <w:jc w:val="right"/>
              <w:ind w:right="473"/>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17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weighted-average:</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694</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3"/>
              </w:rPr>
              <w:t>2,838</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r>
      <w:tr>
        <w:trPr>
          <w:trHeight w:val="27"/>
        </w:trPr>
        <w:tc>
          <w:tcPr>
            <w:tcW w:w="5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ind w:left="360"/>
              <w:spacing w:after="0"/>
              <w:rPr>
                <w:sz w:val="20"/>
                <w:szCs w:val="20"/>
                <w:color w:val="auto"/>
              </w:rPr>
            </w:pPr>
            <w:r>
              <w:rPr>
                <w:rFonts w:ascii="Arial" w:cs="Arial" w:eastAsia="Arial" w:hAnsi="Arial"/>
                <w:sz w:val="16"/>
                <w:szCs w:val="16"/>
                <w:b w:val="1"/>
                <w:bCs w:val="1"/>
                <w:color w:val="auto"/>
              </w:rPr>
              <w:t>June 30, 2016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080" w:type="dxa"/>
            <w:vAlign w:val="bottom"/>
            <w:gridSpan w:val="5"/>
          </w:tcPr>
          <w:p>
            <w:pPr>
              <w:ind w:left="520"/>
              <w:spacing w:after="0"/>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20"/>
                <w:szCs w:val="2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Losses</w:t>
            </w:r>
          </w:p>
        </w:tc>
        <w:tc>
          <w:tcPr>
            <w:tcW w:w="14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15,096</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10,341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10,341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10,341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11,601</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30,946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30,946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30,946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69,996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69,996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41,287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28,709</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16,582</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16,602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16,602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47,659</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69,055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ind w:left="740"/>
              <w:spacing w:after="0"/>
              <w:rPr>
                <w:sz w:val="20"/>
                <w:szCs w:val="20"/>
                <w:color w:val="auto"/>
              </w:rPr>
            </w:pPr>
            <w:r>
              <w:rPr>
                <w:rFonts w:ascii="Arial" w:cs="Arial" w:eastAsia="Arial" w:hAnsi="Arial"/>
                <w:sz w:val="16"/>
                <w:szCs w:val="16"/>
                <w:b w:val="1"/>
                <w:bCs w:val="1"/>
                <w:color w:val="auto"/>
                <w:w w:val="90"/>
              </w:rPr>
              <w:t>December 31, 2015</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100" w:type="dxa"/>
            <w:vAlign w:val="bottom"/>
            <w:gridSpan w:val="5"/>
          </w:tcPr>
          <w:p>
            <w:pPr>
              <w:ind w:left="52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20"/>
                <w:szCs w:val="2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64,295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64,295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54,663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9,632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133,033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132,937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132,937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30,488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230,696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280"/>
              <w:spacing w:after="0"/>
              <w:rPr>
                <w:sz w:val="20"/>
                <w:szCs w:val="20"/>
                <w:color w:val="auto"/>
              </w:rPr>
            </w:pPr>
            <w:r>
              <w:rPr>
                <w:rFonts w:ascii="Arial" w:cs="Arial" w:eastAsia="Arial" w:hAnsi="Arial"/>
                <w:sz w:val="16"/>
                <w:szCs w:val="16"/>
                <w:color w:val="auto"/>
              </w:rPr>
              <w:t>Deferred payment obligations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6,270</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3,887</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Company's financial assets are generally classified as available-for-sale. Available-for-sale securities are reported at fair value, with unrealized gains and losses, net of tax, included as a separate component of stockholders’ equity within accumulated other comprehensive loss. Realized gains and losses on these securities are included in other income (expense), net in the Company’s condensed consolidated statements of operations and have not been material for all periods presented.</w:t>
      </w:r>
    </w:p>
    <w:p>
      <w:pPr>
        <w:spacing w:after="0" w:line="187"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As of June 30, 2016 and December 31, 2015, approximately 92% and 87%, respectively, of the Company's marketable security investments mature within one year and 8% and 13%, respectively, mature within one to five years. As of June 30, 2016, no individual securities incurred continuous unrealized losses for greater than 12 months.</w:t>
      </w:r>
    </w:p>
    <w:p>
      <w:pPr>
        <w:spacing w:after="0" w:line="181"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As of June 30, 2016 and December 31, 2015, the Company had short-term cost method investments of nil and $0.6 million, respectively, which were recorded at amortized cost in short-term investments in the Company's condensed consolidated balance sheets.</w:t>
      </w:r>
    </w:p>
    <w:p>
      <w:pPr>
        <w:spacing w:after="0" w:line="170" w:lineRule="exact"/>
        <w:rPr>
          <w:sz w:val="20"/>
          <w:szCs w:val="20"/>
          <w:color w:val="auto"/>
        </w:rPr>
      </w:pPr>
    </w:p>
    <w:p>
      <w:pPr>
        <w:ind w:right="180" w:firstLine="446"/>
        <w:spacing w:after="0" w:line="308" w:lineRule="auto"/>
        <w:rPr>
          <w:sz w:val="20"/>
          <w:szCs w:val="20"/>
          <w:color w:val="auto"/>
        </w:rPr>
      </w:pPr>
      <w:r>
        <w:rPr>
          <w:rFonts w:ascii="Arial" w:cs="Arial" w:eastAsia="Arial" w:hAnsi="Arial"/>
          <w:sz w:val="17"/>
          <w:szCs w:val="17"/>
          <w:color w:val="auto"/>
        </w:rPr>
        <w:t>In connection with the Rockstar Transaction (see Note 12, "Commitments and Contingencies"), the Company received funding of $6.3 million from a syndicate participant. During the three months ended June 30, 2016, the Company settled the loan from the syndicate participant.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Level 3 Valuation Techniques</w:t>
      </w:r>
    </w:p>
    <w:p>
      <w:pPr>
        <w:spacing w:after="0" w:line="63"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Level 3 financial liabilities as of December 31, 2015 consisted of a repayment obligation to a third party for which determination of fair value required significant judgment and estimation. Balances categorized within Level 3 of the fair value hierarchy were analyzed each period for changes in estimates or assumptions and recorded as the Company deemed appropriate.</w:t>
      </w:r>
    </w:p>
    <w:p>
      <w:pPr>
        <w:spacing w:after="0" w:line="181"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As of December 31, 2015, the Company used the Black-Scholes option valuation model to estimate the fair value of the deferred payment obligation entered into in the Rockstar Transaction. This model incorporated assumptions about details such as the value of underlying securities, expected terms, maturity, risk-free interest rates, as well as volatility. A significant change in volatility and expected term could result in a significant change in fair value. The risk-free interest rate was based on the implied yield currently available on U.S. Treasury zero coupon issues with an equivalent remaining term at the measurement date. The expected volatility was calculated using the standard deviation of the underlying security's weekly returns over the estimated period of time to take to settle the liability. The expected term of the liability was determined by the estimated settlement date of the liability. Changes in the fair value were recorded in other income (expense), net in the Company's condensed consolidated statements of operations. As of June 30, 2016, the Company no longer holds Level 3 financial assets or liabilities (see Note 12, "Commitments and Contingencies").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Disposals</w:t>
            </w: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824,258</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857,551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(569,698)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(645,306)</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254,560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212,245</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patent asset portfolio on a straight-line basis over its estimated economic useful life. As of June 30, 2016, the estimated economic useful lives of the Company’s patent assets generally ranged from 24 to 60 months. As of June 30, 2016, the weighted-average estimated economic useful life at the time of acquisition of all patent assets acquired since the Company’s inception was 43 months.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60"/>
              <w:spacing w:after="0"/>
              <w:rPr>
                <w:sz w:val="20"/>
                <w:szCs w:val="20"/>
                <w:color w:val="auto"/>
              </w:rPr>
            </w:pPr>
            <w:r>
              <w:rPr>
                <w:rFonts w:ascii="Arial" w:cs="Arial" w:eastAsia="Arial" w:hAnsi="Arial"/>
                <w:sz w:val="18"/>
                <w:szCs w:val="18"/>
                <w:color w:val="auto"/>
              </w:rPr>
              <w:t>As of June 30, 2016,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(remainder)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69,839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89,922</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34,798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14,674</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w:t>
            </w:r>
          </w:p>
        </w:tc>
      </w:tr>
      <w:tr>
        <w:trPr>
          <w:trHeight w:val="257"/>
        </w:trPr>
        <w:tc>
          <w:tcPr>
            <w:tcW w:w="9940" w:type="dxa"/>
            <w:vAlign w:val="bottom"/>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212,245</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Amortization expense related to the Company's patent assets was $37.7 million and $35.1 million for the three months ended June 30, 2016 and 2015, respectively, and $79.5 million and $68.2 million for the six months ended June 30, 2016 and 2015, respectively.</w:t>
      </w:r>
    </w:p>
    <w:p>
      <w:pPr>
        <w:spacing w:after="0" w:line="12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Internal-use software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1,799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818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11,658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4,733</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46"/>
        <w:spacing w:after="0" w:line="308" w:lineRule="auto"/>
        <w:rPr>
          <w:sz w:val="20"/>
          <w:szCs w:val="20"/>
          <w:color w:val="auto"/>
        </w:rPr>
      </w:pPr>
      <w:r>
        <w:rPr>
          <w:rFonts w:ascii="Arial" w:cs="Arial" w:eastAsia="Arial" w:hAnsi="Arial"/>
          <w:sz w:val="17"/>
          <w:szCs w:val="17"/>
          <w:color w:val="auto"/>
        </w:rPr>
        <w:t>Depreciation and amortization expense related to the Company's property and equipment was $0.8 million and $0.4 million for the three months ended June 30, 2016 and 2015, respectively, and $1.4 million and $0.9 million for the six months ended June 30, 2016 and 2015,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81" w:lineRule="exact"/>
        <w:rPr>
          <w:sz w:val="20"/>
          <w:szCs w:val="20"/>
          <w:color w:val="auto"/>
        </w:rPr>
      </w:pPr>
    </w:p>
    <w:p>
      <w:pPr>
        <w:ind w:right="80" w:firstLine="446"/>
        <w:spacing w:after="0" w:line="279" w:lineRule="auto"/>
        <w:rPr>
          <w:sz w:val="20"/>
          <w:szCs w:val="20"/>
          <w:color w:val="auto"/>
        </w:rPr>
      </w:pPr>
      <w:r>
        <w:rPr>
          <w:rFonts w:ascii="Arial" w:cs="Arial" w:eastAsia="Arial" w:hAnsi="Arial"/>
          <w:sz w:val="17"/>
          <w:szCs w:val="17"/>
          <w:color w:val="auto"/>
        </w:rPr>
        <w:t>On January 22, 2016, the Company completed its acquisition of all of the issued and outstanding shares of Inventus, to expand into the litigation discovery services market. The final purchase price for Inventus was approximately $232 million, net of working capital adjustments, which the Company paid during the six months ended June 30, 2016. The following table summarizes the cash paid and the preliminary estimated fair values of the assets and the liabilities assumed (in thousands) and the estimated useful lives of the acquired identifiable intangible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31"/>
              <w:spacing w:after="0"/>
              <w:rPr>
                <w:sz w:val="20"/>
                <w:szCs w:val="20"/>
                <w:color w:val="auto"/>
              </w:rPr>
            </w:pPr>
            <w:r>
              <w:rPr>
                <w:rFonts w:ascii="Arial" w:cs="Arial" w:eastAsia="Arial" w:hAnsi="Arial"/>
                <w:sz w:val="16"/>
                <w:szCs w:val="16"/>
                <w:b w:val="1"/>
                <w:bCs w:val="1"/>
                <w:color w:val="auto"/>
                <w:w w:val="92"/>
              </w:rPr>
              <w:t>Preliminary Estimated</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0"/>
        </w:trPr>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451"/>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 useful life</w:t>
            </w:r>
          </w:p>
        </w:tc>
      </w:tr>
      <w:tr>
        <w:trPr>
          <w:trHeight w:val="33"/>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9 - 10 years</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Trademarks</w:t>
            </w: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1 - 6 years</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technology</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145,984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equipment and other long term assets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10,595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 term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Cash purchase consideration paid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233,300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The Company’s purchase price allocation for its acquisition of Inventus is preliminary and subject to revision as additional information about fair value of assets and liabilities becomes available. Additional information that existed as of the acquisition date but at that time was unknown to the Company may become known to the Company during the remainder of the measurement period, a period not to exceed 12 months from the acquisition date.</w:t>
      </w:r>
    </w:p>
    <w:p>
      <w:pPr>
        <w:spacing w:after="0" w:line="147"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The intangible assets acquired are amortized on a straight-line basis which reflects the pattern in which the economic benefits of the intangible assets are expected to be utilized. The goodwill recorded is primarily attributable to the Company's opportunity to expand into the litigation discovery services market and is not expected to be deductible for tax purposes. For the six months ended June 30, 2016, the Company recorded acquisition-related costs of $1.2 million which were expensed as incurred and included in selling, general and administrative expenses in the Company's condensed consolidated statements of operations. The Company has included the financial results of Inventus in its condensed consolidated financial statements from the acquisition date which includes revenue of $19.3 million and $29.8 million and operating income of $3.0 million and $3.6 million attributable to Inventus in the Company's condensed consolidated statement of operations for the three and six months ended June 30, 2016, respectively.</w:t>
      </w:r>
    </w:p>
    <w:p>
      <w:pPr>
        <w:spacing w:after="0" w:line="167" w:lineRule="exact"/>
        <w:rPr>
          <w:sz w:val="20"/>
          <w:szCs w:val="20"/>
          <w:color w:val="auto"/>
        </w:rPr>
      </w:pPr>
    </w:p>
    <w:p>
      <w:pPr>
        <w:ind w:right="140" w:firstLine="446"/>
        <w:spacing w:after="0" w:line="271"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and Inventus as though the companies had been consolidated as of January 1, 2015, and includes the accounting effects resulting from the acquisition including amortization charges from the acquired intangible assets, $13.5 million of transaction costs incurred which were directly attributable to the acquisition of Inventus, and elimination of interest expenses and debt issuance and extinguishment costs associated with Inventus's historical debt which was extinguished upon the Company's acquisition of Inventus. This unaudited pro forma information also adjusts for Inventus's acquisition of London-based Unified OS Limited and certain of its affiliates as well as certain assets of Kooby LLP ("Unified"). The following unaudited pro forma financial information is for information purposes only and is not necessarily indicative of the results of operations that would have been achieved if the acquisition had taken place as of January 1, 2015 (in thousands, except per share data):</w:t>
      </w:r>
    </w:p>
    <w:p>
      <w:pPr>
        <w:sectPr>
          <w:pgSz w:w="11900" w:h="16838" w:orient="portrait"/>
          <w:cols w:equalWidth="0" w:num="1">
            <w:col w:w="11420"/>
          </w:cols>
          <w:pgMar w:left="240" w:top="125" w:right="239" w:bottom="1440" w:gutter="0" w:footer="0" w:header="0"/>
        </w:sectPr>
      </w:pPr>
    </w:p>
    <w:p>
      <w:pPr>
        <w:spacing w:after="0" w:line="139"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52070</wp:posOffset>
            </wp:positionV>
            <wp:extent cx="1972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03" w:lineRule="exact"/>
        <w:rPr>
          <w:sz w:val="20"/>
          <w:szCs w:val="20"/>
          <w:color w:val="auto"/>
        </w:rPr>
      </w:pPr>
    </w:p>
    <w:p>
      <w:pPr>
        <w:ind w:left="5740"/>
        <w:spacing w:after="0"/>
        <w:tabs>
          <w:tab w:leader="none" w:pos="734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52070</wp:posOffset>
            </wp:positionV>
            <wp:extent cx="1938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b w:val="1"/>
          <w:bCs w:val="1"/>
          <w:color w:val="auto"/>
        </w:rPr>
        <w:t>2016</w:t>
      </w:r>
      <w:r>
        <w:rPr>
          <w:sz w:val="20"/>
          <w:szCs w:val="20"/>
          <w:color w:val="auto"/>
        </w:rPr>
        <w:tab/>
      </w:r>
      <w:r>
        <w:rPr>
          <w:rFonts w:ascii="Arial" w:cs="Arial" w:eastAsia="Arial" w:hAnsi="Arial"/>
          <w:sz w:val="15"/>
          <w:szCs w:val="15"/>
          <w:b w:val="1"/>
          <w:bCs w:val="1"/>
          <w:color w:val="auto"/>
        </w:rPr>
        <w:t>2015</w:t>
      </w:r>
    </w:p>
    <w:p>
      <w:pPr>
        <w:spacing w:after="0" w:line="50" w:lineRule="exact"/>
        <w:rPr>
          <w:sz w:val="20"/>
          <w:szCs w:val="20"/>
          <w:color w:val="auto"/>
        </w:rPr>
      </w:pPr>
    </w:p>
    <w:p>
      <w:pPr>
        <w:sectPr>
          <w:pgSz w:w="11900" w:h="16838" w:orient="portrait"/>
          <w:cols w:equalWidth="0" w:num="2">
            <w:col w:w="8220" w:space="720"/>
            <w:col w:w="24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83,109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165,784</w:t>
            </w:r>
          </w:p>
        </w:tc>
        <w:tc>
          <w:tcPr>
            <w:tcW w:w="5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8,976</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12,974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48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amounts of goodwill by operating segment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Patent Risk</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Management</w:t>
            </w: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Discovery Services</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Goodwill from business acquisition</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145,984</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June 30,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19,978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140,144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160,122</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ind w:left="40"/>
              <w:spacing w:after="0"/>
              <w:rPr>
                <w:sz w:val="20"/>
                <w:szCs w:val="20"/>
                <w:color w:val="auto"/>
              </w:rPr>
            </w:pPr>
            <w:r>
              <w:rPr>
                <w:rFonts w:ascii="Arial" w:cs="Arial" w:eastAsia="Arial" w:hAnsi="Arial"/>
                <w:sz w:val="16"/>
                <w:szCs w:val="16"/>
                <w:b w:val="1"/>
                <w:bCs w:val="1"/>
                <w:color w:val="auto"/>
                <w:w w:val="98"/>
              </w:rPr>
              <w:t>December 31, 2015</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0"/>
              </w:rPr>
              <w:t>Weighted-</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average Life</w:t>
            </w:r>
          </w:p>
        </w:tc>
        <w:tc>
          <w:tcPr>
            <w:tcW w:w="14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Net Carrying</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5"/>
              </w:rPr>
              <w:t>Accumulated</w:t>
            </w:r>
          </w:p>
        </w:tc>
        <w:tc>
          <w:tcPr>
            <w:tcW w:w="10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5"/>
              </w:rPr>
              <w:t>Net Carrying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(years)</w:t>
            </w: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8"/>
              </w:rPr>
              <w:t>Amortization</w:t>
            </w:r>
          </w:p>
        </w:tc>
        <w:tc>
          <w:tcPr>
            <w:tcW w:w="16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Covenant not to compete</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data and models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57,718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900" w:type="dxa"/>
            <w:vAlign w:val="bottom"/>
            <w:gridSpan w:val="15"/>
          </w:tcPr>
          <w:p>
            <w:pPr>
              <w:ind w:left="480"/>
              <w:spacing w:after="0"/>
              <w:rPr>
                <w:sz w:val="20"/>
                <w:szCs w:val="20"/>
                <w:color w:val="auto"/>
              </w:rPr>
            </w:pPr>
            <w:r>
              <w:rPr>
                <w:rFonts w:ascii="Arial" w:cs="Arial" w:eastAsia="Arial" w:hAnsi="Arial"/>
                <w:sz w:val="18"/>
                <w:szCs w:val="18"/>
                <w:color w:val="auto"/>
                <w:w w:val="92"/>
              </w:rPr>
              <w:t>As of June 30, 2016, the Company expects amortization expense in future periods to be as follows (in thousands):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 (remainder)</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2017</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9,089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2019</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6,642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27,348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estimated future amortization expense</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63,130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446"/>
        <w:spacing w:after="0" w:line="277" w:lineRule="auto"/>
        <w:rPr>
          <w:sz w:val="20"/>
          <w:szCs w:val="20"/>
          <w:color w:val="auto"/>
        </w:rPr>
      </w:pPr>
      <w:r>
        <w:rPr>
          <w:rFonts w:ascii="Arial" w:cs="Arial" w:eastAsia="Arial" w:hAnsi="Arial"/>
          <w:sz w:val="18"/>
          <w:szCs w:val="18"/>
          <w:color w:val="auto"/>
        </w:rPr>
        <w:t>Amortization expense related to the Company's intangible assets was $2.6 million and $0.4 million for the three months ended June 30, 2016 and 2015, respectively, and $4.8 million and $0.9 million for the six months ended June 30, 2016 and 2015, respectively.</w:t>
      </w:r>
    </w:p>
    <w:p>
      <w:pPr>
        <w:spacing w:after="0" w:line="126"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payroll-related expenses</w:t>
            </w:r>
          </w:p>
        </w:tc>
        <w:tc>
          <w:tcPr>
            <w:tcW w:w="4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11,105</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4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4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14,842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81" w:lineRule="exact"/>
        <w:rPr>
          <w:sz w:val="20"/>
          <w:szCs w:val="20"/>
          <w:color w:val="auto"/>
        </w:rPr>
      </w:pPr>
    </w:p>
    <w:p>
      <w:pPr>
        <w:ind w:right="320" w:firstLine="486"/>
        <w:spacing w:after="0" w:line="288" w:lineRule="auto"/>
        <w:rPr>
          <w:sz w:val="20"/>
          <w:szCs w:val="20"/>
          <w:color w:val="auto"/>
        </w:rPr>
      </w:pPr>
      <w:r>
        <w:rPr>
          <w:rFonts w:ascii="Arial" w:cs="Arial" w:eastAsia="Arial" w:hAnsi="Arial"/>
          <w:sz w:val="16"/>
          <w:szCs w:val="16"/>
          <w:color w:val="auto"/>
        </w:rPr>
        <w:t>On February 26, 2016, the Company entered into a Credit Agreement (the "Credit Agreement") which provided for a $100 million five-year term facility (the "Term Facility") and a $50 million five-year revolving credit facility (the "Revolving Credit Facility"), which remains undrawn as of June 30, 2016. The Term Facility bears interest which is payable quarterly in arrears at the Company's option equal to either a base rate plus a margin ranging from</w:t>
      </w:r>
    </w:p>
    <w:p>
      <w:pPr>
        <w:ind w:right="20"/>
        <w:spacing w:after="0" w:line="269" w:lineRule="auto"/>
        <w:rPr>
          <w:sz w:val="20"/>
          <w:szCs w:val="20"/>
          <w:color w:val="auto"/>
        </w:rPr>
      </w:pPr>
      <w:r>
        <w:rPr>
          <w:rFonts w:ascii="Arial" w:cs="Arial" w:eastAsia="Arial" w:hAnsi="Arial"/>
          <w:sz w:val="17"/>
          <w:szCs w:val="17"/>
          <w:color w:val="auto"/>
        </w:rPr>
        <w:t>1.25% to 1.75% per annum or, at the Company's election, the one-, two-, three-, or six-month London interbank offered rate ("LIBOR") plus a margin ranging from 2.25% to 2.75% per annum, based upon the ratio of the Company's debt to consolidated EBITDA ratio. The outstanding balance on the Term Facility bore interest during the six months ended June 30, 2016 at an average interest rate of 2.9% during the period which approximates fair value. The Revolving Credit Facility bears a commitment fee on undrawn balances of 0.35% to 0.45% per annum, also based upon the Company's debt to consolidated adjusted EBITDA ratio, that are expensed as incurred. The Credit Agreement contains financial covenants requiring the Company to maintain certain leverage and fixed charge ratios. The Company is compliant with these covenants as of June 30, 2016. The Credit Agreement also includes limitations on the Company's debt incurrence, dividend payments, and disposal activities.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500"/>
              <w:spacing w:after="0"/>
              <w:rPr>
                <w:sz w:val="20"/>
                <w:szCs w:val="20"/>
                <w:color w:val="auto"/>
              </w:rPr>
            </w:pPr>
            <w:r>
              <w:rPr>
                <w:rFonts w:ascii="Arial" w:cs="Arial" w:eastAsia="Arial" w:hAnsi="Arial"/>
                <w:sz w:val="18"/>
                <w:szCs w:val="18"/>
                <w:color w:val="auto"/>
                <w:w w:val="94"/>
              </w:rPr>
              <w:t>As of June 30, 2016, the Term Facility requires principal repayments in accordance with the following schedule (in thousands):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6"/>
        </w:trPr>
        <w:tc>
          <w:tcPr>
            <w:tcW w:w="10060" w:type="dxa"/>
            <w:vAlign w:val="bottom"/>
          </w:tcPr>
          <w:p>
            <w:pPr>
              <w:ind w:left="40"/>
              <w:spacing w:after="0"/>
              <w:rPr>
                <w:sz w:val="20"/>
                <w:szCs w:val="20"/>
                <w:color w:val="auto"/>
              </w:rPr>
            </w:pPr>
            <w:r>
              <w:rPr>
                <w:rFonts w:ascii="Arial" w:cs="Arial" w:eastAsia="Arial" w:hAnsi="Arial"/>
                <w:sz w:val="18"/>
                <w:szCs w:val="18"/>
                <w:color w:val="auto"/>
              </w:rPr>
              <w:t>2016 (remainder)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9,375</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18,125</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Long-term debt, gross</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98,750</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r>
      <w:tr>
        <w:trPr>
          <w:trHeight w:val="297"/>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debt, net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96,884</w:t>
            </w:r>
          </w:p>
        </w:tc>
      </w:tr>
      <w:tr>
        <w:trPr>
          <w:trHeight w:val="311"/>
        </w:trPr>
        <w:tc>
          <w:tcPr>
            <w:tcW w:w="10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Reported as: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91,660</w:t>
            </w:r>
          </w:p>
        </w:tc>
      </w:tr>
      <w:tr>
        <w:trPr>
          <w:trHeight w:val="27"/>
        </w:trPr>
        <w:tc>
          <w:tcPr>
            <w:tcW w:w="10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96,884</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8380" w:hanging="492"/>
        <w:spacing w:after="0" w:line="331"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ind w:right="120" w:firstLine="486"/>
        <w:spacing w:after="0" w:line="257" w:lineRule="auto"/>
        <w:rPr>
          <w:sz w:val="20"/>
          <w:szCs w:val="20"/>
          <w:color w:val="auto"/>
        </w:rPr>
      </w:pPr>
      <w:r>
        <w:rPr>
          <w:rFonts w:ascii="Arial" w:cs="Arial" w:eastAsia="Arial" w:hAnsi="Arial"/>
          <w:sz w:val="18"/>
          <w:szCs w:val="18"/>
          <w:color w:val="auto"/>
        </w:rPr>
        <w:t>The Company generally does not enter into long-term minimum purchase commitments. Its principal long-term commitments consist of obligations under operating leases for office space. Other than certain commitments obtained through the Company's acquisition of Inventus as shown below, there were no substantial changes to the Company’s contractual obligations or commitments during the six months ended June 30, 2016 as compared to those presented under the heading “Commitments and Contingencies” in Note 10 of the Notes to Consolidated Financial Statements in Part II, Item 8 of the Company’s Annual Report on Form 10-K filed with the SEC on February 26, 2016.</w:t>
      </w:r>
    </w:p>
    <w:p>
      <w:pPr>
        <w:spacing w:after="0" w:line="188"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Rent expense related to non-cancelable operating leases was $1.2 million and $0.8 million for the three months ended June 30, 2016 and 2015, respectively, net of sublease income of $0.2 million earned during each period. Rent expense related to non-cancelable operating leases was $2.4 million and $1.7 million for the six months ended June 30, 2016 and 2015, respectively, net of sublease income of $0.4 million and $0.3 million,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As of June 30, 2016, the aggregate future non-cancelable minimum lease payments from the Company's operating leases acquired through its acquisition of Inventus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505</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1,135</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619</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Future non-cancelable minimum operating lease payments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5,149</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minimum payments to be received from non-cancelable subleases</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Total future non-cancelable minimum operating lease payments, net</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4,552</w:t>
            </w:r>
          </w:p>
        </w:tc>
      </w:tr>
      <w:tr>
        <w:trPr>
          <w:trHeight w:val="20"/>
        </w:trPr>
        <w:tc>
          <w:tcPr>
            <w:tcW w:w="10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Through its acquisition of Inventus, the Company also acquired a three-year contractual commitment totaling $5.3 million related to its third-party discovery service software license, of which $1.8 million remains unpaid and will be paid within twelve months.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Payment Obligations</w:t>
      </w:r>
    </w:p>
    <w:p>
      <w:pPr>
        <w:spacing w:after="0" w:line="7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On December 22, 2014, the Company and RPX Clearinghouse LLC (a wholly-owned subsidiary of the Company) entered into an Asset Purchase Agreement by and among Rockstar Consortium US LP, Rockstar Consortium LLC, Bockstar Technologies LLC, Constellation Technologies LLC, MobileStar Technologies LLC, and NetStar Technologies LLC (the “Sellers”), for the purchase of substantially all of the patent assets owned or controlled by the Sellers (the “Rockstar Transaction”). In connection with the Rockstar Transaction, the Company acquired certain common stock, convertible preferred stock, and redeemable convertible preferred stock investments held by the Sellers. To fund the acquisition of these securities, the Company received funding of $6.3 million from a syndicate participant and seller financing of $5.9 million. The seller financing was settled during the year ended December 31, 2015.</w:t>
      </w:r>
    </w:p>
    <w:p>
      <w:pPr>
        <w:spacing w:after="0" w:line="165"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loan received from the syndicate participant bore no interest. The terms of the obligation required repayment up to the $6.3 million received only to the extent proceeds are received from the sale of the common and convertible preferred stock securities, which resulted in a difference between the funding received and the fair value of the loan. The Company elected to carry this loan at fair value and categorized it as a Level 3 instrument due to the significance of unobservable inputs developed using company-specific information to estimate the loan’s fair value. Changes in fair value are reported in other income (expense), net in the Company's condensed consolidated statements of operations. This loan was settled without payment during the three months ended June 30, 2016 which resulted in a gain on extinguishment of $0.5 million recognized in other income (expense), net in the condensed consolidated statements of operations during the three months ended June 30, 2016. This loan decreased from $2.4 million to nil during the six months ended June 30, 2016 due to a $1.9 million fair value adjustment and a $0.5 million gain on extinguishment which were recognized in other income (expense), net in the condensed consolidated statement of operations.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June 30, 2016 or December 31, 2015.</w:t>
      </w:r>
    </w:p>
    <w:p>
      <w:pPr>
        <w:spacing w:after="0" w:line="187" w:lineRule="exact"/>
        <w:rPr>
          <w:sz w:val="20"/>
          <w:szCs w:val="20"/>
          <w:color w:val="auto"/>
        </w:rPr>
      </w:pPr>
    </w:p>
    <w:p>
      <w:pPr>
        <w:jc w:val="both"/>
        <w:ind w:right="280" w:firstLine="486"/>
        <w:spacing w:after="0" w:line="257" w:lineRule="auto"/>
        <w:rPr>
          <w:sz w:val="20"/>
          <w:szCs w:val="20"/>
          <w:color w:val="auto"/>
        </w:rPr>
      </w:pPr>
      <w:r>
        <w:rPr>
          <w:rFonts w:ascii="Arial" w:cs="Arial" w:eastAsia="Arial" w:hAnsi="Arial"/>
          <w:sz w:val="18"/>
          <w:szCs w:val="18"/>
          <w:color w:val="auto"/>
        </w:rPr>
        <w:t>In April 2016, Sourceprose Corporation filed a complaint in the U.S. District Court for the Western District of Texas against the Company alleging breach of an agreement with the plaintiff to purchase certain patent assets and breach of a non-disclosure agreement with plaintiff. In July 2016, the Court transferred the litigation to the U.S. District Court for the Northern District of California. The plaintiff seeks monetary damages and injunctive relief. The Company is not currently able to determine whether there is a reasonable possibility that a loss has been incurred, nor can we estimate the potential loss or range of the potential loss that may result from this litigation.</w:t>
      </w:r>
    </w:p>
    <w:p>
      <w:pPr>
        <w:spacing w:after="0" w:line="18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In February 2015, the Court held a trial and in November 2015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entered judgment in favor of the Defendants. In December 2015, the Debtor filed an appeal of the judgment. The Company is not currently able to determine whether there is a reasonable possibility that a loss has been incurred, nor can it estimate the potential loss or range of the potential loss that may result from this litigation.</w:t>
      </w:r>
    </w:p>
    <w:p>
      <w:pPr>
        <w:spacing w:after="0" w:line="18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April 2016, the Court entered a final judgment in favor of the Defendants on all the plaintiff's claims. In April 2016, the plaintiff filed an appeal of the judgment. The Company is not currently able to determine whether there is a reasonable possibility that a loss has been incurred, nor can it estimate the potential loss or range of the potential loss that may result from this litigation.</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The Company had no liabilities recorded for these agreements as of June 30, 2016 or December 31, 2015.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August 2012, the Company began offering insurance to cover certain costs of litigation brought against its insured clients. In March 2014, the Company formed a reinsurance company to assume a portion of the underwriting risk on insurance policies that the Company issues on behalf of a Lloyd's of London underwriting syndicate. As of June 30, 2016, the Company recorded a reserve of $0.7 million for known and incurred but not reported claims that represents estimated claim costs and related expenses for the policies underwritten and its portion of the underwriting risk on policies that the Company issued on behalf of the Lloyd's of London underwriting syndicate. The Company regularly reviews loss reserves using a variety of actuarial techniques and updates them as its loss experience develops.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right="9300" w:hanging="492"/>
        <w:spacing w:after="0" w:line="350" w:lineRule="auto"/>
        <w:tabs>
          <w:tab w:leader="none" w:pos="5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Equity Plans</w:t>
      </w:r>
    </w:p>
    <w:p>
      <w:pPr>
        <w:spacing w:after="0" w:line="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6"/>
          <w:szCs w:val="16"/>
          <w:color w:val="auto"/>
        </w:rPr>
        <w:t>A summary of the Company’s activity under its equity-settled award plans and related information is as follows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400"/>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Available</w:t>
            </w: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Average 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7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for Grant</w:t>
            </w:r>
          </w:p>
        </w:tc>
        <w:tc>
          <w:tcPr>
            <w:tcW w:w="1260" w:type="dxa"/>
            <w:vAlign w:val="bottom"/>
          </w:tcPr>
          <w:p>
            <w:pPr>
              <w:jc w:val="right"/>
              <w:ind w:right="31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6"/>
                <w:szCs w:val="16"/>
                <w:b w:val="1"/>
                <w:bCs w:val="1"/>
                <w:color w:val="auto"/>
                <w:w w:val="91"/>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December 31, 2015</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Shares authorized</w:t>
            </w:r>
            <w:r>
              <w:rPr>
                <w:rFonts w:ascii="Arial" w:cs="Arial" w:eastAsia="Arial" w:hAnsi="Arial"/>
                <w:sz w:val="25"/>
                <w:szCs w:val="25"/>
                <w:color w:val="auto"/>
                <w:vertAlign w:val="superscript"/>
              </w:rPr>
              <w:t>(1)</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forfeited/canceled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Restricted stock units withheld related to net-share settlement</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restricted stock units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 June 30, 2016</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3,354</w:t>
            </w:r>
          </w:p>
        </w:tc>
        <w:tc>
          <w:tcPr>
            <w:tcW w:w="12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1,940</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 June 30, 2016</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1,867</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expected to vest - June 30, 2016</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1,938</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53" w:lineRule="exact"/>
        <w:rPr>
          <w:sz w:val="20"/>
          <w:szCs w:val="20"/>
          <w:color w:val="auto"/>
        </w:rPr>
      </w:pPr>
    </w:p>
    <w:p>
      <w:pPr>
        <w:ind w:left="18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 the first quarter of 2016, the Company reserved an additional </w:t>
      </w:r>
      <w:r>
        <w:rPr>
          <w:rFonts w:ascii="Arial" w:cs="Arial" w:eastAsia="Arial" w:hAnsi="Arial"/>
          <w:sz w:val="18"/>
          <w:szCs w:val="18"/>
          <w:color w:val="auto"/>
        </w:rPr>
        <w:t>2.0 million</w:t>
      </w:r>
      <w:r>
        <w:rPr>
          <w:rFonts w:ascii="Arial" w:cs="Arial" w:eastAsia="Arial" w:hAnsi="Arial"/>
          <w:sz w:val="16"/>
          <w:szCs w:val="16"/>
          <w:color w:val="auto"/>
        </w:rPr>
        <w:t xml:space="preserve"> shares of its common stock for future issuance under the 2011 Plan.</w:t>
      </w:r>
    </w:p>
    <w:p>
      <w:pPr>
        <w:spacing w:after="0" w:line="145"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The aggregate intrinsic value of stock options exercised during the three months ended June 30, 2016 and 2015 was $0.2 million and $4.3 million, respectively, and $0.4 million and $5.9 million for stock options exercised during the six months ended June 30, 2016 and 2015, respectively. The total grant date fair value of stock options vested during the three months ended June 30, 2016 and 2015 was $0.5 million and $0.8 million, respectively, and $1.1 million and $1.8 million for stock options vested during the six months ended June 30, 2016 and 2015, respectively.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summary of RSU activity, which includes performance-based restricted stock units (“PBRSUs”), is as follows (in thousands, except per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4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2015</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June 30, 2016</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36,178</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total grant date fair value of RSUs vested during the three months ended June 30, 2016 and 2015 was $3.4 million and $4.8 million, respectively, and $6.2 million and $7.1 million during the six months ended June 30, 2016 and 2015, respectively.</w:t>
      </w:r>
    </w:p>
    <w:p>
      <w:pPr>
        <w:spacing w:after="0" w:line="17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October 2013, the Board of Directors approved net-share settlement for tax withholdings on RSU vesting. During the six months ended June 30, 2016, the Company withheld issuing 217,530 shares of its common stock based on the value of the RSUs on their vesting dates as determined by the Company’s closing common stock price. Total payments to taxing authorities for employees’ minimum tax obligations were $2.0 million for the six months ended June 30, 2016, and were recorded as a reduction to additional paid-in capital and reflected as a financing activity within the condensed consolidated statements of cash flows. The net-share settlements reduced the number of shares that would have otherwise been issued on the vesting date and increased the number of shares reserved for future issuance under the 2011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RSUs granted to employees and directors is measured by reference to the fair value of the underlying shares on the date of grant.</w:t>
      </w:r>
    </w:p>
    <w:p>
      <w:pPr>
        <w:spacing w:after="0" w:line="24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PBRSUs granted during the six months ended June 30, 2016 contain service, performance, and market conditions that affect the quantity of awards that will vest. PBRSUs granted during the six months ended June 30, 2015 contain both service and performance conditions that affect the quantity of awards that will vest. During the three months ended June 30, 2016 and 2015, the Company granted 96,282 and 54,375 PBRSUs, respectively. During the six months ended June 30, 2016 and 2015, the Company granted 96,282 and 54,375 PBRSUs, respectively. The Company estimates the grant date fair value of PBRSUs which include market conditions using the Monte Carlo simulation model which are only applicable to the PBRSUs granted during the six months ended June 30, 2016. The weighted-average assumptions used to estimate the fair value of PBRSUs with market conditions and the resulting fair values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Three and Six Months Ended</w:t>
            </w:r>
          </w:p>
        </w:tc>
      </w:tr>
      <w:tr>
        <w:trPr>
          <w:trHeight w:val="210"/>
        </w:trPr>
        <w:tc>
          <w:tcPr>
            <w:tcW w:w="9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June 30,</w:t>
            </w:r>
          </w:p>
        </w:tc>
      </w:tr>
      <w:tr>
        <w:trPr>
          <w:trHeight w:val="33"/>
        </w:trPr>
        <w:tc>
          <w:tcPr>
            <w:tcW w:w="9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17"/>
        </w:trPr>
        <w:tc>
          <w:tcPr>
            <w:tcW w:w="9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9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9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Expected term - in years</w:t>
            </w:r>
          </w:p>
        </w:tc>
        <w:tc>
          <w:tcPr>
            <w:tcW w:w="120" w:type="dxa"/>
            <w:vAlign w:val="bottom"/>
          </w:tcPr>
          <w:p>
            <w:pPr>
              <w:spacing w:after="0"/>
              <w:rPr>
                <w:sz w:val="21"/>
                <w:szCs w:val="21"/>
                <w:color w:val="auto"/>
              </w:rPr>
            </w:pPr>
          </w:p>
        </w:tc>
        <w:tc>
          <w:tcPr>
            <w:tcW w:w="222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7"/>
        </w:trPr>
        <w:tc>
          <w:tcPr>
            <w:tcW w:w="9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6.28</w:t>
            </w:r>
          </w:p>
        </w:tc>
      </w:tr>
      <w:tr>
        <w:trPr>
          <w:trHeight w:val="27"/>
        </w:trPr>
        <w:tc>
          <w:tcPr>
            <w:tcW w:w="9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Stock-based compensation expense related to stock options granted to employees and directors was $0.4 million and $0.7 million for the three months ended June 30, 2016 and 2015, respectively, and $0.8 million and $1.5 million for the six months ended June 30, 2016 and 2015, respectively. Stock-based compensation expense related to RSUs granted to employees and directors was $4.5 million and $3.7 million for the three months ended June 30, 2016 and 2015, respectively, and $8.7 million and $6.8 million for the six months ended June 30, 2016 and 2015, respectively. Stock-based compensation expense related to PBRSUs granted to employees was nil and $0.2 million for the three month periods ended June 30, 2016 and 2015, respectively, and $0.3 million and $0.3 million for the six months ended June 30, 2016 and 2015, respectively.</w:t>
      </w:r>
    </w:p>
    <w:p>
      <w:pPr>
        <w:spacing w:after="0" w:line="178"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As of June 30, 2016, there was $0.2 million and $43.4 million of unrecognized compensation cost related to stock options and RSUs, including PBRSUs, respectively, which is expected to be recognized over a weighted-average period of 0.2 and 2.9, respectively. Future grants of equity awards will increase the amount of stock-based compensation expense to be recorded.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77"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On February 10, 2015, the Company announced that its Board of Directors had authorized a share repurchase program under which the Company is authorized to repurchase up to $75.0 million of its outstanding common stock with no expiration date from the date of authorization. In March 2016 and May 2016, the Company increased its share repurchase program by $25 million and $50 million, respectively, for a total amount authorized of $150 million. As of June 30, 2016, the Company repurchased $65.2 million of the outstanding common stock. Under the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The purchase price for the repurchased shares is reflected as a reduction to common stock and retained earnings in the Company's condensed consolidated balance sheet. Share repurchase activity during the period presented was as follows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Arial" w:cs="Arial" w:eastAsia="Arial" w:hAnsi="Arial"/>
                <w:sz w:val="16"/>
                <w:szCs w:val="16"/>
                <w:b w:val="1"/>
                <w:bCs w:val="1"/>
                <w:color w:val="auto"/>
              </w:rPr>
              <w:t>Value of Shares</w:t>
            </w:r>
          </w:p>
        </w:tc>
      </w:tr>
      <w:tr>
        <w:trPr>
          <w:trHeight w:val="210"/>
        </w:trPr>
        <w:tc>
          <w:tcPr>
            <w:tcW w:w="538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 Repurchased</w:t>
            </w:r>
          </w:p>
        </w:tc>
        <w:tc>
          <w:tcPr>
            <w:tcW w:w="14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Average Price per Share</w:t>
            </w:r>
          </w:p>
        </w:tc>
        <w:tc>
          <w:tcPr>
            <w:tcW w:w="280" w:type="dxa"/>
            <w:vAlign w:val="bottom"/>
          </w:tcPr>
          <w:p>
            <w:pPr>
              <w:spacing w:after="0"/>
              <w:rPr>
                <w:sz w:val="18"/>
                <w:szCs w:val="18"/>
                <w:color w:val="auto"/>
              </w:rPr>
            </w:pPr>
          </w:p>
        </w:tc>
        <w:tc>
          <w:tcPr>
            <w:tcW w:w="1660" w:type="dxa"/>
            <w:vAlign w:val="bottom"/>
          </w:tcPr>
          <w:p>
            <w:pPr>
              <w:jc w:val="right"/>
              <w:ind w:right="434"/>
              <w:spacing w:after="0"/>
              <w:rPr>
                <w:sz w:val="20"/>
                <w:szCs w:val="20"/>
                <w:color w:val="auto"/>
              </w:rPr>
            </w:pPr>
            <w:r>
              <w:rPr>
                <w:rFonts w:ascii="Arial" w:cs="Arial" w:eastAsia="Arial" w:hAnsi="Arial"/>
                <w:sz w:val="16"/>
                <w:szCs w:val="16"/>
                <w:b w:val="1"/>
                <w:bCs w:val="1"/>
                <w:color w:val="auto"/>
              </w:rPr>
              <w:t>Repurchased</w:t>
            </w:r>
          </w:p>
        </w:tc>
      </w:tr>
      <w:tr>
        <w:trPr>
          <w:trHeight w:val="33"/>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December 31, 2015</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26,175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Repurchase activity during the period</w:t>
            </w: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39,072</w:t>
            </w:r>
          </w:p>
        </w:tc>
      </w:tr>
      <w:tr>
        <w:trPr>
          <w:trHeight w:val="27"/>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June 30, 2016</w:t>
            </w:r>
          </w:p>
        </w:tc>
        <w:tc>
          <w:tcPr>
            <w:tcW w:w="1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65,247</w:t>
            </w: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960" w:type="dxa"/>
            <w:vAlign w:val="bottom"/>
          </w:tcPr>
          <w:p>
            <w:pPr>
              <w:jc w:val="right"/>
              <w:ind w:right="14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37% and 39% for the three months ended June 30, 2016 and 2015, respectively, and 38% for each six month period ended June 30, 2016 and 2015.</w:t>
      </w:r>
    </w:p>
    <w:p>
      <w:pPr>
        <w:spacing w:after="0" w:line="166" w:lineRule="exact"/>
        <w:rPr>
          <w:sz w:val="20"/>
          <w:szCs w:val="20"/>
          <w:color w:val="auto"/>
        </w:rPr>
      </w:pPr>
    </w:p>
    <w:p>
      <w:pPr>
        <w:jc w:val="both"/>
        <w:ind w:right="320" w:firstLine="486"/>
        <w:spacing w:after="0" w:line="302" w:lineRule="auto"/>
        <w:rPr>
          <w:sz w:val="20"/>
          <w:szCs w:val="20"/>
          <w:color w:val="auto"/>
        </w:rPr>
      </w:pPr>
      <w:r>
        <w:rPr>
          <w:rFonts w:ascii="Arial" w:cs="Arial" w:eastAsia="Arial" w:hAnsi="Arial"/>
          <w:sz w:val="16"/>
          <w:szCs w:val="16"/>
          <w:color w:val="auto"/>
        </w:rPr>
        <w:t>The Company's 2012 through 2015 tax periods are open to examination by the Internal Revenue Service and the 2011 through 2015 tax periods are open to examination by most state tax authorities. Inventus's federal income tax return for fiscal year 2013 is currently under examination by the Internal Revenue Service and at this time, although the outcome is subject to significant uncertainty, the Company believes it has valid positions supporting its tax return and does not expect that proposed adjustments, if any, would be material to the Company's consolidated financial statements.</w:t>
      </w:r>
    </w:p>
    <w:p>
      <w:pPr>
        <w:spacing w:after="0" w:line="11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During each of the three month periods ended June 30, 2016 and 2015, four members of the Company’s Board of Directors also served on the boards of directors of RPX clients. During the six months ended June 30, 2016 and 2015, four and five members, respectively, of the Company's Board of Directors also served on the boards of directors of RPX clients. The Company recognized subscription revenue from these clients in the amount of $2.5 million and $2.3 million for the three month periods ended June 30, 2016 and 2015, respectively, and $4.8 million and $4.7 million for the six month periods ended June 30, 2016 and 2015, respectively. The Company recognized selling, general, and administrative expenses from products and services provided by one of these clients of $0.1 million for each three month period ended June 30, 2016 and 2015, and $0.2 million for each six month period ended June 30, 2016 and 2015. As of June 30, 2016 and December 31, 2015, there were $0.1 million and nil receivables, respectively, due from these clients. These transactions with related-parties were conducted on terms equivalent to those prevailing in arm's length transactions.</w:t>
      </w:r>
    </w:p>
    <w:p>
      <w:pPr>
        <w:spacing w:after="0" w:line="12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Prior to the acquisition of Inventus in January 2016, the Company’s Chief Executive Officer reviewed financial information presented on a consolidated basis and, as a result, the Company concluded that there was only one operating and reportable segment. Subsequent to the acquisition of Inventus (see Note 7, Business Combinations), the Company's Chief Executive Officer reviews separate financial information for the patent risk management and discovery services businesses. Therefore as of January 2016, the Company has two reportable segments: 1) Patent risk management which generates its revenues primarily from membership subscriptions, premiums earned from insurance policies, and management fees for marketing, underwriting, and claim management and 2) Discovery services which generates its revenues primarily from fees generated for data collection, hosting and processing, project management, and document review services. There are no significant internal revenue transactions between these two reportable segments.</w:t>
      </w:r>
    </w:p>
    <w:p>
      <w:pPr>
        <w:spacing w:after="0" w:line="17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Although Adjusted EBITDA is not a measure of financial performance determined in accordance with GAAP, the Company's chief operating decision maker evaluates segment financial performance by utilizing the segment's Adjusted EBITDA because the Company believes it is a useful supplemental measure that reflects core operating performance and provides an indicator of the segment's ability to generate cash. The Company defines Adjusted EBITDA as net income exclusive of provision for income taxes, interest and other income (expense), net, stock-based compensation and related employer payroll taxes, depreciation, and amortization. There are limitations in using the Company's measures of financial performance that are not determined in accordance with GAAP and these may be different from other financial measures not determined in accordance with GAAP used by other companies. These financial measures are limited in value because they exclude certain items that may have a material impact on the Company's reported financial results. In addition, they are subject to inherent limitations as they reflect the exercise of judgment by the Company about which items are adjusted to calculate its financial measures not determined in accordance with GAAP. The presentation of financial measures not determined in accordance with GAAP should not be considered in isolation or as a substitute for or superior to financial results determined in accordance with GAAP.</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Summarized financial information by segment for the three and six months ended June 30, 2016 utilized by the Company's chief operating decision maker is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Three Months</w:t>
            </w: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Six Months Ended</w:t>
            </w:r>
          </w:p>
        </w:tc>
      </w:tr>
      <w:tr>
        <w:trPr>
          <w:trHeight w:val="210"/>
        </w:trPr>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Ended June 30,</w:t>
            </w:r>
          </w:p>
        </w:tc>
        <w:tc>
          <w:tcPr>
            <w:tcW w:w="260" w:type="dxa"/>
            <w:vAlign w:val="bottom"/>
          </w:tcPr>
          <w:p>
            <w:pPr>
              <w:spacing w:after="0"/>
              <w:rPr>
                <w:sz w:val="18"/>
                <w:szCs w:val="18"/>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June 30,</w:t>
            </w:r>
          </w:p>
        </w:tc>
      </w:tr>
      <w:tr>
        <w:trPr>
          <w:trHeight w:val="270"/>
        </w:trPr>
        <w:tc>
          <w:tcPr>
            <w:tcW w:w="8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Patent Risk Management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63,851</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133,008</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81,782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19,603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41,537</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9,769</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81,176</w:t>
            </w:r>
          </w:p>
        </w:tc>
      </w:tr>
      <w:tr>
        <w:trPr>
          <w:trHeight w:val="29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Adjusted EBTIDA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48,452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100,634</w:t>
            </w:r>
          </w:p>
        </w:tc>
      </w:tr>
      <w:tr>
        <w:trPr>
          <w:trHeight w:val="311"/>
        </w:trPr>
        <w:tc>
          <w:tcPr>
            <w:tcW w:w="8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Discovery Services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9,920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14,954</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11,262</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3,620</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4,409</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EBTIDA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8,258</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83,109</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162,844</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96,736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25,904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52,799</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13,309</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The Company markets its solutions to companies around the world. Revenue is generally attributed to geographic areas based on the country in which the client is domiciled. The following table presents revenue by location and revenue generated by country as a percentage of total revenue for the applicable period, for countries representing 10% or more of revenues for one or more of the periods presented (dollars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80" w:type="dxa"/>
            <w:vAlign w:val="bottom"/>
            <w:gridSpan w:val="8"/>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w w:val="91"/>
              </w:rPr>
              <w:t>Six Months Ended June 30,</w:t>
            </w:r>
          </w:p>
        </w:tc>
        <w:tc>
          <w:tcPr>
            <w:tcW w:w="7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0"/>
                <w:szCs w:val="20"/>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94,652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8,908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9,153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17,913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18,485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Korea</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9,167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35,940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21,389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83,109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162,844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150,838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62"/>
        </w:trPr>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Company's subtotal segment Adjusted EBITDA to consolidated net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Three Months</w:t>
            </w: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Six Months Ended</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Ended June 30,</w:t>
            </w:r>
          </w:p>
        </w:tc>
        <w:tc>
          <w:tcPr>
            <w:tcW w:w="26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 segment adjusted EBITDA</w:t>
            </w:r>
          </w:p>
        </w:tc>
        <w:tc>
          <w:tcPr>
            <w:tcW w:w="4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108,892</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(85,585)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including related taxes</w:t>
            </w:r>
          </w:p>
        </w:tc>
        <w:tc>
          <w:tcPr>
            <w:tcW w:w="3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9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920" w:type="dxa"/>
            <w:vAlign w:val="bottom"/>
            <w:vMerge w:val="restart"/>
          </w:tcPr>
          <w:p>
            <w:pPr>
              <w:jc w:val="right"/>
              <w:ind w:right="26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(“SEC”) on February 26, 2016.</w:t>
      </w:r>
    </w:p>
    <w:p>
      <w:pPr>
        <w:spacing w:after="0" w:line="18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patent acquisition spending, our acquisition of Inventus, and our competitive position. These statements are based on the beliefs and assumptions of our management based on information that is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 on February 26, 2016.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Since our founding in 2008, we have been providing a rational alternative to litigation through our patent risk management solution. In January 2016 through our acquisition of Inventus, we began offering technology-enabled discovery services to our clients.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Risk Management</w:t>
      </w:r>
    </w:p>
    <w:p>
      <w:pPr>
        <w:spacing w:after="0" w:line="77" w:lineRule="exact"/>
        <w:rPr>
          <w:sz w:val="20"/>
          <w:szCs w:val="20"/>
          <w:color w:val="auto"/>
        </w:rPr>
      </w:pPr>
    </w:p>
    <w:p>
      <w:pPr>
        <w:ind w:right="34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jc w:val="both"/>
        <w:ind w:right="220" w:firstLine="446"/>
        <w:spacing w:after="0" w:line="264" w:lineRule="auto"/>
        <w:rPr>
          <w:sz w:val="20"/>
          <w:szCs w:val="20"/>
          <w:color w:val="auto"/>
        </w:rPr>
      </w:pPr>
      <w:r>
        <w:rPr>
          <w:rFonts w:ascii="Arial" w:cs="Arial" w:eastAsia="Arial" w:hAnsi="Arial"/>
          <w:sz w:val="18"/>
          <w:szCs w:val="18"/>
          <w:color w:val="auto"/>
        </w:rPr>
        <w:t>The core of our patent risk management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patent risk management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During the six months ended June 30, 2016, we completed 43 acquisitions of patent assets and our gross and net patent acquisition spend totaled $37.4 million and $37.1 million, respectively. From our inception through June 30, 2016, we have completed 350 acquisitions of patent assets with gross and net patent acquisition spend of $2.1 billion and $867.1 million, respectively.</w:t>
      </w:r>
    </w:p>
    <w:p>
      <w:pPr>
        <w:spacing w:after="0" w:line="178"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Insuring against the costs of patent litigation is a natural extension of our core defensive patent acquisition service. In August 2012, we started to offer patent infringement liability insurance, which is a liability insurance policy for operating companies that covers certain costs associated with patent infringement lawsuits. The insurance product complements our core defensive patent acquisition service, enabling policyholders to better manage and mitigate the risk of patent litigation. In connection with an evolution in the way that we sell insurance policies, during March 2014 we formed a reinsurance company to assume a portion of the underwriting risk on insurance policies that we issue on behalf of a Lloyd’s of London underwriting syndicate. We began issuing new policies under the reinsurance model in May 2014. As of June 30, 2016, we had a total of 153 active insurance policies. The effect of the insurance policies that we have issued or assumed through our reinsurance business was not material to our results of operations or financial condition for the six months ended June 30, 2016 or 2015.</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firstLine="446"/>
        <w:spacing w:after="0" w:line="312" w:lineRule="auto"/>
        <w:rPr>
          <w:sz w:val="20"/>
          <w:szCs w:val="20"/>
          <w:color w:val="auto"/>
        </w:rPr>
      </w:pPr>
      <w:r>
        <w:rPr>
          <w:rFonts w:ascii="Arial" w:cs="Arial" w:eastAsia="Arial" w:hAnsi="Arial"/>
          <w:sz w:val="16"/>
          <w:szCs w:val="16"/>
          <w:color w:val="auto"/>
        </w:rPr>
        <w:t>During the six months ended June 30, 2016 and 2015, revenue from our patent risk management solution was $133.0 million and $150.8 million, respectively. Our patent risk management client count, which includes both clients who receive our defensive patent acquisition service and our insurance service, increased by 63 clients during the six months ended June 30, 2016, bringing our total client network to 317 as of June 30, 2016.</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Discovery Services</w:t>
      </w:r>
    </w:p>
    <w:p>
      <w:pPr>
        <w:spacing w:after="0" w:line="7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January 2016, through our wholly-owned subsidiary Inventus, we began offering technology-enabled discovery services to assist leading law firms and corporate legal departments manage costs and risks related to the litigation discovery process. Our more than 1,000 discovery services clients in nearly a dozen countries benefit from our discovery services solution, which includes data hosting and backup, data processing and collection, project management, document review, and traditional document production. All of these services are designed to streamline the administration of litigation, investigations, and regulatory compliance. Certain of our discovery services operations are denominated in currencies other than the U.S. Dollar, primarily the British Pound and the European Euro, and therefore these operations are exposed to foreign exchange rate fluctuations.</w:t>
      </w:r>
    </w:p>
    <w:p>
      <w:pPr>
        <w:spacing w:after="0" w:line="165"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Our discovery services solution focuses on the process of consolidation and organization of data into meaningful discovery information powered by a mix of third-party and proprietary software. This allows our discovery services clients to efficiently and effectively manage a portfolio of litigation discovery matters in a central location.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Subscription revenue includes membership subscriptions to our defensive patent aggregation services, premiums earned from insurance policies, and management fees. Historically, the majority of our revenue has consisted of fees paid by our clients under subscription agreements. Subscription revenue will be positively or negatively impacted by the financial performance of our patent risk management clients since their subscription fees typically reset annually based upon their most recently reported annual financial results. Additionally, in August 2012, we launched our insurance product and started to recognize insurance premium revenue from the insurance policies that we underwrite. As the primary insurer, we had been recognizing the full insurance premium as revenue. In May 2014, we began to assume a portion of the underwriting risk on insurance policies that we issue on behalf of a Lloyd's of London underwriting syndicate, and as a result we recognize only the portion of the underwriting risk that we assume. In addition, we receive management fees for marketing, underwriting, and claims management services. Although we expect this revenue to increase as we sell more insurance policies in the future, for the six months ended June 30, 2016 and 2015, insurance premium revenue was not material to our results of operations.</w:t>
      </w:r>
    </w:p>
    <w:p>
      <w:pPr>
        <w:spacing w:after="0" w:line="16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Discovery revenue represents fees generated from services rendered in connection with our discovery services solution. These services are typically comprised of data collection, hosting and processing, project management, and document review services, and are generally billed in arrears based on the number of users, amount of data stored, and/or number of consulting hours. Our discovery revenue may fluctuate significantly based on the project-oriented nature of the discovery services we provide.</w:t>
      </w:r>
    </w:p>
    <w:p>
      <w:pPr>
        <w:spacing w:after="0" w:line="18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recognize revenue from the sale of licenses and advisory fee income in connection with syndicated acquisitions, which we collectively refer to as fee-related revenue. In the future, we may receive other revenue and fee income from newly-introduced products and services. While we may continue to experience revenue growth on an annual basis, we do not believe that our rate of growth since inception is representative of anticipated future revenue growth.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Cost of revenue from our patent risk management solution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from our patent risk management solution are expenses incurred to maintain our patents, prosecute our patent applications, conduct inter partes reviews and prior art searches, and amortization expense for acquired intangible assets and internally developed software. With the launch of our insurance offering in August 2012, cost of revenue from our patent risk management solution began to include premiums ceded to reinsurers and loss reserves. We began to issue new policies under the reinsurance model in May 2014 and under this model we do not cede premiums.</w:t>
      </w:r>
    </w:p>
    <w:p>
      <w:pPr>
        <w:spacing w:after="0" w:line="18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cost of revenue for the patent risk management solution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immediate periods following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amortized over shorter periods than the historical weighted-average of 43 months. We expect our cost of revenue from our patent risk management solution to increase in the future as we add additional patent assets to our existing portfolio to support our existing and future clients and as our insurance business grows.</w:t>
      </w:r>
    </w:p>
    <w:p>
      <w:pPr>
        <w:spacing w:after="0" w:line="12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Cost of revenue from our discovery services consists primarily of compensation costs for employees and third-party contractors who deliver services to our clients, costs incurred to maintain, secure, and store hosted data, license fees for the software we utilize in our discovery services process, and amortization of our identifiable intangible assets for technology used to provide our discovery services to our clients. Our cost of revenue related to hosting data and software license fees is primarily fixed but can fluctuate based on levels of data hosted and number of users our clients choose to have access to the software.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Selling, general and administrative expenses consist of salaries and related expenses, including stock-based compensation expense, amortization related to our intangible assets, cost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77"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Other income (expense), net consists of interest income earned on our cash, cash equivalents and short-term investments, interest expense incurred on our term debt, gains or losses due to foreign currency fluctuations, as well as changes in fair value of our deferred payment obligations.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249"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Other than the adoption of the revenue recognition policies related to the acquired discovery services solution, there have been no material changes to the Company’s significant accounting policies during the six months ended June 30, 2016,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February 26, 2016.</w:t>
      </w:r>
    </w:p>
    <w:p>
      <w:pPr>
        <w:spacing w:after="0" w:line="18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 xml:space="preserve">We recognize revenue from our discovery services solution in accordance with Accounting Standards Codification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Under ASC 605, revenue is recognized when persuasive evidence of an arrangement exists, the related services are provided, the price is fixed or determinable, and collectability is reasonably assured. Our revenue recognition policies related to our discovery services are described in more detail in Note 2, "Basis of Presentation and Significant Accounting Policies," in Notes to Condensed Consolidated Financial Statements (unaudited) in Part I, Item 1 of this Quarterly Report on Form 10-Q.</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Our recent accounting pronouncements are described in more detail in Note 2, "Basis of Presentation and Significant Accounting Policies," in Notes to Condensed Consolidated Financial Statements (unaudited) in Part I, Item 1 of this Quarterly Report on Form 10-Q.</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table sets forth our condensed consolidated statement of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49,070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71,744</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 net</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735</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16,224</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26,061</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 of operations data as a percentage of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7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3"/>
          </w:tcPr>
          <w:p>
            <w:pPr>
              <w:jc w:val="right"/>
              <w:ind w:right="53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9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5920" w:type="dxa"/>
            <w:vAlign w:val="bottom"/>
            <w:gridSpan w:val="2"/>
          </w:tcPr>
          <w:p>
            <w:pPr>
              <w:ind w:left="5540"/>
              <w:spacing w:after="0"/>
              <w:rPr>
                <w:sz w:val="20"/>
                <w:szCs w:val="20"/>
                <w:color w:val="auto"/>
              </w:rPr>
            </w:pPr>
            <w:r>
              <w:rPr>
                <w:rFonts w:ascii="Arial" w:cs="Arial" w:eastAsia="Arial" w:hAnsi="Arial"/>
                <w:sz w:val="16"/>
                <w:szCs w:val="16"/>
                <w:b w:val="1"/>
                <w:bCs w:val="1"/>
                <w:color w:val="auto"/>
              </w:rPr>
              <w:t>2016</w:t>
            </w:r>
          </w:p>
        </w:tc>
        <w:tc>
          <w:tcPr>
            <w:tcW w:w="17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2015</w:t>
            </w:r>
          </w:p>
        </w:tc>
      </w:tr>
      <w:tr>
        <w:trPr>
          <w:trHeight w:val="33"/>
        </w:trPr>
        <w:tc>
          <w:tcPr>
            <w:tcW w:w="4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48</w:t>
            </w:r>
          </w:p>
        </w:tc>
      </w:tr>
      <w:tr>
        <w:trPr>
          <w:trHeight w:val="27"/>
        </w:trPr>
        <w:tc>
          <w:tcPr>
            <w:tcW w:w="4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Gain on sale of patent assets, net</w:t>
            </w:r>
          </w:p>
        </w:tc>
        <w:tc>
          <w:tcPr>
            <w:tcW w:w="170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7"/>
        </w:trPr>
        <w:tc>
          <w:tcPr>
            <w:tcW w:w="4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revenue for the three months ended June 30, 2016 was $83.1 million compared to $67.6 million during the same period a year prior, an increase of $15.5 million, or 23%. Subscription revenue, which includes membership subscriptions to our defensive patent aggregation services, premiums earned from insurance policies, and management fees, for the three months ended June 30, 2016 was $63.2 million compared to $67.6 million for the three months ended June 30, 2015. The decrease in subscription revenue was primarily attributable to a decrease of $5.3 million from clients who joined our network prior to June 30, 2015 partially offset by an increase in membership fees and insurance premiums of $0.9 million from new clients who joined our network subsequent to June 30, 2015. As of June 30, 2016, our patent risk management client network was comprised of 317 companies as compared to 225 as of June 30, 2015.</w:t>
      </w:r>
    </w:p>
    <w:p>
      <w:pPr>
        <w:spacing w:after="0" w:line="189"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Discovery revenue, which includes fees generated from data collection, hosting and processing, project management, and document review services, for the three months ended June 30, 2016 was $19.3 million compared to nil in the same period a year prior as we acquired Inventus in January 2016.</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for the three months ended June 30, 2016 and 2015 included fee-related revenue of $0.6 million and nil, respectively.</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revenue for the six months ended June 30, 2016 was $162.8 million compared to $150.8 million during the same period a year prior, an increase of $12.0 million, or 8%. Subscription revenue, which includes membership subscription services to our defensive patent aggregation services, premiums earned from insurance policies, and management fees, for the six months ended June 30, 2016 was $130.3 million compared to $133.8 million for the six months ended June 30, 2015. The decrease in subscription revenue was primarily attributable to a decrease of $5.3 million from clients who joined our network prior to June 30, 2015 partially offset by an increase in membership fees and insurance premiums of $1.8 million from new clients who joined our network subsequent to June 30, 2015.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Discovery revenue, which includes fees generated from data collection, hosting and processing, project management, and document review services, for the six months ended June 30, 2016 was $29.8 million compared to nil in the same period a year prior as we acquired Inventus in January 2016.</w:t>
      </w:r>
    </w:p>
    <w:p>
      <w:pPr>
        <w:spacing w:after="0" w:line="12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Revenue for the six months ended June 30, 2016 and 2015 included fee-related revenue of $2.7 million and $17.0 million, respectively. The decrease in fee-related revenue was primarily attributable to the success fee earned in relation to a particularly large syndicated acquisition recognized during the six months ended June 30, 2015.</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Our cost of revenue for the three months ended June 30, 2016 was $49.1 million compared to $37.0 million during the same period a year prior, an increase of $12.1 million, or 33%. The increase was primarily attributable to the cost of revenue for discovery services of $9.9 million associated with Inventus, which we acquired in January 2016 and therefore has no comparable cost of revenue for the three months ended June 30, 2015. This increase was also attributable to a $2.6 million increase in patent amortization expense as a result of an increase in our patent assets and shorter than historical amortization periods for certain patent assets acquired subsequent to June 30, 2015. Patent assets acquired during the three months ended June 30, 2016 had a weighted-average amortization period of 25 months compared with the historical weighted-average since our inception of 43 months. Our increase in cost of revenue is also attributable to a $0.2 million increase in costs related to our insurance business. These increases are partially offset by a $0.6 million decrease in expenses incurred to maintain and prosecute patents and patent applications included in our portfolio, conduct inter partes reviews and prior art searches.</w:t>
      </w:r>
    </w:p>
    <w:p>
      <w:pPr>
        <w:spacing w:after="0" w:line="16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cost of revenue for the six months ended June 30, 2016 was $96.7 million compared to $71.7 million during the same period a year prior, an increase of $25.0 million, or 35%. The increase was primarily attributable to the cost of revenue for discovery services of $15.0 million associated with Inventus, which we acquired in January 2016 and therefore has no comparable cost of revenue for the six months ended June 30, 2015. This increase is also attributable to an $11.3 million increase in patent amortization expense as a result of an increase in our patent assets and shorter than historical amortization periods for certain patent assets acquired subsequent to June 30, 2015. Patent assets acquired during the six months ended June 30, 2016 had a weighted-average amortization period of 26 months compared with the historical weighted-average since our inception of 43 months. These increases are partially offset by a $1.1 million decrease in expenses incurred to conduct inter partes reviews and prior art searches and a $0.2 million decrease in costs related to our insurance business.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selling, general and administrative expenses for the three months ended June 30, 2016 were $25.9 million compared to $19.0 million during the same period a year prior, an increase of $6.9 million, or 36%. The increase was primarily due to discovery services selling, general, and administrative expenses of $6.3 million associated with Inventus which we acquired in January 2016 and therefore has no comparable selling, general, or administrative expenses for the three months ended June 30, 2015. The remaining increase was due to increases in general corporate expenses in our patent risk management business.</w:t>
      </w:r>
    </w:p>
    <w:p>
      <w:pPr>
        <w:spacing w:after="0" w:line="188"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color w:val="auto"/>
        </w:rPr>
        <w:t>Our selling, general and administrative expenses for the six months ended June 30, 2016 were $52.8 million compared to $38.5 million during the same period a year prior, an increase of $14.3 million, or 37%. The increase was primarily due to discovery services selling, general, and administrative expenses of $11.3 million associated with Inventus which we acquired in January 2016 and therefore has no comparable selling, general, or administrative expenses for the six months ended June 30, 2015. The increase was also due to $1.9 million of other selling, general and administrative expenses incurred in relation to our acquisition of Inventus and a $1.1 million increase in personnel-related costs.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77"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Our other expense, net for the three months ended June 30, 2016 was $0.8 million compared to other income, net of $0.8 million during the same period a year prior, a decrease of $1.4 million. The decrease was primarily due to $1.2 million of foreign currency losses, $0.7 million of interest expense, $0.3 million decrease in fair value adjustments on our deferred payment obligations, and $0.2 million of realized losses on the sale of our short-term investments.</w:t>
      </w:r>
    </w:p>
    <w:p>
      <w:pPr>
        <w:spacing w:after="0" w:line="187"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Our other income, net for the six months ended June 30, 2016 was $1.3 million compared to $0.7 million during the same period a year prior, a decrease of $0.6 million. The decrease was primarily due to $1.1 million of interest expense, $1.0 million of foreign currency losses, and $0.3 million of realized losses on the sale of our short-term investments which were partially offset by $1.6 million of fair value adjustments on our deferred payment obligations.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Our provision for income taxes was $2.4 million and $5.1 million for the three months ended June 30, 2016 and 2015. Our effective tax rate, including the impact of discrete benefit items, was 37% and 39% for the three months ended June 30, 2016 and 2015.</w:t>
      </w:r>
    </w:p>
    <w:p>
      <w:pPr>
        <w:spacing w:after="0" w:line="17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Our provision for income taxes was $5.2 million and $16.2 million for the six months ended June 30, 2016 and 2015. Our effective tax rate, including the impact of discrete benefit items, was 38% for each six month period ended June 30, 2016 and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We have financed substantially all of our operations and patent asset acquisitions through subscription and other fees collected from our clients, patent-seller financing, the sale of equity securities, and from borrowing through term loan facilities. As of June 30, 2016, we had $130.0 million of cash and cash equivalents and $69.1 million in short-term investments. On January 22, 2016, we paid consideration of $232 million in cash, net of working capital adjustments, at the closing of the Inventus acquisition. On February 26, 2016, we entered into a credit agreement for a $100 million five-year term facility and a $50 million five-year revolving credit facility. As of June 30, 2016, the revolving credit facility remains undrawn.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and development of new products and services. We may experience an increased level of patent acquisition spending as our business grows. We expect our cash used in investing activities to increase in the future as we acquire additional patent assets. We expect our cash used in financing activities to increase in the future as we execute our stock repurchase program by purchasing RPX shares.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(109,693)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(89,191)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Foreign-currency effect on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35,057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23,853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Cash provided by operating activities for the six months ended June 30, 2016 was $89.2 million, consisting of adjustments for non-cash items of $95.8 million, changes in working capital and non-current assets and liabilities of $15.0 million and net income of $8.4 million. Non-cash adjustments to net income primarily consisted of $85.6 million of depreciation and amortization, $9.8 million of stock-based compensation, an unrealized loss of $1.2 million due to foreign currency fluctuations, $1.0 million of amortization of premium on investments, $0.3 million realized loss on our sale of short-term investments, $0.2 million net decrease in our deferred taxes excluding those acquired through our acquisition of Inventus in January 2016, partially offset by $1.9 million of fair value adjustments on our deferred payment obligations and $0.5 million gain on extinguishment of our deferred payment obligation. The change in working capital and non-current assets and liabilities resulted primarily from a $15.2 million increase in accounts receivable, a $6.1 million decrease in our accrued and other liabilities and an increase in our prepaid expenses and other assets of $1.3 million partially offset by a $7.4 million increase in deferred revenue and a $0.2 million increase in accounts payable.</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provided by operating activities for the six months ended June 30, 2015 was $108.1 million, consisting of adjustments for non-cash items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$79.0 million, changes in working capital and non-current assets and liabilities of $3.0 million and net income of $26.1 million. Non-cash adjustments to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primarily consisted of $70.0 million of depreciation and amortization, $8.5 million of stock-based compensation, and $3.2 million of amortization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premium on investments, offset by a reduction of $1.2 million due to excess tax benefit from stock-based compensation, a $0.6 million gain on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 assets, a $0.2 million net increase in our deferred taxes, and a $0.7 million fair value adjustment on our deferred payment obligations. The change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working capital and non-current assets and liabilities resulted primarily from a $13.2 million decrease in accounts receivable, a $6.3 million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and a $0.4 million increase in accounts payable, partially offset by a $12.1 million increase in prepaid expenses and other assets and a $4.9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decrease in our accrued and other liabilities. The decrease in accounts receivable was due to $161.4 million in cash collections,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billings to new and existing clients of $148.2 million. The increase in deferred revenue was due to revenue recognized during the period of $134.4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$140.7 million in billings to new and existing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clients. The amount of deferred revenue in any given period varies with the addition of new clients, the mix of payment terms that we offer and the timing of invoicing existing clients.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Cash used in investing activities for the six months ended June 30, 2016 was $109.7 million, of which $228.5 million was used for the acquisition of Inventus, net of cash received, $36.5 million was used to acquire patent assets, and $2.1 million was used to acquire property and equipment, partially offset by $157.2 million net sales and maturities of short-term investments used to fund the acquisition of Inventus, and a $0.2 million decrease in our restricted cash balances.</w:t>
      </w:r>
    </w:p>
    <w:p>
      <w:pPr>
        <w:spacing w:after="0" w:line="187"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Cash used in investing activities for the six months ended June 30, 2015 was $89.2 million, of which $48.9 million was used to acquire patent assets, $37.1 million represented net purchases of short-term marketable securities, $2.5 million was used for acquisitions of other assets, $1.1 million was used to acquire property and equipment, and $0.4 million was used for the final payment of the acquisition of DCML Services Corporation. This decrease was partially offset by $0.7 million in proceeds from the sale of patent assets and $0.3 million decrease in restricted cash.</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Cash used in financing activities for the six months ended June 30, 2016 was $55.7 million, of which $100.0 million represented proceeds from the issuance of long-term debt which was partially offset by $39.1 million used to repurchase our common stock under our share repurchase program, $2.0 million for payments of issuance costs related to our long-term debt, $2.0 million used in taxes paid related to net-share settlements of restricted stock units and payments of principal on our long-term debt of $1.3 million.</w:t>
      </w:r>
    </w:p>
    <w:p>
      <w:pPr>
        <w:spacing w:after="0" w:line="18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Cash provided by financing activities for the six months ended June 30, 2015 was $5.0 million, of which $6.3 million was from proceeds from deferred payment obligations, $4.3 million was the result of proceeds from the exercise of stock options and other common stock issuances and $1.2 million was due to excess tax benefit from stock-based compensation. This increase was partially offset by $3.5 million used to repurchase our common stock under our share repurchase program, $2.3 million in taxes paid related to net-share settlements of restricted stock units, and $0.9 million used for repayments of deferred payment obligations.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w:t>
      </w:r>
    </w:p>
    <w:p>
      <w:pPr>
        <w:spacing w:after="0" w:line="77" w:lineRule="exact"/>
        <w:rPr>
          <w:sz w:val="20"/>
          <w:szCs w:val="20"/>
          <w:color w:val="auto"/>
        </w:rPr>
      </w:pPr>
    </w:p>
    <w:p>
      <w:pPr>
        <w:ind w:right="360" w:firstLine="486"/>
        <w:spacing w:after="0" w:line="273" w:lineRule="auto"/>
        <w:rPr>
          <w:sz w:val="20"/>
          <w:szCs w:val="20"/>
          <w:color w:val="auto"/>
        </w:rPr>
      </w:pPr>
      <w:r>
        <w:rPr>
          <w:rFonts w:ascii="Arial" w:cs="Arial" w:eastAsia="Arial" w:hAnsi="Arial"/>
          <w:sz w:val="17"/>
          <w:szCs w:val="17"/>
          <w:color w:val="auto"/>
        </w:rPr>
        <w:t>We generally do not enter into long-term minimum purchase commitments. Our principal long-term commitments consist of obligations under operating leases for office space. Other than certain commitments obtained through our acquisition of Inventus as shown below, there were no substantial changes to our contractual obligations and commitments during the six months ended June 30, 2016 as compared to our contractual obligations and commitments presented under the heading “Contractual Obligations and Commitments” in Part II, Item 7 “Management’s Discussion and Analysis of Financial Condition and Results of Operations” or the heading “Commitments and Contingencies” in Note 10 of the Notes to Consolidated Financial Statements in Part II, Item 8 of our Annual Report on Form 10-K filed with the SEC on February 26, 2016.</w:t>
      </w:r>
    </w:p>
    <w:p>
      <w:pPr>
        <w:spacing w:after="0" w:line="17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aggregate future non-cancelable minimum lease payments from the operating leases acquired through our acquisition of Inventus are as follows as of June 30, 2016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1,148</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904</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838</w:t>
            </w:r>
          </w:p>
        </w:tc>
      </w:tr>
      <w:tr>
        <w:trPr>
          <w:trHeight w:val="27"/>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non-cancelable minimum operating lease payments</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Less: minimum payments to be received from non-cancelable subleases</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7"/>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non-cancelable minimum operating lease payments, net</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4,552</w:t>
            </w:r>
          </w:p>
        </w:tc>
      </w:tr>
      <w:tr>
        <w:trPr>
          <w:trHeight w:val="20"/>
        </w:trPr>
        <w:tc>
          <w:tcPr>
            <w:tcW w:w="9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Through our acquisition of Inventus, we also acquired a three year contractual commitment totaling $5.3 million related to its third-party discovery service software license, of which $1.8 million remains unpaid and will be paid within twelve months.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w:t>
      </w:r>
    </w:p>
    <w:p>
      <w:pPr>
        <w:spacing w:after="0" w:line="7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On February 26, 2016, we entered into a Credit Agreement (the "Credit Agreement") which provided for a $100 million five-year term facility (the "Term Facility") and a $50 million five-year revolving credit facility (the "Revolving Credit Facility"). As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June 30, 2016, the total balance outstanding on the Term Facility is $98.8 million, and the Revolving Credit Facility remains undrawn. Our debt facilities and repayment schedule are described in more detail in Note 11, "Debt," in Notes to Condensed Consolidated Financial Statements (unaudited) in Part I, Item 1 of this Quarterly Report on Form 10-Q.</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In February 2015, our Board of Directors authorized the repurchase of up to $75.0 million of our outstanding shares of common stock. In March and May 2016, we increased our share repurchase program by $25 million and $50 million, respectively, for a total amount authorized of $150 million. As part of the share repurchase program, shares may be purchased in open market transactions, including through block purchases, through privately negotiated transactions, or pursuant to any trading plan that may be adopted in accordance with Rule 10b5-1 of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 open market repurchases will be made in accordance with Exchange Act Rule 10b-18, which sets certain restrictions on the method, timing, price and volume of open market stock repurchases. As of June 30, 2016, we had repurchased an aggregate of 5.9 million shares of common stock in the open market for $65.2 million under the share repurchase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At June 30, 2016,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subscription agreements are denominated in U.S. Dollars and, therefore, our subscription revenue is not currently subject to significant foreign currency risk. Certain of our discovery services operations are denominated in currencies other than the U.S. Dollar, primarily the British Pound and the European Euro, and therefore these operations are exposed to foreign exchange rate fluctuations. Our expenses are incurred primarily in the United States, with a portion of expenses incurred and denominated in the currencies where our international offices are located. Our results of operations and cash flows are subject to fluctuations due to changes in foreign currency exchange rates, particularly changes in the British Pound, Japanese Yen and European Euro relative to the U.S. Dollar. To date, we have not entered into any foreign currency hedging contracts.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investment portfolio of cash equivalents and short-term investments and our long-term debt.</w:t>
      </w:r>
    </w:p>
    <w:p>
      <w:pPr>
        <w:spacing w:after="0" w:line="170"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As of June 30, 2016, the Company had an outstanding term facility with a five-year maturity with an aggregate carrying amount of $100 million, which bears interest at the Company's option equal to either a base rate plus a margin ranging from 1.25% to 1.75% per annum LIBOR plus a margin ranging from 2.25% to 2.75% per annum, based upon the ratio of the Company's debt to consolidated EBITDA ratio. A hypothetical 100 BPS increase or decrease in LIBOR would increase or decrease the interest expense on our term facility by approximately $0.3 million for the six months ended June 30, 2016.</w:t>
      </w:r>
    </w:p>
    <w:p>
      <w:pPr>
        <w:spacing w:after="0" w:line="154"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had cash, cash equivalents and short-term investments of $199.1 million as of June 30, 2016. Our cash balances deposited in U.S. banks are non-interest bearing and insured up to the Federal Deposit Insurance Corporation (“FDIC”) limits. Cash equivalents consist primarily of commercial paper, institutional money market funds, and municipal bonds denominated primarily in U.S. Dollars. Interest rate fluctuations affect the returns on our invested funds.</w:t>
      </w:r>
    </w:p>
    <w:p>
      <w:pPr>
        <w:spacing w:after="0" w:line="18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As of June 30, 2016, our short-term investments of $69.1 million were primarily invested in municipal and corporate bonds maturing between 90 days and 12 months, U.S. government and agency securities, commercial paper, and equity securities. As of June 30, 2016, our investments were primarily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June 30, 2016, we had not recorded any impairment charges related to our investments in the condensed consolidated statement of operations.</w:t>
      </w:r>
    </w:p>
    <w:p>
      <w:pPr>
        <w:spacing w:after="0" w:line="17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 hypothetical change in our interest rates of 10% during the six months ended June 30, 2016 would not have had a material impact on the fair value of our investments.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2016, our Chief Executive Officer and Chief Financial Officer concluded that, as of such date, the Company’s disclosure controls and procedures were effective at the reasonable assurance level.</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2016 which were identified in connection with management's evaluation required by Rule 13a-15 and 15d-15 under the Exchange Act that have materially affected, or are reasonably likely to materially affect, our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5"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Refer to Note 12, “Commitments and Contingencies,” in Notes to Condensed Consolidated Financial Statements (unaudited) in Part I, Item 1 of this Quarterly Report on Form 10-Q, which is hereby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63"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63"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subscription fees from clients whose annual subscription fees decrease due to declining operating income or revenue of such clients or the effects of changes in foreign exchange rates;</w:t>
      </w:r>
    </w:p>
    <w:p>
      <w:pPr>
        <w:spacing w:after="0" w:line="8"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8"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addition or loss of discovery services clients and projects which are difficult to predict and may result in material changes in quarterly revenue and costs;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or assumed by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63"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8"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63"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the costs of new business initiatives, and our acquisition of Inventus;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matters related to our acquisition of Inventus and the expansion of our business into discovery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right="50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8" w:lineRule="exact"/>
        <w:rPr>
          <w:rFonts w:ascii="Arial" w:cs="Arial" w:eastAsia="Arial" w:hAnsi="Arial"/>
          <w:sz w:val="18"/>
          <w:szCs w:val="18"/>
          <w:color w:val="auto"/>
        </w:rPr>
      </w:pPr>
    </w:p>
    <w:p>
      <w:pPr>
        <w:ind w:left="820" w:right="100" w:hanging="326"/>
        <w:spacing w:after="0" w:line="298"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w:t>
      </w: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assertions from non-practicing entities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color w:val="auto"/>
        </w:rPr>
        <w:t>We acquired our first patent assets in September 2008, sold our first membership in October 2008, and sold our first insurance policy in August 2012. In addition, we acquired Inventus and its litigation discovery services business in January 2016. The litigation discovery services business is a new business for us. Therefore, we have not only a limited operating history, but also a limited track record in executing our business model. Our future success depends on acceptance of our solutions by companies we target to become clients and successfully integrating our acquisition of Inventus.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If the market for our solutions develops more slowly than we anticipate, or if competitors introduce new solutions that compete with ours,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rate card in the future, it may be more difficult for us to attract new 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120" w:firstLine="446"/>
        <w:spacing w:after="0" w:line="286" w:lineRule="auto"/>
        <w:rPr>
          <w:sz w:val="20"/>
          <w:szCs w:val="20"/>
          <w:color w:val="auto"/>
        </w:rPr>
      </w:pPr>
      <w:r>
        <w:rPr>
          <w:rFonts w:ascii="Arial" w:cs="Arial" w:eastAsia="Arial" w:hAnsi="Arial"/>
          <w:sz w:val="17"/>
          <w:szCs w:val="17"/>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166"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 to the combined entity rather than to each entity separately. Any reduction in subscription fees could harm our business and operating results.</w:t>
      </w:r>
    </w:p>
    <w:p>
      <w:pPr>
        <w:spacing w:after="0" w:line="187"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June 30, 2016 was 2.7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67"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9" w:lineRule="exact"/>
        <w:rPr>
          <w:sz w:val="20"/>
          <w:szCs w:val="20"/>
          <w:color w:val="auto"/>
        </w:rPr>
      </w:pPr>
    </w:p>
    <w:p>
      <w:pPr>
        <w:ind w:right="320"/>
        <w:spacing w:after="0" w:line="317"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ind w:right="20" w:firstLine="446"/>
        <w:spacing w:after="0" w:line="264"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recently acquired Inventus, and may acquire or invest in other companies or technologies, which could divert our management’s attention, result in additional dilution to our stockholders, and otherwise disrupt our operations and harm our operating results. We may also be unable to realize the expected benefits and synergies of any acquisitions.</w:t>
      </w:r>
    </w:p>
    <w:p>
      <w:pPr>
        <w:spacing w:after="0" w:line="19"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We have in the past and may in the future seek to acquire or invest in businesses, products or technologies that we believe could complement or expand our client offerings, enhance our technical capabilities or otherwise offer growth opportunities. We may not be able to integrate the acquired personnel, operations, and technologies successfully or effectively manage the combined business. The pursuit of potential acquisitions may divert the attention of management and cause us to incur various expenses in identifying, investigating and pursuing suitable acquisitions, whether or not they are consummated.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not achieve the anticipated benefits from the Inventus or another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right="7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loss of key customers, vendors, and other business partners of the companies we acquire following the announcement of our transaction plans;</w:t>
      </w:r>
    </w:p>
    <w:p>
      <w:pPr>
        <w:spacing w:after="0" w:line="8" w:lineRule="exact"/>
        <w:rPr>
          <w:rFonts w:ascii="Arial" w:cs="Arial" w:eastAsia="Arial" w:hAnsi="Arial"/>
          <w:sz w:val="18"/>
          <w:szCs w:val="18"/>
          <w:color w:val="auto"/>
        </w:rPr>
      </w:pPr>
    </w:p>
    <w:p>
      <w:pPr>
        <w:ind w:left="820" w:right="20" w:hanging="326"/>
        <w:spacing w:after="0" w:line="317"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need to integrate the operations, systems (including accounting, management, information, human resources and other administrative systems), technologies, products, and personnel of each acquired company, which is an inherently risky and potentially lengthy and costly process;</w:t>
      </w:r>
    </w:p>
    <w:p>
      <w:pPr>
        <w:ind w:left="8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inefficiencies and lack of control that may result if such integration is delayed or not implemented, and unforeseen difficulties and expenditures that may arise as a result;</w:t>
      </w:r>
    </w:p>
    <w:p>
      <w:pPr>
        <w:spacing w:after="0" w:line="8" w:lineRule="exact"/>
        <w:rPr>
          <w:rFonts w:ascii="Arial" w:cs="Arial" w:eastAsia="Arial" w:hAnsi="Arial"/>
          <w:sz w:val="18"/>
          <w:szCs w:val="18"/>
          <w:color w:val="auto"/>
        </w:rPr>
      </w:pPr>
    </w:p>
    <w:p>
      <w:pPr>
        <w:ind w:left="820" w:right="24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appropriate for a public company at companies that prior to our acquisition may have lacked such controls, procedures, and policies or whose controls, procedures, and policies did not meet applicable legal and other standards;</w:t>
      </w:r>
    </w:p>
    <w:p>
      <w:pPr>
        <w:spacing w:after="0" w:line="19" w:lineRule="exact"/>
        <w:rPr>
          <w:rFonts w:ascii="Arial" w:cs="Arial" w:eastAsia="Arial" w:hAnsi="Arial"/>
          <w:sz w:val="18"/>
          <w:szCs w:val="18"/>
          <w:color w:val="auto"/>
        </w:rPr>
      </w:pPr>
    </w:p>
    <w:p>
      <w:pPr>
        <w:jc w:val="both"/>
        <w:ind w:left="820" w:right="12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the accounting, financial reporting, operating metrics and similar systems, controls and processes of an acquired business, and the risk that errors or irregularities in those systems, controls, and processes will lead to errors in our consolidated financial statements or make it more difficult to manage the acquired business;</w:t>
      </w:r>
    </w:p>
    <w:p>
      <w:pPr>
        <w:spacing w:after="0" w:line="19"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derivative lawsuits resulting from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our expansion into new international markets;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legal, financial and accounting challenges and complexities in areas such as tax planning and cash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8"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19"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8"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an increased number of companies, our growth may slow, and our business may be harmed.</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investing management time and resources into developing products designed to provide insurance against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2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are investing management time and financial resources in the development of products designed to provide insurance against some of the costs resulting from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19"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88"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8"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We expect to face more direct competition in the future in both our patent risk management business and litigation discovery services business from other established and emerging companies. In addition, as a relatively new company in the patent risk management market and litigation discovery services market, we have limited insight into trends that may develop and affect our businesses. As a result, we may make errors in predicting and reacting to relevant business trends, making us unable to compete effectively against others.</w:t>
      </w:r>
    </w:p>
    <w:p>
      <w:pPr>
        <w:spacing w:after="0" w:line="187"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Our current or potential competitors in both our patent risk management business and litigation discovery services businesses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75"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 profile.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business model requires estimates and judgments by our management. Our estimates and judgments are subject to changes that could adversely affect our operating results.</w:t>
      </w:r>
    </w:p>
    <w:p>
      <w:pPr>
        <w:spacing w:after="0" w:line="8" w:lineRule="exact"/>
        <w:rPr>
          <w:sz w:val="20"/>
          <w:szCs w:val="20"/>
          <w:color w:val="auto"/>
        </w:rPr>
      </w:pPr>
    </w:p>
    <w:p>
      <w:pPr>
        <w:ind w:right="100" w:firstLine="446"/>
        <w:spacing w:after="0" w:line="291" w:lineRule="auto"/>
        <w:rPr>
          <w:sz w:val="20"/>
          <w:szCs w:val="20"/>
          <w:color w:val="auto"/>
        </w:rPr>
      </w:pPr>
      <w:r>
        <w:rPr>
          <w:rFonts w:ascii="Arial" w:cs="Arial" w:eastAsia="Arial" w:hAnsi="Arial"/>
          <w:sz w:val="16"/>
          <w:szCs w:val="16"/>
          <w:color w:val="auto"/>
        </w:rPr>
        <w:t>Our patent risk management business model is relatively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8"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For example, in June 2014 we acquired DCML Services Corporation, a provider of data, intelligence and consulting on NPEs.</w:t>
      </w:r>
    </w:p>
    <w:p>
      <w:pPr>
        <w:spacing w:after="0" w:line="187"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The development and implementation of new solutions, particularly our litigation discovery services solution,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plan to continue to increase our operating expenses to support and expand our operations, and those increased expenses may negatively impact our profitability.</w:t>
      </w:r>
    </w:p>
    <w:p>
      <w:pPr>
        <w:spacing w:after="0" w:line="8"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We expect to increase future expenditures to develop and expand our business, including making substantial expenditures to develop new solutions. For example, in March 2014 we formed a reinsurance company to bear some underwriting risk on insurance policies that we issue on behalf of a Lloyd’s of London underwriting syndicate. We began placing new policies under the reinsurance model in May 2014. In January 2016 we acquired Inventus and expanded our business into the litigation discovery services market, which is a new business for us. Developing and offering these new solutions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65"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49"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In August 2012, we began to offer insurance products for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operation of an insurance business will expose us to additional laws and regulations. Compliance with such laws and regulations may be costly, which could affect our results of operations.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8" w:lineRule="exact"/>
        <w:rPr>
          <w:sz w:val="20"/>
          <w:szCs w:val="20"/>
          <w:color w:val="auto"/>
        </w:rPr>
      </w:pPr>
    </w:p>
    <w:p>
      <w:pPr>
        <w:ind w:right="22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72"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63"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Because of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2"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right="2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six months ended June 30, 2016, our 10 highest revenue-generating clients accounted for approximately 28%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2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 During the audit of the financial statements of our recently-acquired, wholly-owned subsidiary Inventus for the year ended December 31, 2015, we concluded the subsidiary's controls were not effectively designed and did not operate at the appropriate level of precision to record the valuation of deferred tax assets in the appropriate period, resulting in the restatement of Inventus's consolidated financial statements for the year ended December 31, 2014. Inventus’s management concluded that this control deficiency constituted a material weakness as of December 31, 2015. If we are unable to effectively remediate control deficiencies which are identified or are otherwise unable to maintain adequate internal controls over Inventus’s financial reporting in the future, we may not be able to prepare reliable financial statements and comply with our reporting obligations on a timely basis, which could materially adversely affect our business and subject us to legal and regulatory action.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Global economic conditions may adversely affect demand for our solution or fees payable under our subscription agreements, which could adversely affect our financial condition and operating results.</w:t>
      </w:r>
    </w:p>
    <w:p>
      <w:pPr>
        <w:spacing w:after="0" w:line="8" w:lineRule="exact"/>
        <w:rPr>
          <w:sz w:val="20"/>
          <w:szCs w:val="20"/>
          <w:color w:val="auto"/>
        </w:rPr>
      </w:pPr>
    </w:p>
    <w:p>
      <w:pPr>
        <w:ind w:firstLine="446"/>
        <w:spacing w:after="0" w:line="293"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and may continue to experience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8" w:lineRule="exact"/>
        <w:rPr>
          <w:sz w:val="20"/>
          <w:szCs w:val="20"/>
          <w:color w:val="auto"/>
        </w:rPr>
      </w:pPr>
    </w:p>
    <w:p>
      <w:pPr>
        <w:ind w:right="40" w:firstLine="270"/>
        <w:spacing w:after="0" w:line="287"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Stock Market and other applicable securities rules and regulations. Compliance with these rules and regulations has increased, and will likely continue to increase, our legal and financial compliance costs, make some activities more difficult, time-consuming or costly, and place significant strain on our personnel, systems and resources.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This could result in continuing uncertainty regarding compliance matters, higher administrative expenses and a diversion of management’s time and attention. Further, if our compliance efforts differ from the activities intended by regulatory or governing bodies due to ambiguities related to practice, regulatory authorities may initiate legal proceedings against us and our business may be harmed. Being a public company that is subject to these rules and regulations also makes it more expensive for us to obtain and retain director and officer liability insurance, and we may in the future be required to accept reduced coverage or incur substantially higher costs to obtain or retain adequate coverage. These factors could also make it more difficult for us to attract and retain qualified members of our Board of Directors and qualified executive officers.</w:t>
      </w:r>
    </w:p>
    <w:p>
      <w:pPr>
        <w:spacing w:after="0" w:line="169"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taken on significant debt, which will decrease our business flexibility and increase our interest expense.</w:t>
      </w:r>
    </w:p>
    <w:p>
      <w:pPr>
        <w:spacing w:after="0" w:line="77"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On February 26, 2016, we entered into a Credit Agreement (the "Credit Agreement") which provided for a $100 million five-year term facility (the "Term Facility") and a $50 million five-year revolving credit facility (the "Revolving Credit Facility"). As of June 30, 2016, the total balance outstanding on the Term Facility is $98.8 million, and the Revolving Credit Facility remains undrawn.</w:t>
      </w:r>
    </w:p>
    <w:p>
      <w:pPr>
        <w:spacing w:after="0" w:line="33" w:lineRule="exact"/>
        <w:rPr>
          <w:sz w:val="20"/>
          <w:szCs w:val="20"/>
          <w:color w:val="auto"/>
        </w:rPr>
      </w:pPr>
    </w:p>
    <w:p>
      <w:pPr>
        <w:ind w:right="40" w:firstLine="446"/>
        <w:spacing w:after="0" w:line="289" w:lineRule="auto"/>
        <w:rPr>
          <w:sz w:val="20"/>
          <w:szCs w:val="20"/>
          <w:color w:val="auto"/>
        </w:rPr>
      </w:pPr>
      <w:r>
        <w:rPr>
          <w:rFonts w:ascii="Arial" w:cs="Arial" w:eastAsia="Arial" w:hAnsi="Arial"/>
          <w:sz w:val="16"/>
          <w:szCs w:val="16"/>
          <w:color w:val="auto"/>
        </w:rPr>
        <w:t>This debt, together with certain covenants imposed on us in connection with incurring this debt, among other things, limits how we conduct our business, reduces our flexibility to respond to changing business and economic conditions and increases our interest expense. Our ability to pay interest and repay the principal for our indebtedness is dependent upon our ability to manage our business operations, generate sufficient cash flows to service such debt and the other factors discussed in this section. There can be no assurance that we will be able to manage any of these risks successfully. 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 In addition, the covenants in our debt limit our ability to, among other things, obtain additional financing, make acquisitions or other investments, repurchase our stock or pay dividends, or dispose of patent assets. These limitations could adversely affect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could vary as a result of the methods, estimates and judgments we use in applying our accounting policies.</w:t>
      </w:r>
    </w:p>
    <w:p>
      <w:pPr>
        <w:spacing w:after="0" w:line="8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methods, estimates and judgments. In addition, actual results may differ from these estimates under different assumptions or conditions. Changes in those methods, estimates and judgments could significantly affect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insurance product.</w:t>
      </w:r>
    </w:p>
    <w:p>
      <w:pPr>
        <w:spacing w:after="0" w:line="77"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 May 2014, we began offering an “A” rated insurance product. If we are unable to maintain our relationship with one or more “A” rated insurance companies, we may be unable to continue offering an “A” rated insurance product, which could have an adverse effect on new insurance business growth and retention of our existing insurance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As of January 1, 2015, we had secured quota share reinsurance from third party reinsurers for 42% of the risk underwritten through our risk retention group and 40% of the risk underwritten for our insurance company business partner. The availability and cost of reinsurance that we purchase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25"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right="82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change in our stock repurchase program;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In recent years, the stock market has experienced extreme price and volume fluctuations that have often been unrelated or disproportionate to the changes in the operating performance of the companies whose stock is experiencing those price and volume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fluctuations. Broad market and industry factors may seriously affect the market price of our common stock, regardless of our actual operating performance.</w:t>
      </w:r>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80" w:firstLine="446"/>
        <w:spacing w:after="0" w:line="342"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24"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2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February 2015, our Board of Directors approved a share repurchase program of up to $75 million. In March 2016 and May 2016, our Board of Directors further increased the amount authorized to repurchase by $25 million and $50 million, respectively, to a total authorized amount to repurchase of $150 million. The timing and actual number of shares repurchased will depend on a variety of factors 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4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00" w:lineRule="exact"/>
        <w:rPr>
          <w:sz w:val="20"/>
          <w:szCs w:val="20"/>
          <w:color w:val="auto"/>
        </w:rPr>
      </w:pPr>
    </w:p>
    <w:p>
      <w:pPr>
        <w:spacing w:after="0" w:line="2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repurchase activity during the three months ended June 30, 2016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Dollar Value that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Average Price Paid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 Under</w:t>
            </w:r>
          </w:p>
        </w:tc>
      </w:tr>
      <w:tr>
        <w:trPr>
          <w:trHeight w:val="26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 Ended</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Shares Purchased</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the Programs </w:t>
            </w:r>
            <w:r>
              <w:rPr>
                <w:rFonts w:ascii="Arial" w:cs="Arial" w:eastAsia="Arial" w:hAnsi="Arial"/>
                <w:sz w:val="25"/>
                <w:szCs w:val="25"/>
                <w:b w:val="1"/>
                <w:bCs w:val="1"/>
                <w:color w:val="auto"/>
                <w:w w:val="87"/>
                <w:vertAlign w:val="superscript"/>
              </w:rPr>
              <w:t>(1)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April 30, 2016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63,924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63,924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49,267,572</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31, 2016</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92,309,369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June 30, 2016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806,415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806,415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84,752,537</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1,613,652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1,613,652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right="80" w:firstLine="8"/>
        <w:spacing w:after="0" w:line="273" w:lineRule="auto"/>
        <w:tabs>
          <w:tab w:leader="none" w:pos="192"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On February 10, 2015, the Company announced that its Board of Directors has authorized a share repurchase program under which the Company is authorized to repurchase up to $75.0 million of its outstanding common stock with no expiration date from the date of authorization. In March 2016 and May 2016, the Company increased its share repurchase program by $25 million and $50 million, respectively, for a total amount authorized of $150 million. As of June 30, 2016, the Company repurchased $65.2 million of the outstanding common stock. Under the program, shares may be repurchased in privately negotiated and/or open market transactions, including under plans complying with Rule 10b5-1 under the Securities Exchange Act of 1934, as amended (the “Exchange Act”). The Company’s share repurchase program does not obligate it to acquire any specific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-845820</wp:posOffset>
            </wp:positionV>
            <wp:extent cx="1003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-845820</wp:posOffset>
            </wp:positionV>
            <wp:extent cx="1020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9"/>
              </w:rPr>
              <w:t>Agreement, dated May 25, 2016, by and among RPX Corporation, the Mangrove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Partners Master Fund, Ltd. and Mangrove Partners</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8"/>
              </w:rPr>
              <w:t>Certification of Chief Executive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9"/>
              </w:rPr>
              <w:t>Certification of Chief Financial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5040" w:type="dxa"/>
            <w:vAlign w:val="bottom"/>
          </w:tcPr>
          <w:p>
            <w:pPr>
              <w:ind w:left="40"/>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001-35146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5/26/2016</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6200" w:space="120"/>
            <w:col w:w="510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39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820" w:type="dxa"/>
            <w:vAlign w:val="bottom"/>
            <w:gridSpan w:val="3"/>
          </w:tcPr>
          <w:p>
            <w:pPr>
              <w:ind w:left="1740"/>
              <w:spacing w:after="0"/>
              <w:rPr>
                <w:sz w:val="20"/>
                <w:szCs w:val="20"/>
                <w:color w:val="auto"/>
              </w:rPr>
            </w:pPr>
            <w:r>
              <w:rPr>
                <w:rFonts w:ascii="Arial" w:cs="Arial" w:eastAsia="Arial" w:hAnsi="Arial"/>
                <w:sz w:val="18"/>
                <w:szCs w:val="18"/>
                <w:color w:val="auto"/>
              </w:rPr>
              <w:t>RPX CORPORATION</w:t>
            </w:r>
          </w:p>
        </w:tc>
      </w:tr>
      <w:tr>
        <w:trPr>
          <w:trHeight w:val="270"/>
        </w:trPr>
        <w:tc>
          <w:tcPr>
            <w:tcW w:w="3380" w:type="dxa"/>
            <w:vAlign w:val="bottom"/>
          </w:tcPr>
          <w:p>
            <w:pPr>
              <w:spacing w:after="0"/>
              <w:rPr>
                <w:sz w:val="23"/>
                <w:szCs w:val="23"/>
                <w:color w:val="auto"/>
              </w:rPr>
            </w:pPr>
          </w:p>
        </w:tc>
        <w:tc>
          <w:tcPr>
            <w:tcW w:w="2760" w:type="dxa"/>
            <w:vAlign w:val="bottom"/>
            <w:gridSpan w:val="2"/>
          </w:tcPr>
          <w:p>
            <w:pPr>
              <w:ind w:left="1740"/>
              <w:spacing w:after="0"/>
              <w:rPr>
                <w:sz w:val="20"/>
                <w:szCs w:val="20"/>
                <w:color w:val="auto"/>
              </w:rPr>
            </w:pPr>
            <w:r>
              <w:rPr>
                <w:rFonts w:ascii="Arial" w:cs="Arial" w:eastAsia="Arial" w:hAnsi="Arial"/>
                <w:sz w:val="18"/>
                <w:szCs w:val="18"/>
                <w:color w:val="auto"/>
              </w:rPr>
              <w:t>(Registrant)</w:t>
            </w:r>
          </w:p>
        </w:tc>
        <w:tc>
          <w:tcPr>
            <w:tcW w:w="4060" w:type="dxa"/>
            <w:vAlign w:val="bottom"/>
          </w:tcPr>
          <w:p>
            <w:pPr>
              <w:spacing w:after="0"/>
              <w:rPr>
                <w:sz w:val="23"/>
                <w:szCs w:val="23"/>
                <w:color w:val="auto"/>
              </w:rPr>
            </w:pPr>
          </w:p>
        </w:tc>
      </w:tr>
      <w:tr>
        <w:trPr>
          <w:trHeight w:val="594"/>
        </w:trPr>
        <w:tc>
          <w:tcPr>
            <w:tcW w:w="3380" w:type="dxa"/>
            <w:vAlign w:val="bottom"/>
          </w:tcPr>
          <w:p>
            <w:pPr>
              <w:spacing w:after="0"/>
              <w:rPr>
                <w:sz w:val="20"/>
                <w:szCs w:val="20"/>
                <w:color w:val="auto"/>
              </w:rPr>
            </w:pPr>
            <w:r>
              <w:rPr>
                <w:rFonts w:ascii="Arial" w:cs="Arial" w:eastAsia="Arial" w:hAnsi="Arial"/>
                <w:sz w:val="18"/>
                <w:szCs w:val="18"/>
                <w:color w:val="auto"/>
              </w:rPr>
              <w:t>Date:  August 5, 2016</w:t>
            </w:r>
          </w:p>
        </w:tc>
        <w:tc>
          <w:tcPr>
            <w:tcW w:w="276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JOHN A. AMSTER</w:t>
            </w:r>
          </w:p>
        </w:tc>
      </w:tr>
      <w:tr>
        <w:trPr>
          <w:trHeight w:val="27"/>
        </w:trPr>
        <w:tc>
          <w:tcPr>
            <w:tcW w:w="3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John A. Amster</w:t>
            </w:r>
          </w:p>
        </w:tc>
      </w:tr>
      <w:tr>
        <w:trPr>
          <w:trHeight w:val="270"/>
        </w:trPr>
        <w:tc>
          <w:tcPr>
            <w:tcW w:w="33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270"/>
        </w:trPr>
        <w:tc>
          <w:tcPr>
            <w:tcW w:w="33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729"/>
        </w:trPr>
        <w:tc>
          <w:tcPr>
            <w:tcW w:w="3380" w:type="dxa"/>
            <w:vAlign w:val="bottom"/>
          </w:tcPr>
          <w:p>
            <w:pPr>
              <w:spacing w:after="0"/>
              <w:rPr>
                <w:sz w:val="20"/>
                <w:szCs w:val="20"/>
                <w:color w:val="auto"/>
              </w:rPr>
            </w:pPr>
            <w:r>
              <w:rPr>
                <w:rFonts w:ascii="Arial" w:cs="Arial" w:eastAsia="Arial" w:hAnsi="Arial"/>
                <w:sz w:val="18"/>
                <w:szCs w:val="18"/>
                <w:color w:val="auto"/>
              </w:rPr>
              <w:t>Date:  August 5, 2016</w:t>
            </w:r>
          </w:p>
        </w:tc>
        <w:tc>
          <w:tcPr>
            <w:tcW w:w="276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ROBERT H. HEATH</w:t>
            </w:r>
          </w:p>
        </w:tc>
      </w:tr>
      <w:tr>
        <w:trPr>
          <w:trHeight w:val="27"/>
        </w:trPr>
        <w:tc>
          <w:tcPr>
            <w:tcW w:w="3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Robert H. Heath</w:t>
            </w:r>
          </w:p>
        </w:tc>
      </w:tr>
      <w:tr>
        <w:trPr>
          <w:trHeight w:val="270"/>
        </w:trPr>
        <w:tc>
          <w:tcPr>
            <w:tcW w:w="33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70"/>
        </w:trPr>
        <w:tc>
          <w:tcPr>
            <w:tcW w:w="33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380" w:type="dxa"/>
            <w:vAlign w:val="bottom"/>
          </w:tcPr>
          <w:p>
            <w:pPr>
              <w:spacing w:after="0"/>
              <w:rPr>
                <w:sz w:val="24"/>
                <w:szCs w:val="24"/>
                <w:color w:val="auto"/>
              </w:rPr>
            </w:pPr>
          </w:p>
        </w:tc>
        <w:tc>
          <w:tcPr>
            <w:tcW w:w="2760" w:type="dxa"/>
            <w:vAlign w:val="bottom"/>
            <w:gridSpan w:val="2"/>
          </w:tcPr>
          <w:p>
            <w:pPr>
              <w:ind w:left="2200"/>
              <w:spacing w:after="0"/>
              <w:rPr>
                <w:sz w:val="20"/>
                <w:szCs w:val="20"/>
                <w:color w:val="auto"/>
              </w:rPr>
            </w:pPr>
            <w:r>
              <w:rPr>
                <w:rFonts w:ascii="Arial" w:cs="Arial" w:eastAsia="Arial" w:hAnsi="Arial"/>
                <w:sz w:val="18"/>
                <w:szCs w:val="18"/>
                <w:color w:val="auto"/>
              </w:rPr>
              <w:t>46</w:t>
            </w:r>
          </w:p>
        </w:tc>
        <w:tc>
          <w:tcPr>
            <w:tcW w:w="4060" w:type="dxa"/>
            <w:vAlign w:val="bottom"/>
          </w:tcPr>
          <w:p>
            <w:pPr>
              <w:spacing w:after="0"/>
              <w:rPr>
                <w:sz w:val="24"/>
                <w:szCs w:val="24"/>
                <w:color w:val="auto"/>
              </w:rPr>
            </w:pPr>
          </w:p>
        </w:tc>
      </w:tr>
    </w:tbl>
    <w:p>
      <w:pPr>
        <w:sectPr>
          <w:pgSz w:w="11900" w:h="16838" w:orient="portrait"/>
          <w:cols w:equalWidth="0" w:num="1">
            <w:col w:w="10780"/>
          </w:cols>
          <w:pgMar w:left="240" w:top="125" w:right="8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H. Heath, certify that:</w:t>
      </w:r>
    </w:p>
    <w:p>
      <w:pPr>
        <w:spacing w:after="0" w:line="9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June 30, 2016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880" w:hanging="46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June 30, 2016 of RPX Corporation, (the “Company”) as filed with the Securities and Exchange Commission on the date hereof (the “Report”), I, Robert H. Heath, Senior Vice President &amp;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880" w:hanging="46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5"/>
    </w:lvl>
  </w:abstractNum>
  <w:abstractNum w:abstractNumId="7">
    <w:nsid w:val="3F2DBA31"/>
    <w:multiLevelType w:val="hybridMultilevel"/>
    <w:lvl w:ilvl="0">
      <w:lvlJc w:val="left"/>
      <w:lvlText w:val="%1."/>
      <w:numFmt w:val="decimal"/>
      <w:start w:val="6"/>
    </w:lvl>
  </w:abstractNum>
  <w:abstractNum w:abstractNumId="8">
    <w:nsid w:val="7C83E458"/>
    <w:multiLevelType w:val="hybridMultilevel"/>
    <w:lvl w:ilvl="0">
      <w:lvlJc w:val="left"/>
      <w:lvlText w:val="%1."/>
      <w:numFmt w:val="decimal"/>
      <w:start w:val="7"/>
    </w:lvl>
  </w:abstractNum>
  <w:abstractNum w:abstractNumId="9">
    <w:nsid w:val="257130A3"/>
    <w:multiLevelType w:val="hybridMultilevel"/>
    <w:lvl w:ilvl="0">
      <w:lvlJc w:val="left"/>
      <w:lvlText w:val="%1."/>
      <w:numFmt w:val="decimal"/>
      <w:start w:val="8"/>
    </w:lvl>
  </w:abstractNum>
  <w:abstractNum w:abstractNumId="10">
    <w:nsid w:val="62BBD95A"/>
    <w:multiLevelType w:val="hybridMultilevel"/>
    <w:lvl w:ilvl="0">
      <w:lvlJc w:val="left"/>
      <w:lvlText w:val="%1."/>
      <w:numFmt w:val="decimal"/>
      <w:start w:val="9"/>
    </w:lvl>
  </w:abstractNum>
  <w:abstractNum w:abstractNumId="11">
    <w:nsid w:val="436C6125"/>
    <w:multiLevelType w:val="hybridMultilevel"/>
    <w:lvl w:ilvl="0">
      <w:lvlJc w:val="left"/>
      <w:lvlText w:val="%1."/>
      <w:numFmt w:val="decimal"/>
      <w:start w:val="10"/>
    </w:lvl>
  </w:abstractNum>
  <w:abstractNum w:abstractNumId="12">
    <w:nsid w:val="628C895D"/>
    <w:multiLevelType w:val="hybridMultilevel"/>
    <w:lvl w:ilvl="0">
      <w:lvlJc w:val="left"/>
      <w:lvlText w:val="%1."/>
      <w:numFmt w:val="decimal"/>
      <w:start w:val="11"/>
    </w:lvl>
  </w:abstractNum>
  <w:abstractNum w:abstractNumId="13">
    <w:nsid w:val="333AB105"/>
    <w:multiLevelType w:val="hybridMultilevel"/>
    <w:lvl w:ilvl="0">
      <w:lvlJc w:val="left"/>
      <w:lvlText w:val="%1."/>
      <w:numFmt w:val="decimal"/>
      <w:start w:val="12"/>
    </w:lvl>
  </w:abstractNum>
  <w:abstractNum w:abstractNumId="14">
    <w:nsid w:val="721DA317"/>
    <w:multiLevelType w:val="hybridMultilevel"/>
    <w:lvl w:ilvl="0">
      <w:lvlJc w:val="left"/>
      <w:lvlText w:val="%1."/>
      <w:numFmt w:val="decimal"/>
      <w:start w:val="13"/>
    </w:lvl>
  </w:abstractNum>
  <w:abstractNum w:abstractNumId="15">
    <w:nsid w:val="2443A858"/>
    <w:multiLevelType w:val="hybridMultilevel"/>
    <w:lvl w:ilvl="0">
      <w:lvlJc w:val="left"/>
      <w:lvlText w:val="%1."/>
      <w:numFmt w:val="decimal"/>
      <w:start w:val="14"/>
    </w:lvl>
  </w:abstractNum>
  <w:abstractNum w:abstractNumId="16">
    <w:nsid w:val="2D1D5AE9"/>
    <w:multiLevelType w:val="hybridMultilevel"/>
    <w:lvl w:ilvl="0">
      <w:lvlJc w:val="left"/>
      <w:lvlText w:val="%1."/>
      <w:numFmt w:val="decimal"/>
      <w:start w:val="15"/>
    </w:lvl>
  </w:abstractNum>
  <w:abstractNum w:abstractNumId="17">
    <w:nsid w:val="6763845E"/>
    <w:multiLevelType w:val="hybridMultilevel"/>
    <w:lvl w:ilvl="0">
      <w:lvlJc w:val="left"/>
      <w:lvlText w:val="%1."/>
      <w:numFmt w:val="decimal"/>
      <w:start w:val="16"/>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2019-12-29T10:09:34Z</dcterms:created>
  <dcterms:modified xsi:type="dcterms:W3CDTF">2019-12-29T10:09:34Z</dcterms:modified>
</cp:coreProperties>
</file>