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SCHEDULE 13D</w:t>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w:t>
      </w: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RPX Corporation</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Common Stock, $ 0.0001 par value</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74972G103</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Gardner Lewis Asset Management, L.P.</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Attn: Len Sorgini, Chief Compliance Officer</w:t>
      </w:r>
    </w:p>
    <w:p>
      <w:pPr>
        <w:jc w:val="center"/>
        <w:ind w:right="-19"/>
        <w:spacing w:after="0"/>
        <w:rPr>
          <w:sz w:val="20"/>
          <w:szCs w:val="20"/>
          <w:color w:val="auto"/>
        </w:rPr>
      </w:pPr>
      <w:r>
        <w:rPr>
          <w:rFonts w:ascii="Arial" w:cs="Arial" w:eastAsia="Arial" w:hAnsi="Arial"/>
          <w:sz w:val="20"/>
          <w:szCs w:val="20"/>
          <w:b w:val="1"/>
          <w:bCs w:val="1"/>
          <w:color w:val="auto"/>
        </w:rPr>
        <w:t>285 Wilmington West Chester Pike, Chadds Ford, PA 19317</w:t>
      </w:r>
    </w:p>
    <w:p>
      <w:pPr>
        <w:jc w:val="center"/>
        <w:ind w:right="-19"/>
        <w:spacing w:after="0"/>
        <w:rPr>
          <w:sz w:val="20"/>
          <w:szCs w:val="20"/>
          <w:color w:val="auto"/>
        </w:rPr>
      </w:pPr>
      <w:r>
        <w:rPr>
          <w:rFonts w:ascii="Arial" w:cs="Arial" w:eastAsia="Arial" w:hAnsi="Arial"/>
          <w:sz w:val="20"/>
          <w:szCs w:val="20"/>
          <w:b w:val="1"/>
          <w:bCs w:val="1"/>
          <w:color w:val="auto"/>
        </w:rPr>
        <w:t>(610)558-2800</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 Authorized to</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Receive Notices and Communications)</w:t>
      </w: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June 19, 2018</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36" w:lineRule="exact"/>
        <w:rPr>
          <w:sz w:val="24"/>
          <w:szCs w:val="24"/>
          <w:color w:val="auto"/>
        </w:rPr>
      </w:pPr>
    </w:p>
    <w:p>
      <w:pPr>
        <w:ind w:right="580"/>
        <w:spacing w:after="0" w:line="274" w:lineRule="auto"/>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Arial" w:cs="Arial" w:eastAsia="Arial" w:hAnsi="Arial"/>
          <w:sz w:val="21"/>
          <w:szCs w:val="21"/>
          <w:color w:val="auto"/>
        </w:rPr>
        <w:t>o</w:t>
      </w:r>
    </w:p>
    <w:p>
      <w:pPr>
        <w:spacing w:after="0" w:line="186"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§240.13d-7 for other parties to</w:t>
      </w:r>
      <w:r>
        <w:rPr>
          <w:rFonts w:ascii="Arial" w:cs="Arial" w:eastAsia="Arial" w:hAnsi="Arial"/>
          <w:sz w:val="18"/>
          <w:szCs w:val="18"/>
          <w:b w:val="1"/>
          <w:bCs w:val="1"/>
          <w:color w:val="auto"/>
        </w:rPr>
        <w:t xml:space="preserve"> </w:t>
      </w:r>
      <w:r>
        <w:rPr>
          <w:rFonts w:ascii="Arial" w:cs="Arial" w:eastAsia="Arial" w:hAnsi="Arial"/>
          <w:sz w:val="18"/>
          <w:szCs w:val="18"/>
          <w:color w:val="auto"/>
        </w:rPr>
        <w:t>whom copies are to be sent.</w:t>
      </w:r>
    </w:p>
    <w:p>
      <w:pPr>
        <w:spacing w:after="0" w:line="193" w:lineRule="exact"/>
        <w:rPr>
          <w:sz w:val="24"/>
          <w:szCs w:val="24"/>
          <w:color w:val="auto"/>
        </w:rPr>
      </w:pPr>
    </w:p>
    <w:p>
      <w:pPr>
        <w:ind w:right="200" w:firstLine="8"/>
        <w:spacing w:after="0" w:line="277" w:lineRule="auto"/>
        <w:tabs>
          <w:tab w:leader="none" w:pos="1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97" w:lineRule="exact"/>
        <w:rPr>
          <w:sz w:val="24"/>
          <w:szCs w:val="24"/>
          <w:color w:val="auto"/>
        </w:rPr>
      </w:pPr>
    </w:p>
    <w:p>
      <w:pPr>
        <w:ind w:right="100"/>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420"/>
          </w:cols>
          <w:pgMar w:left="240" w:top="472" w:right="239" w:bottom="1440" w:gutter="0" w:footer="0" w:header="0"/>
        </w:sectPr>
      </w:pPr>
    </w:p>
    <w:bookmarkStart w:id="1" w:name="page2"/>
    <w:bookmarkEnd w:id="1"/>
    <w:p>
      <w:pPr>
        <w:ind w:left="41" w:right="8380" w:hanging="41"/>
        <w:spacing w:after="0" w:line="360" w:lineRule="auto"/>
        <w:tabs>
          <w:tab w:leader="none" w:pos="221" w:val="left"/>
        </w:tabs>
        <w:numPr>
          <w:ilvl w:val="0"/>
          <w:numId w:val="2"/>
        </w:numPr>
        <w:rPr>
          <w:rFonts w:ascii="Arial" w:cs="Arial" w:eastAsia="Arial" w:hAnsi="Arial"/>
          <w:sz w:val="16"/>
          <w:szCs w:val="16"/>
          <w:color w:val="auto"/>
        </w:rPr>
      </w:pPr>
      <w:r>
        <w:rPr>
          <w:rFonts w:ascii="Arial" w:cs="Arial" w:eastAsia="Arial" w:hAnsi="Arial"/>
          <w:sz w:val="16"/>
          <w:szCs w:val="16"/>
          <w:color w:val="auto"/>
        </w:rPr>
        <w:t>Names of Reporting Persons. Gardner Lewis Asset Management, L.P.</w:t>
      </w:r>
    </w:p>
    <w:p>
      <w:pPr>
        <w:spacing w:after="0" w:line="150" w:lineRule="exact"/>
        <w:rPr>
          <w:rFonts w:ascii="Arial" w:cs="Arial" w:eastAsia="Arial" w:hAnsi="Arial"/>
          <w:sz w:val="16"/>
          <w:szCs w:val="16"/>
          <w:color w:val="auto"/>
        </w:rPr>
      </w:pPr>
    </w:p>
    <w:p>
      <w:pPr>
        <w:ind w:left="221" w:hanging="221"/>
        <w:spacing w:after="0"/>
        <w:tabs>
          <w:tab w:leader="none" w:pos="221"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rFonts w:ascii="Arial" w:cs="Arial" w:eastAsia="Arial" w:hAnsi="Arial"/>
          <w:sz w:val="18"/>
          <w:szCs w:val="18"/>
          <w:color w:val="auto"/>
        </w:rPr>
      </w:pPr>
    </w:p>
    <w:p>
      <w:pPr>
        <w:ind w:left="1"/>
        <w:spacing w:after="0"/>
        <w:rPr>
          <w:rFonts w:ascii="Arial" w:cs="Arial" w:eastAsia="Arial" w:hAnsi="Arial"/>
          <w:sz w:val="18"/>
          <w:szCs w:val="18"/>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color w:val="auto"/>
        </w:rPr>
      </w:pPr>
    </w:p>
    <w:p>
      <w:pPr>
        <w:ind w:left="1"/>
        <w:spacing w:after="0"/>
        <w:rPr>
          <w:rFonts w:ascii="Arial" w:cs="Arial" w:eastAsia="Arial" w:hAnsi="Arial"/>
          <w:sz w:val="18"/>
          <w:szCs w:val="18"/>
          <w:color w:val="auto"/>
        </w:rPr>
      </w:pPr>
      <w:r>
        <w:rPr>
          <w:rFonts w:ascii="Arial" w:cs="Arial" w:eastAsia="Arial" w:hAnsi="Arial"/>
          <w:sz w:val="18"/>
          <w:szCs w:val="18"/>
          <w:color w:val="auto"/>
        </w:rPr>
        <w:t>(b) o</w:t>
      </w:r>
    </w:p>
    <w:p>
      <w:pPr>
        <w:spacing w:after="0" w:line="251" w:lineRule="exact"/>
        <w:rPr>
          <w:rFonts w:ascii="Arial" w:cs="Arial" w:eastAsia="Arial" w:hAnsi="Arial"/>
          <w:sz w:val="18"/>
          <w:szCs w:val="18"/>
          <w:color w:val="auto"/>
        </w:rPr>
      </w:pPr>
    </w:p>
    <w:p>
      <w:pPr>
        <w:ind w:left="221" w:hanging="221"/>
        <w:spacing w:after="0"/>
        <w:tabs>
          <w:tab w:leader="none" w:pos="221"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 w:lineRule="exact"/>
        <w:rPr>
          <w:rFonts w:ascii="Arial" w:cs="Arial" w:eastAsia="Arial" w:hAnsi="Arial"/>
          <w:sz w:val="18"/>
          <w:szCs w:val="18"/>
          <w:color w:val="auto"/>
        </w:rPr>
      </w:pPr>
    </w:p>
    <w:p>
      <w:pPr>
        <w:ind w:left="221" w:hanging="221"/>
        <w:spacing w:after="0"/>
        <w:tabs>
          <w:tab w:leader="none" w:pos="221" w:val="left"/>
        </w:tabs>
        <w:numPr>
          <w:ilvl w:val="0"/>
          <w:numId w:val="2"/>
        </w:numPr>
        <w:rPr>
          <w:rFonts w:ascii="Arial" w:cs="Arial" w:eastAsia="Arial" w:hAnsi="Arial"/>
          <w:sz w:val="18"/>
          <w:szCs w:val="18"/>
          <w:color w:val="auto"/>
        </w:rPr>
      </w:pPr>
      <w:r>
        <w:rPr>
          <w:rFonts w:ascii="Arial" w:cs="Arial" w:eastAsia="Arial" w:hAnsi="Arial"/>
          <w:sz w:val="18"/>
          <w:szCs w:val="18"/>
          <w:color w:val="auto"/>
        </w:rPr>
        <w:t>Source of Funds</w:t>
      </w:r>
    </w:p>
    <w:p>
      <w:pPr>
        <w:spacing w:after="0" w:line="22" w:lineRule="exact"/>
        <w:rPr>
          <w:rFonts w:ascii="Arial" w:cs="Arial" w:eastAsia="Arial" w:hAnsi="Arial"/>
          <w:sz w:val="18"/>
          <w:szCs w:val="18"/>
          <w:color w:val="auto"/>
        </w:rPr>
      </w:pPr>
    </w:p>
    <w:p>
      <w:pPr>
        <w:ind w:left="221"/>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9" w:lineRule="exact"/>
        <w:rPr>
          <w:rFonts w:ascii="Arial" w:cs="Arial" w:eastAsia="Arial" w:hAnsi="Arial"/>
          <w:sz w:val="18"/>
          <w:szCs w:val="18"/>
          <w:color w:val="auto"/>
        </w:rPr>
      </w:pPr>
    </w:p>
    <w:p>
      <w:pPr>
        <w:ind w:left="221" w:hanging="221"/>
        <w:spacing w:after="0"/>
        <w:tabs>
          <w:tab w:leader="none" w:pos="221"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2" w:lineRule="exact"/>
        <w:rPr>
          <w:rFonts w:ascii="Arial" w:cs="Arial" w:eastAsia="Arial" w:hAnsi="Arial"/>
          <w:sz w:val="18"/>
          <w:szCs w:val="18"/>
          <w:color w:val="auto"/>
        </w:rPr>
      </w:pPr>
    </w:p>
    <w:p>
      <w:pPr>
        <w:ind w:left="1"/>
        <w:spacing w:after="0"/>
        <w:rPr>
          <w:rFonts w:ascii="Arial" w:cs="Arial" w:eastAsia="Arial" w:hAnsi="Arial"/>
          <w:sz w:val="18"/>
          <w:szCs w:val="18"/>
          <w:color w:val="auto"/>
        </w:rPr>
      </w:pPr>
      <w:r>
        <w:rPr>
          <w:rFonts w:ascii="Arial" w:cs="Arial" w:eastAsia="Arial" w:hAnsi="Arial"/>
          <w:sz w:val="18"/>
          <w:szCs w:val="18"/>
          <w:color w:val="auto"/>
        </w:rPr>
        <w:t>o</w:t>
      </w:r>
    </w:p>
    <w:p>
      <w:pPr>
        <w:spacing w:after="0" w:line="9" w:lineRule="exact"/>
        <w:rPr>
          <w:rFonts w:ascii="Arial" w:cs="Arial" w:eastAsia="Arial" w:hAnsi="Arial"/>
          <w:sz w:val="18"/>
          <w:szCs w:val="18"/>
          <w:color w:val="auto"/>
        </w:rPr>
      </w:pPr>
    </w:p>
    <w:p>
      <w:pPr>
        <w:ind w:left="221" w:hanging="221"/>
        <w:spacing w:after="0"/>
        <w:tabs>
          <w:tab w:leader="none" w:pos="221"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-1863090</wp:posOffset>
            </wp:positionV>
            <wp:extent cx="7246620" cy="49396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939665"/>
                    </a:xfrm>
                    <a:prstGeom prst="rect">
                      <a:avLst/>
                    </a:prstGeom>
                    <a:noFill/>
                  </pic:spPr>
                </pic:pic>
              </a:graphicData>
            </a:graphic>
          </wp:anchor>
        </w:drawing>
      </w:r>
    </w:p>
    <w:p>
      <w:pPr>
        <w:spacing w:after="0" w:line="3" w:lineRule="exact"/>
        <w:rPr>
          <w:sz w:val="20"/>
          <w:szCs w:val="20"/>
          <w:color w:val="auto"/>
        </w:rPr>
      </w:pPr>
    </w:p>
    <w:p>
      <w:pPr>
        <w:ind w:left="1"/>
        <w:spacing w:after="0"/>
        <w:rPr>
          <w:sz w:val="20"/>
          <w:szCs w:val="20"/>
          <w:color w:val="auto"/>
        </w:rPr>
      </w:pPr>
      <w:r>
        <w:rPr>
          <w:rFonts w:ascii="Arial" w:cs="Arial" w:eastAsia="Arial" w:hAnsi="Arial"/>
          <w:sz w:val="18"/>
          <w:szCs w:val="18"/>
          <w:color w:val="auto"/>
        </w:rPr>
        <w:t>Pennsylvania</w:t>
      </w:r>
    </w:p>
    <w:p>
      <w:pPr>
        <w:spacing w:after="0" w:line="9" w:lineRule="exact"/>
        <w:rPr>
          <w:sz w:val="20"/>
          <w:szCs w:val="20"/>
          <w:color w:val="auto"/>
        </w:rPr>
      </w:pPr>
    </w:p>
    <w:tbl>
      <w:tblPr>
        <w:tblLayout w:type="fixed"/>
        <w:tblInd w:w="141" w:type="dxa"/>
        <w:tblCellMar>
          <w:top w:w="0" w:type="dxa"/>
          <w:left w:w="0" w:type="dxa"/>
          <w:bottom w:w="0" w:type="dxa"/>
          <w:right w:w="0" w:type="dxa"/>
        </w:tblCellMar>
      </w:tblPr>
      <w:tr>
        <w:trPr>
          <w:trHeight w:val="215"/>
        </w:trPr>
        <w:tc>
          <w:tcPr>
            <w:tcW w:w="2720" w:type="dxa"/>
            <w:vAlign w:val="bottom"/>
          </w:tcPr>
          <w:p>
            <w:pPr>
              <w:spacing w:after="0"/>
              <w:rPr>
                <w:sz w:val="18"/>
                <w:szCs w:val="18"/>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rPr>
              <w:t>7.</w:t>
            </w:r>
          </w:p>
        </w:tc>
        <w:tc>
          <w:tcPr>
            <w:tcW w:w="816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2720" w:type="dxa"/>
            <w:vAlign w:val="bottom"/>
            <w:vMerge w:val="restart"/>
          </w:tcPr>
          <w:p>
            <w:pPr>
              <w:spacing w:after="0"/>
              <w:rPr>
                <w:sz w:val="20"/>
                <w:szCs w:val="20"/>
                <w:color w:val="auto"/>
              </w:rPr>
            </w:pPr>
            <w:r>
              <w:rPr>
                <w:rFonts w:ascii="Arial" w:cs="Arial" w:eastAsia="Arial" w:hAnsi="Arial"/>
                <w:sz w:val="18"/>
                <w:szCs w:val="18"/>
                <w:color w:val="auto"/>
              </w:rPr>
              <w:t>Number of Shares</w:t>
            </w:r>
          </w:p>
        </w:tc>
        <w:tc>
          <w:tcPr>
            <w:tcW w:w="2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8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7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72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280" w:type="dxa"/>
            <w:vAlign w:val="bottom"/>
            <w:tcBorders>
              <w:bottom w:val="single" w:sz="8" w:color="auto"/>
            </w:tcBorders>
          </w:tcPr>
          <w:p>
            <w:pPr>
              <w:spacing w:after="0"/>
              <w:rPr>
                <w:sz w:val="4"/>
                <w:szCs w:val="4"/>
                <w:color w:val="auto"/>
              </w:rPr>
            </w:pPr>
          </w:p>
        </w:tc>
        <w:tc>
          <w:tcPr>
            <w:tcW w:w="8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720" w:type="dxa"/>
            <w:vAlign w:val="bottom"/>
            <w:vMerge w:val="continue"/>
          </w:tcPr>
          <w:p>
            <w:pPr>
              <w:spacing w:after="0"/>
              <w:rPr>
                <w:sz w:val="13"/>
                <w:szCs w:val="13"/>
                <w:color w:val="auto"/>
              </w:rPr>
            </w:pPr>
          </w:p>
        </w:tc>
        <w:tc>
          <w:tcPr>
            <w:tcW w:w="280" w:type="dxa"/>
            <w:vAlign w:val="bottom"/>
          </w:tcPr>
          <w:p>
            <w:pPr>
              <w:ind w:left="100"/>
              <w:spacing w:after="0" w:line="156" w:lineRule="exact"/>
              <w:rPr>
                <w:sz w:val="20"/>
                <w:szCs w:val="20"/>
                <w:color w:val="auto"/>
              </w:rPr>
            </w:pPr>
            <w:r>
              <w:rPr>
                <w:rFonts w:ascii="Arial" w:cs="Arial" w:eastAsia="Arial" w:hAnsi="Arial"/>
                <w:sz w:val="18"/>
                <w:szCs w:val="18"/>
                <w:color w:val="auto"/>
              </w:rPr>
              <w:t>8.</w:t>
            </w:r>
          </w:p>
        </w:tc>
        <w:tc>
          <w:tcPr>
            <w:tcW w:w="8160" w:type="dxa"/>
            <w:vAlign w:val="bottom"/>
          </w:tcPr>
          <w:p>
            <w:pPr>
              <w:ind w:left="60"/>
              <w:spacing w:after="0" w:line="15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Owned by</w:t>
            </w:r>
          </w:p>
        </w:tc>
        <w:tc>
          <w:tcPr>
            <w:tcW w:w="280" w:type="dxa"/>
            <w:vAlign w:val="bottom"/>
          </w:tcPr>
          <w:p>
            <w:pPr>
              <w:ind w:left="100"/>
              <w:spacing w:after="0"/>
              <w:rPr>
                <w:sz w:val="20"/>
                <w:szCs w:val="20"/>
                <w:color w:val="auto"/>
              </w:rPr>
            </w:pPr>
            <w:r>
              <w:rPr>
                <w:rFonts w:ascii="Arial" w:cs="Arial" w:eastAsia="Arial" w:hAnsi="Arial"/>
                <w:sz w:val="18"/>
                <w:szCs w:val="18"/>
                <w:color w:val="auto"/>
              </w:rPr>
              <w:t>0</w:t>
            </w:r>
          </w:p>
        </w:tc>
        <w:tc>
          <w:tcPr>
            <w:tcW w:w="8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2720" w:type="dxa"/>
            <w:vAlign w:val="bottom"/>
            <w:vMerge w:val="restart"/>
          </w:tcPr>
          <w:p>
            <w:pPr>
              <w:spacing w:after="0" w:line="201" w:lineRule="exact"/>
              <w:rPr>
                <w:sz w:val="20"/>
                <w:szCs w:val="20"/>
                <w:color w:val="auto"/>
              </w:rPr>
            </w:pPr>
            <w:r>
              <w:rPr>
                <w:rFonts w:ascii="Arial" w:cs="Arial" w:eastAsia="Arial" w:hAnsi="Arial"/>
                <w:sz w:val="18"/>
                <w:szCs w:val="18"/>
                <w:color w:val="auto"/>
              </w:rPr>
              <w:t>Each Reporting</w:t>
            </w:r>
          </w:p>
        </w:tc>
        <w:tc>
          <w:tcPr>
            <w:tcW w:w="280" w:type="dxa"/>
            <w:vAlign w:val="bottom"/>
            <w:tcBorders>
              <w:bottom w:val="single" w:sz="8" w:color="auto"/>
            </w:tcBorders>
          </w:tcPr>
          <w:p>
            <w:pPr>
              <w:spacing w:after="0"/>
              <w:rPr>
                <w:sz w:val="4"/>
                <w:szCs w:val="4"/>
                <w:color w:val="auto"/>
              </w:rPr>
            </w:pPr>
          </w:p>
        </w:tc>
        <w:tc>
          <w:tcPr>
            <w:tcW w:w="8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27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8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72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280" w:type="dxa"/>
            <w:vAlign w:val="bottom"/>
            <w:tcBorders>
              <w:bottom w:val="single" w:sz="8" w:color="auto"/>
            </w:tcBorders>
          </w:tcPr>
          <w:p>
            <w:pPr>
              <w:spacing w:after="0"/>
              <w:rPr>
                <w:sz w:val="9"/>
                <w:szCs w:val="9"/>
                <w:color w:val="auto"/>
              </w:rPr>
            </w:pPr>
          </w:p>
        </w:tc>
        <w:tc>
          <w:tcPr>
            <w:tcW w:w="81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720" w:type="dxa"/>
            <w:vAlign w:val="bottom"/>
            <w:vMerge w:val="continue"/>
          </w:tcPr>
          <w:p>
            <w:pPr>
              <w:spacing w:after="0"/>
              <w:rPr>
                <w:sz w:val="8"/>
                <w:szCs w:val="8"/>
                <w:color w:val="auto"/>
              </w:rPr>
            </w:pPr>
          </w:p>
        </w:tc>
        <w:tc>
          <w:tcPr>
            <w:tcW w:w="280" w:type="dxa"/>
            <w:vAlign w:val="bottom"/>
            <w:vMerge w:val="restart"/>
          </w:tcPr>
          <w:p>
            <w:pPr>
              <w:ind w:left="100"/>
              <w:spacing w:after="0" w:line="195" w:lineRule="exact"/>
              <w:rPr>
                <w:sz w:val="20"/>
                <w:szCs w:val="20"/>
                <w:color w:val="auto"/>
              </w:rPr>
            </w:pPr>
            <w:r>
              <w:rPr>
                <w:rFonts w:ascii="Arial" w:cs="Arial" w:eastAsia="Arial" w:hAnsi="Arial"/>
                <w:sz w:val="18"/>
                <w:szCs w:val="18"/>
                <w:color w:val="auto"/>
              </w:rPr>
              <w:t>9.</w:t>
            </w:r>
          </w:p>
        </w:tc>
        <w:tc>
          <w:tcPr>
            <w:tcW w:w="8160" w:type="dxa"/>
            <w:vAlign w:val="bottom"/>
            <w:vMerge w:val="restart"/>
          </w:tcPr>
          <w:p>
            <w:pPr>
              <w:ind w:left="60"/>
              <w:spacing w:after="0" w:line="195"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4"/>
        </w:trPr>
        <w:tc>
          <w:tcPr>
            <w:tcW w:w="272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8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720" w:type="dxa"/>
            <w:vAlign w:val="bottom"/>
          </w:tcPr>
          <w:p>
            <w:pPr>
              <w:spacing w:after="0"/>
              <w:rPr>
                <w:sz w:val="20"/>
                <w:szCs w:val="20"/>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rPr>
              <w:t>0</w:t>
            </w:r>
          </w:p>
        </w:tc>
        <w:tc>
          <w:tcPr>
            <w:tcW w:w="8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3281" w:hanging="310"/>
        <w:spacing w:after="0"/>
        <w:tabs>
          <w:tab w:leader="none" w:pos="3281"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2961"/>
        <w:spacing w:after="0"/>
        <w:rPr>
          <w:rFonts w:ascii="Arial" w:cs="Arial" w:eastAsia="Arial" w:hAnsi="Arial"/>
          <w:sz w:val="18"/>
          <w:szCs w:val="18"/>
          <w:color w:val="auto"/>
        </w:rPr>
      </w:pPr>
      <w:r>
        <w:rPr>
          <w:rFonts w:ascii="Arial" w:cs="Arial" w:eastAsia="Arial" w:hAnsi="Arial"/>
          <w:sz w:val="18"/>
          <w:szCs w:val="18"/>
          <w:color w:val="auto"/>
        </w:rPr>
        <w:t>0</w:t>
      </w:r>
    </w:p>
    <w:p>
      <w:pPr>
        <w:spacing w:after="0" w:line="264" w:lineRule="exact"/>
        <w:rPr>
          <w:rFonts w:ascii="Arial" w:cs="Arial" w:eastAsia="Arial" w:hAnsi="Arial"/>
          <w:sz w:val="18"/>
          <w:szCs w:val="18"/>
          <w:color w:val="auto"/>
        </w:rPr>
      </w:pPr>
    </w:p>
    <w:p>
      <w:pPr>
        <w:ind w:left="301" w:hanging="301"/>
        <w:spacing w:after="0"/>
        <w:tabs>
          <w:tab w:leader="none" w:pos="301"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3" w:lineRule="exact"/>
        <w:rPr>
          <w:rFonts w:ascii="Arial" w:cs="Arial" w:eastAsia="Arial" w:hAnsi="Arial"/>
          <w:sz w:val="18"/>
          <w:szCs w:val="18"/>
          <w:color w:val="auto"/>
        </w:rPr>
      </w:pPr>
    </w:p>
    <w:p>
      <w:pPr>
        <w:ind w:left="1"/>
        <w:spacing w:after="0"/>
        <w:rPr>
          <w:rFonts w:ascii="Arial" w:cs="Arial" w:eastAsia="Arial" w:hAnsi="Arial"/>
          <w:sz w:val="18"/>
          <w:szCs w:val="18"/>
          <w:color w:val="auto"/>
        </w:rPr>
      </w:pPr>
      <w:r>
        <w:rPr>
          <w:rFonts w:ascii="Arial" w:cs="Arial" w:eastAsia="Arial" w:hAnsi="Arial"/>
          <w:sz w:val="18"/>
          <w:szCs w:val="18"/>
          <w:color w:val="auto"/>
        </w:rPr>
        <w:t>0</w:t>
      </w:r>
    </w:p>
    <w:p>
      <w:pPr>
        <w:spacing w:after="0" w:line="9" w:lineRule="exact"/>
        <w:rPr>
          <w:rFonts w:ascii="Arial" w:cs="Arial" w:eastAsia="Arial" w:hAnsi="Arial"/>
          <w:sz w:val="18"/>
          <w:szCs w:val="18"/>
          <w:color w:val="auto"/>
        </w:rPr>
      </w:pPr>
    </w:p>
    <w:p>
      <w:pPr>
        <w:ind w:left="321" w:hanging="321"/>
        <w:spacing w:after="0"/>
        <w:tabs>
          <w:tab w:leader="none" w:pos="321"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w:t>
      </w:r>
    </w:p>
    <w:p>
      <w:pPr>
        <w:spacing w:after="0" w:line="22" w:lineRule="exact"/>
        <w:rPr>
          <w:rFonts w:ascii="Arial" w:cs="Arial" w:eastAsia="Arial" w:hAnsi="Arial"/>
          <w:sz w:val="18"/>
          <w:szCs w:val="18"/>
          <w:color w:val="auto"/>
        </w:rPr>
      </w:pPr>
    </w:p>
    <w:p>
      <w:pPr>
        <w:ind w:left="1"/>
        <w:spacing w:after="0"/>
        <w:rPr>
          <w:rFonts w:ascii="Arial" w:cs="Arial" w:eastAsia="Arial" w:hAnsi="Arial"/>
          <w:sz w:val="18"/>
          <w:szCs w:val="18"/>
          <w:color w:val="auto"/>
        </w:rPr>
      </w:pPr>
      <w:r>
        <w:rPr>
          <w:rFonts w:ascii="Arial" w:cs="Arial" w:eastAsia="Arial" w:hAnsi="Arial"/>
          <w:sz w:val="18"/>
          <w:szCs w:val="18"/>
          <w:color w:val="auto"/>
        </w:rPr>
        <w:t>o</w:t>
      </w:r>
    </w:p>
    <w:p>
      <w:pPr>
        <w:spacing w:after="0" w:line="9" w:lineRule="exact"/>
        <w:rPr>
          <w:rFonts w:ascii="Arial" w:cs="Arial" w:eastAsia="Arial" w:hAnsi="Arial"/>
          <w:sz w:val="18"/>
          <w:szCs w:val="18"/>
          <w:color w:val="auto"/>
        </w:rPr>
      </w:pPr>
    </w:p>
    <w:p>
      <w:pPr>
        <w:ind w:left="321" w:hanging="321"/>
        <w:spacing w:after="0"/>
        <w:tabs>
          <w:tab w:leader="none" w:pos="321"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sz w:val="20"/>
          <w:szCs w:val="20"/>
          <w:color w:val="auto"/>
        </w:rPr>
      </w:pPr>
    </w:p>
    <w:p>
      <w:pPr>
        <w:ind w:left="1"/>
        <w:spacing w:after="0"/>
        <w:rPr>
          <w:sz w:val="20"/>
          <w:szCs w:val="20"/>
          <w:color w:val="auto"/>
        </w:rPr>
      </w:pPr>
      <w:r>
        <w:rPr>
          <w:rFonts w:ascii="Arial" w:cs="Arial" w:eastAsia="Arial" w:hAnsi="Arial"/>
          <w:sz w:val="18"/>
          <w:szCs w:val="18"/>
          <w:color w:val="auto"/>
        </w:rPr>
        <w:t>0</w:t>
      </w:r>
    </w:p>
    <w:p>
      <w:pPr>
        <w:spacing w:after="0" w:line="9" w:lineRule="exact"/>
        <w:rPr>
          <w:sz w:val="20"/>
          <w:szCs w:val="20"/>
          <w:color w:val="auto"/>
        </w:rPr>
      </w:pPr>
    </w:p>
    <w:p>
      <w:pPr>
        <w:ind w:left="321" w:hanging="321"/>
        <w:spacing w:after="0"/>
        <w:tabs>
          <w:tab w:leader="none" w:pos="321"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 w:lineRule="exact"/>
        <w:rPr>
          <w:rFonts w:ascii="Arial" w:cs="Arial" w:eastAsia="Arial" w:hAnsi="Arial"/>
          <w:sz w:val="18"/>
          <w:szCs w:val="18"/>
          <w:color w:val="auto"/>
        </w:rPr>
      </w:pPr>
    </w:p>
    <w:p>
      <w:pPr>
        <w:ind w:left="1"/>
        <w:spacing w:after="0"/>
        <w:rPr>
          <w:rFonts w:ascii="Arial" w:cs="Arial" w:eastAsia="Arial" w:hAnsi="Arial"/>
          <w:sz w:val="18"/>
          <w:szCs w:val="18"/>
          <w:color w:val="auto"/>
        </w:rPr>
      </w:pPr>
      <w:r>
        <w:rPr>
          <w:rFonts w:ascii="Arial" w:cs="Arial" w:eastAsia="Arial" w:hAnsi="Arial"/>
          <w:sz w:val="18"/>
          <w:szCs w:val="18"/>
          <w:color w:val="auto"/>
        </w:rPr>
        <w:t>IA</w:t>
      </w:r>
    </w:p>
    <w:p>
      <w:pPr>
        <w:sectPr>
          <w:pgSz w:w="11900" w:h="16838" w:orient="portrait"/>
          <w:cols w:equalWidth="0" w:num="1">
            <w:col w:w="11301"/>
          </w:cols>
          <w:pgMar w:left="359" w:top="976" w:right="239" w:bottom="1440" w:gutter="0" w:footer="0" w:header="0"/>
        </w:sectPr>
      </w:pPr>
    </w:p>
    <w:bookmarkStart w:id="2" w:name="page3"/>
    <w:bookmarkEnd w:id="2"/>
    <w:p>
      <w:pPr>
        <w:ind w:left="41" w:right="8380" w:hanging="41"/>
        <w:spacing w:after="0" w:line="360" w:lineRule="auto"/>
        <w:tabs>
          <w:tab w:leader="none" w:pos="221" w:val="left"/>
        </w:tabs>
        <w:numPr>
          <w:ilvl w:val="0"/>
          <w:numId w:val="6"/>
        </w:numPr>
        <w:rPr>
          <w:rFonts w:ascii="Arial" w:cs="Arial" w:eastAsia="Arial" w:hAnsi="Arial"/>
          <w:sz w:val="16"/>
          <w:szCs w:val="16"/>
          <w:color w:val="auto"/>
        </w:rPr>
      </w:pPr>
      <w:r>
        <w:rPr>
          <w:rFonts w:ascii="Arial" w:cs="Arial" w:eastAsia="Arial" w:hAnsi="Arial"/>
          <w:sz w:val="16"/>
          <w:szCs w:val="16"/>
          <w:color w:val="auto"/>
        </w:rPr>
        <w:t>Names of Reporting Persons. Gardner Lewis Asset Management, Inc.</w:t>
      </w:r>
    </w:p>
    <w:p>
      <w:pPr>
        <w:spacing w:after="0" w:line="150" w:lineRule="exact"/>
        <w:rPr>
          <w:rFonts w:ascii="Arial" w:cs="Arial" w:eastAsia="Arial" w:hAnsi="Arial"/>
          <w:sz w:val="16"/>
          <w:szCs w:val="16"/>
          <w:color w:val="auto"/>
        </w:rPr>
      </w:pPr>
    </w:p>
    <w:p>
      <w:pPr>
        <w:ind w:left="221" w:hanging="221"/>
        <w:spacing w:after="0"/>
        <w:tabs>
          <w:tab w:leader="none" w:pos="221"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rFonts w:ascii="Arial" w:cs="Arial" w:eastAsia="Arial" w:hAnsi="Arial"/>
          <w:sz w:val="18"/>
          <w:szCs w:val="18"/>
          <w:color w:val="auto"/>
        </w:rPr>
      </w:pPr>
    </w:p>
    <w:p>
      <w:pPr>
        <w:ind w:left="1"/>
        <w:spacing w:after="0"/>
        <w:rPr>
          <w:rFonts w:ascii="Arial" w:cs="Arial" w:eastAsia="Arial" w:hAnsi="Arial"/>
          <w:sz w:val="18"/>
          <w:szCs w:val="18"/>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color w:val="auto"/>
        </w:rPr>
      </w:pPr>
    </w:p>
    <w:p>
      <w:pPr>
        <w:ind w:left="1"/>
        <w:spacing w:after="0"/>
        <w:rPr>
          <w:rFonts w:ascii="Arial" w:cs="Arial" w:eastAsia="Arial" w:hAnsi="Arial"/>
          <w:sz w:val="18"/>
          <w:szCs w:val="18"/>
          <w:color w:val="auto"/>
        </w:rPr>
      </w:pPr>
      <w:r>
        <w:rPr>
          <w:rFonts w:ascii="Arial" w:cs="Arial" w:eastAsia="Arial" w:hAnsi="Arial"/>
          <w:sz w:val="18"/>
          <w:szCs w:val="18"/>
          <w:color w:val="auto"/>
        </w:rPr>
        <w:t>(b) o</w:t>
      </w:r>
    </w:p>
    <w:p>
      <w:pPr>
        <w:spacing w:after="0" w:line="251" w:lineRule="exact"/>
        <w:rPr>
          <w:rFonts w:ascii="Arial" w:cs="Arial" w:eastAsia="Arial" w:hAnsi="Arial"/>
          <w:sz w:val="18"/>
          <w:szCs w:val="18"/>
          <w:color w:val="auto"/>
        </w:rPr>
      </w:pPr>
    </w:p>
    <w:p>
      <w:pPr>
        <w:ind w:left="221" w:hanging="221"/>
        <w:spacing w:after="0"/>
        <w:tabs>
          <w:tab w:leader="none" w:pos="221"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 w:lineRule="exact"/>
        <w:rPr>
          <w:rFonts w:ascii="Arial" w:cs="Arial" w:eastAsia="Arial" w:hAnsi="Arial"/>
          <w:sz w:val="18"/>
          <w:szCs w:val="18"/>
          <w:color w:val="auto"/>
        </w:rPr>
      </w:pPr>
    </w:p>
    <w:p>
      <w:pPr>
        <w:ind w:left="221" w:hanging="221"/>
        <w:spacing w:after="0"/>
        <w:tabs>
          <w:tab w:leader="none" w:pos="221" w:val="left"/>
        </w:tabs>
        <w:numPr>
          <w:ilvl w:val="0"/>
          <w:numId w:val="6"/>
        </w:numPr>
        <w:rPr>
          <w:rFonts w:ascii="Arial" w:cs="Arial" w:eastAsia="Arial" w:hAnsi="Arial"/>
          <w:sz w:val="18"/>
          <w:szCs w:val="18"/>
          <w:color w:val="auto"/>
        </w:rPr>
      </w:pPr>
      <w:r>
        <w:rPr>
          <w:rFonts w:ascii="Arial" w:cs="Arial" w:eastAsia="Arial" w:hAnsi="Arial"/>
          <w:sz w:val="18"/>
          <w:szCs w:val="18"/>
          <w:color w:val="auto"/>
        </w:rPr>
        <w:t>Source of Funds</w:t>
      </w:r>
    </w:p>
    <w:p>
      <w:pPr>
        <w:spacing w:after="0" w:line="22" w:lineRule="exact"/>
        <w:rPr>
          <w:rFonts w:ascii="Arial" w:cs="Arial" w:eastAsia="Arial" w:hAnsi="Arial"/>
          <w:sz w:val="18"/>
          <w:szCs w:val="18"/>
          <w:color w:val="auto"/>
        </w:rPr>
      </w:pPr>
    </w:p>
    <w:p>
      <w:pPr>
        <w:ind w:left="221"/>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9" w:lineRule="exact"/>
        <w:rPr>
          <w:rFonts w:ascii="Arial" w:cs="Arial" w:eastAsia="Arial" w:hAnsi="Arial"/>
          <w:sz w:val="18"/>
          <w:szCs w:val="18"/>
          <w:color w:val="auto"/>
        </w:rPr>
      </w:pPr>
    </w:p>
    <w:p>
      <w:pPr>
        <w:ind w:left="221" w:hanging="221"/>
        <w:spacing w:after="0"/>
        <w:tabs>
          <w:tab w:leader="none" w:pos="221"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2" w:lineRule="exact"/>
        <w:rPr>
          <w:rFonts w:ascii="Arial" w:cs="Arial" w:eastAsia="Arial" w:hAnsi="Arial"/>
          <w:sz w:val="18"/>
          <w:szCs w:val="18"/>
          <w:color w:val="auto"/>
        </w:rPr>
      </w:pPr>
    </w:p>
    <w:p>
      <w:pPr>
        <w:ind w:left="1"/>
        <w:spacing w:after="0"/>
        <w:rPr>
          <w:rFonts w:ascii="Arial" w:cs="Arial" w:eastAsia="Arial" w:hAnsi="Arial"/>
          <w:sz w:val="18"/>
          <w:szCs w:val="18"/>
          <w:color w:val="auto"/>
        </w:rPr>
      </w:pPr>
      <w:r>
        <w:rPr>
          <w:rFonts w:ascii="Arial" w:cs="Arial" w:eastAsia="Arial" w:hAnsi="Arial"/>
          <w:sz w:val="18"/>
          <w:szCs w:val="18"/>
          <w:color w:val="auto"/>
        </w:rPr>
        <w:t>o</w:t>
      </w:r>
    </w:p>
    <w:p>
      <w:pPr>
        <w:spacing w:after="0" w:line="9" w:lineRule="exact"/>
        <w:rPr>
          <w:rFonts w:ascii="Arial" w:cs="Arial" w:eastAsia="Arial" w:hAnsi="Arial"/>
          <w:sz w:val="18"/>
          <w:szCs w:val="18"/>
          <w:color w:val="auto"/>
        </w:rPr>
      </w:pPr>
    </w:p>
    <w:p>
      <w:pPr>
        <w:ind w:left="221" w:hanging="221"/>
        <w:spacing w:after="0"/>
        <w:tabs>
          <w:tab w:leader="none" w:pos="221"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-1863090</wp:posOffset>
            </wp:positionV>
            <wp:extent cx="7246620" cy="49314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4931410"/>
                    </a:xfrm>
                    <a:prstGeom prst="rect">
                      <a:avLst/>
                    </a:prstGeom>
                    <a:noFill/>
                  </pic:spPr>
                </pic:pic>
              </a:graphicData>
            </a:graphic>
          </wp:anchor>
        </w:drawing>
      </w:r>
    </w:p>
    <w:p>
      <w:pPr>
        <w:spacing w:after="0" w:line="3" w:lineRule="exact"/>
        <w:rPr>
          <w:sz w:val="20"/>
          <w:szCs w:val="20"/>
          <w:color w:val="auto"/>
        </w:rPr>
      </w:pPr>
    </w:p>
    <w:p>
      <w:pPr>
        <w:ind w:left="1"/>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tbl>
      <w:tblPr>
        <w:tblLayout w:type="fixed"/>
        <w:tblInd w:w="141" w:type="dxa"/>
        <w:tblCellMar>
          <w:top w:w="0" w:type="dxa"/>
          <w:left w:w="0" w:type="dxa"/>
          <w:bottom w:w="0" w:type="dxa"/>
          <w:right w:w="0" w:type="dxa"/>
        </w:tblCellMar>
      </w:tblPr>
      <w:tr>
        <w:trPr>
          <w:trHeight w:val="215"/>
        </w:trPr>
        <w:tc>
          <w:tcPr>
            <w:tcW w:w="2720" w:type="dxa"/>
            <w:vAlign w:val="bottom"/>
          </w:tcPr>
          <w:p>
            <w:pPr>
              <w:spacing w:after="0"/>
              <w:rPr>
                <w:sz w:val="18"/>
                <w:szCs w:val="18"/>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rPr>
              <w:t>7.</w:t>
            </w:r>
          </w:p>
        </w:tc>
        <w:tc>
          <w:tcPr>
            <w:tcW w:w="816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2720" w:type="dxa"/>
            <w:vAlign w:val="bottom"/>
            <w:vMerge w:val="restart"/>
          </w:tcPr>
          <w:p>
            <w:pPr>
              <w:spacing w:after="0"/>
              <w:rPr>
                <w:sz w:val="20"/>
                <w:szCs w:val="20"/>
                <w:color w:val="auto"/>
              </w:rPr>
            </w:pPr>
            <w:r>
              <w:rPr>
                <w:rFonts w:ascii="Arial" w:cs="Arial" w:eastAsia="Arial" w:hAnsi="Arial"/>
                <w:sz w:val="18"/>
                <w:szCs w:val="18"/>
                <w:color w:val="auto"/>
              </w:rPr>
              <w:t>Number of Shares</w:t>
            </w:r>
          </w:p>
        </w:tc>
        <w:tc>
          <w:tcPr>
            <w:tcW w:w="2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8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7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72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280" w:type="dxa"/>
            <w:vAlign w:val="bottom"/>
            <w:tcBorders>
              <w:bottom w:val="single" w:sz="8" w:color="auto"/>
            </w:tcBorders>
          </w:tcPr>
          <w:p>
            <w:pPr>
              <w:spacing w:after="0"/>
              <w:rPr>
                <w:sz w:val="4"/>
                <w:szCs w:val="4"/>
                <w:color w:val="auto"/>
              </w:rPr>
            </w:pPr>
          </w:p>
        </w:tc>
        <w:tc>
          <w:tcPr>
            <w:tcW w:w="8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720" w:type="dxa"/>
            <w:vAlign w:val="bottom"/>
            <w:vMerge w:val="continue"/>
          </w:tcPr>
          <w:p>
            <w:pPr>
              <w:spacing w:after="0"/>
              <w:rPr>
                <w:sz w:val="13"/>
                <w:szCs w:val="13"/>
                <w:color w:val="auto"/>
              </w:rPr>
            </w:pPr>
          </w:p>
        </w:tc>
        <w:tc>
          <w:tcPr>
            <w:tcW w:w="280" w:type="dxa"/>
            <w:vAlign w:val="bottom"/>
          </w:tcPr>
          <w:p>
            <w:pPr>
              <w:ind w:left="100"/>
              <w:spacing w:after="0" w:line="156" w:lineRule="exact"/>
              <w:rPr>
                <w:sz w:val="20"/>
                <w:szCs w:val="20"/>
                <w:color w:val="auto"/>
              </w:rPr>
            </w:pPr>
            <w:r>
              <w:rPr>
                <w:rFonts w:ascii="Arial" w:cs="Arial" w:eastAsia="Arial" w:hAnsi="Arial"/>
                <w:sz w:val="18"/>
                <w:szCs w:val="18"/>
                <w:color w:val="auto"/>
              </w:rPr>
              <w:t>8.</w:t>
            </w:r>
          </w:p>
        </w:tc>
        <w:tc>
          <w:tcPr>
            <w:tcW w:w="8160" w:type="dxa"/>
            <w:vAlign w:val="bottom"/>
          </w:tcPr>
          <w:p>
            <w:pPr>
              <w:ind w:left="60"/>
              <w:spacing w:after="0" w:line="15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Owned by</w:t>
            </w:r>
          </w:p>
        </w:tc>
        <w:tc>
          <w:tcPr>
            <w:tcW w:w="280" w:type="dxa"/>
            <w:vAlign w:val="bottom"/>
          </w:tcPr>
          <w:p>
            <w:pPr>
              <w:ind w:left="100"/>
              <w:spacing w:after="0"/>
              <w:rPr>
                <w:sz w:val="20"/>
                <w:szCs w:val="20"/>
                <w:color w:val="auto"/>
              </w:rPr>
            </w:pPr>
            <w:r>
              <w:rPr>
                <w:rFonts w:ascii="Arial" w:cs="Arial" w:eastAsia="Arial" w:hAnsi="Arial"/>
                <w:sz w:val="18"/>
                <w:szCs w:val="18"/>
                <w:color w:val="auto"/>
              </w:rPr>
              <w:t>0</w:t>
            </w:r>
          </w:p>
        </w:tc>
        <w:tc>
          <w:tcPr>
            <w:tcW w:w="8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2720" w:type="dxa"/>
            <w:vAlign w:val="bottom"/>
            <w:vMerge w:val="restart"/>
          </w:tcPr>
          <w:p>
            <w:pPr>
              <w:spacing w:after="0" w:line="201" w:lineRule="exact"/>
              <w:rPr>
                <w:sz w:val="20"/>
                <w:szCs w:val="20"/>
                <w:color w:val="auto"/>
              </w:rPr>
            </w:pPr>
            <w:r>
              <w:rPr>
                <w:rFonts w:ascii="Arial" w:cs="Arial" w:eastAsia="Arial" w:hAnsi="Arial"/>
                <w:sz w:val="18"/>
                <w:szCs w:val="18"/>
                <w:color w:val="auto"/>
              </w:rPr>
              <w:t>Each Reporting</w:t>
            </w:r>
          </w:p>
        </w:tc>
        <w:tc>
          <w:tcPr>
            <w:tcW w:w="280" w:type="dxa"/>
            <w:vAlign w:val="bottom"/>
            <w:tcBorders>
              <w:bottom w:val="single" w:sz="8" w:color="auto"/>
            </w:tcBorders>
          </w:tcPr>
          <w:p>
            <w:pPr>
              <w:spacing w:after="0"/>
              <w:rPr>
                <w:sz w:val="4"/>
                <w:szCs w:val="4"/>
                <w:color w:val="auto"/>
              </w:rPr>
            </w:pPr>
          </w:p>
        </w:tc>
        <w:tc>
          <w:tcPr>
            <w:tcW w:w="8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27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8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72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280" w:type="dxa"/>
            <w:vAlign w:val="bottom"/>
            <w:tcBorders>
              <w:bottom w:val="single" w:sz="8" w:color="auto"/>
            </w:tcBorders>
          </w:tcPr>
          <w:p>
            <w:pPr>
              <w:spacing w:after="0"/>
              <w:rPr>
                <w:sz w:val="9"/>
                <w:szCs w:val="9"/>
                <w:color w:val="auto"/>
              </w:rPr>
            </w:pPr>
          </w:p>
        </w:tc>
        <w:tc>
          <w:tcPr>
            <w:tcW w:w="81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720" w:type="dxa"/>
            <w:vAlign w:val="bottom"/>
            <w:vMerge w:val="continue"/>
          </w:tcPr>
          <w:p>
            <w:pPr>
              <w:spacing w:after="0"/>
              <w:rPr>
                <w:sz w:val="8"/>
                <w:szCs w:val="8"/>
                <w:color w:val="auto"/>
              </w:rPr>
            </w:pPr>
          </w:p>
        </w:tc>
        <w:tc>
          <w:tcPr>
            <w:tcW w:w="280" w:type="dxa"/>
            <w:vAlign w:val="bottom"/>
            <w:vMerge w:val="restart"/>
          </w:tcPr>
          <w:p>
            <w:pPr>
              <w:ind w:left="100"/>
              <w:spacing w:after="0" w:line="195" w:lineRule="exact"/>
              <w:rPr>
                <w:sz w:val="20"/>
                <w:szCs w:val="20"/>
                <w:color w:val="auto"/>
              </w:rPr>
            </w:pPr>
            <w:r>
              <w:rPr>
                <w:rFonts w:ascii="Arial" w:cs="Arial" w:eastAsia="Arial" w:hAnsi="Arial"/>
                <w:sz w:val="18"/>
                <w:szCs w:val="18"/>
                <w:color w:val="auto"/>
              </w:rPr>
              <w:t>9.</w:t>
            </w:r>
          </w:p>
        </w:tc>
        <w:tc>
          <w:tcPr>
            <w:tcW w:w="8160" w:type="dxa"/>
            <w:vAlign w:val="bottom"/>
            <w:vMerge w:val="restart"/>
          </w:tcPr>
          <w:p>
            <w:pPr>
              <w:ind w:left="60"/>
              <w:spacing w:after="0" w:line="195"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4"/>
        </w:trPr>
        <w:tc>
          <w:tcPr>
            <w:tcW w:w="272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8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720" w:type="dxa"/>
            <w:vAlign w:val="bottom"/>
          </w:tcPr>
          <w:p>
            <w:pPr>
              <w:spacing w:after="0"/>
              <w:rPr>
                <w:sz w:val="20"/>
                <w:szCs w:val="20"/>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rPr>
              <w:t>0</w:t>
            </w:r>
          </w:p>
        </w:tc>
        <w:tc>
          <w:tcPr>
            <w:tcW w:w="8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3281" w:hanging="310"/>
        <w:spacing w:after="0"/>
        <w:tabs>
          <w:tab w:leader="none" w:pos="3281"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2961"/>
        <w:spacing w:after="0"/>
        <w:rPr>
          <w:rFonts w:ascii="Arial" w:cs="Arial" w:eastAsia="Arial" w:hAnsi="Arial"/>
          <w:sz w:val="18"/>
          <w:szCs w:val="18"/>
          <w:color w:val="auto"/>
        </w:rPr>
      </w:pPr>
      <w:r>
        <w:rPr>
          <w:rFonts w:ascii="Arial" w:cs="Arial" w:eastAsia="Arial" w:hAnsi="Arial"/>
          <w:sz w:val="18"/>
          <w:szCs w:val="18"/>
          <w:color w:val="auto"/>
        </w:rPr>
        <w:t>0</w:t>
      </w:r>
    </w:p>
    <w:p>
      <w:pPr>
        <w:spacing w:after="0" w:line="264" w:lineRule="exact"/>
        <w:rPr>
          <w:rFonts w:ascii="Arial" w:cs="Arial" w:eastAsia="Arial" w:hAnsi="Arial"/>
          <w:sz w:val="18"/>
          <w:szCs w:val="18"/>
          <w:color w:val="auto"/>
        </w:rPr>
      </w:pPr>
    </w:p>
    <w:p>
      <w:pPr>
        <w:ind w:left="301" w:hanging="301"/>
        <w:spacing w:after="0"/>
        <w:tabs>
          <w:tab w:leader="none" w:pos="301"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3" w:lineRule="exact"/>
        <w:rPr>
          <w:rFonts w:ascii="Arial" w:cs="Arial" w:eastAsia="Arial" w:hAnsi="Arial"/>
          <w:sz w:val="18"/>
          <w:szCs w:val="18"/>
          <w:color w:val="auto"/>
        </w:rPr>
      </w:pPr>
    </w:p>
    <w:p>
      <w:pPr>
        <w:ind w:left="1"/>
        <w:spacing w:after="0"/>
        <w:rPr>
          <w:rFonts w:ascii="Arial" w:cs="Arial" w:eastAsia="Arial" w:hAnsi="Arial"/>
          <w:sz w:val="18"/>
          <w:szCs w:val="18"/>
          <w:color w:val="auto"/>
        </w:rPr>
      </w:pPr>
      <w:r>
        <w:rPr>
          <w:rFonts w:ascii="Arial" w:cs="Arial" w:eastAsia="Arial" w:hAnsi="Arial"/>
          <w:sz w:val="18"/>
          <w:szCs w:val="18"/>
          <w:color w:val="auto"/>
        </w:rPr>
        <w:t>0</w:t>
      </w:r>
    </w:p>
    <w:p>
      <w:pPr>
        <w:spacing w:after="0" w:line="9" w:lineRule="exact"/>
        <w:rPr>
          <w:rFonts w:ascii="Arial" w:cs="Arial" w:eastAsia="Arial" w:hAnsi="Arial"/>
          <w:sz w:val="18"/>
          <w:szCs w:val="18"/>
          <w:color w:val="auto"/>
        </w:rPr>
      </w:pPr>
    </w:p>
    <w:p>
      <w:pPr>
        <w:ind w:left="321" w:hanging="321"/>
        <w:spacing w:after="0"/>
        <w:tabs>
          <w:tab w:leader="none" w:pos="321"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w:t>
      </w:r>
    </w:p>
    <w:p>
      <w:pPr>
        <w:spacing w:after="0" w:line="22" w:lineRule="exact"/>
        <w:rPr>
          <w:rFonts w:ascii="Arial" w:cs="Arial" w:eastAsia="Arial" w:hAnsi="Arial"/>
          <w:sz w:val="18"/>
          <w:szCs w:val="18"/>
          <w:color w:val="auto"/>
        </w:rPr>
      </w:pPr>
    </w:p>
    <w:p>
      <w:pPr>
        <w:ind w:left="1"/>
        <w:spacing w:after="0"/>
        <w:rPr>
          <w:rFonts w:ascii="Arial" w:cs="Arial" w:eastAsia="Arial" w:hAnsi="Arial"/>
          <w:sz w:val="18"/>
          <w:szCs w:val="18"/>
          <w:color w:val="auto"/>
        </w:rPr>
      </w:pPr>
      <w:r>
        <w:rPr>
          <w:rFonts w:ascii="Arial" w:cs="Arial" w:eastAsia="Arial" w:hAnsi="Arial"/>
          <w:sz w:val="18"/>
          <w:szCs w:val="18"/>
          <w:color w:val="auto"/>
        </w:rPr>
        <w:t>o</w:t>
      </w:r>
    </w:p>
    <w:p>
      <w:pPr>
        <w:spacing w:after="0" w:line="9" w:lineRule="exact"/>
        <w:rPr>
          <w:rFonts w:ascii="Arial" w:cs="Arial" w:eastAsia="Arial" w:hAnsi="Arial"/>
          <w:sz w:val="18"/>
          <w:szCs w:val="18"/>
          <w:color w:val="auto"/>
        </w:rPr>
      </w:pPr>
    </w:p>
    <w:p>
      <w:pPr>
        <w:ind w:left="321" w:hanging="321"/>
        <w:spacing w:after="0"/>
        <w:tabs>
          <w:tab w:leader="none" w:pos="321"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sz w:val="20"/>
          <w:szCs w:val="20"/>
          <w:color w:val="auto"/>
        </w:rPr>
      </w:pPr>
    </w:p>
    <w:p>
      <w:pPr>
        <w:ind w:left="1"/>
        <w:spacing w:after="0"/>
        <w:rPr>
          <w:sz w:val="20"/>
          <w:szCs w:val="20"/>
          <w:color w:val="auto"/>
        </w:rPr>
      </w:pPr>
      <w:r>
        <w:rPr>
          <w:rFonts w:ascii="Arial" w:cs="Arial" w:eastAsia="Arial" w:hAnsi="Arial"/>
          <w:sz w:val="18"/>
          <w:szCs w:val="18"/>
          <w:color w:val="auto"/>
        </w:rPr>
        <w:t>0</w:t>
      </w:r>
    </w:p>
    <w:p>
      <w:pPr>
        <w:spacing w:after="0" w:line="9" w:lineRule="exact"/>
        <w:rPr>
          <w:sz w:val="20"/>
          <w:szCs w:val="20"/>
          <w:color w:val="auto"/>
        </w:rPr>
      </w:pPr>
    </w:p>
    <w:p>
      <w:pPr>
        <w:ind w:left="321" w:hanging="321"/>
        <w:spacing w:after="0"/>
        <w:tabs>
          <w:tab w:leader="none" w:pos="321"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 w:lineRule="exact"/>
        <w:rPr>
          <w:rFonts w:ascii="Arial" w:cs="Arial" w:eastAsia="Arial" w:hAnsi="Arial"/>
          <w:sz w:val="18"/>
          <w:szCs w:val="18"/>
          <w:color w:val="auto"/>
        </w:rPr>
      </w:pPr>
    </w:p>
    <w:p>
      <w:pPr>
        <w:ind w:left="1"/>
        <w:spacing w:after="0"/>
        <w:rPr>
          <w:rFonts w:ascii="Arial" w:cs="Arial" w:eastAsia="Arial" w:hAnsi="Arial"/>
          <w:sz w:val="18"/>
          <w:szCs w:val="18"/>
          <w:color w:val="auto"/>
        </w:rPr>
      </w:pPr>
      <w:r>
        <w:rPr>
          <w:rFonts w:ascii="Arial" w:cs="Arial" w:eastAsia="Arial" w:hAnsi="Arial"/>
          <w:sz w:val="18"/>
          <w:szCs w:val="18"/>
          <w:color w:val="auto"/>
        </w:rPr>
        <w:t>CO</w:t>
      </w:r>
    </w:p>
    <w:p>
      <w:pPr>
        <w:sectPr>
          <w:pgSz w:w="11900" w:h="16838" w:orient="portrait"/>
          <w:cols w:equalWidth="0" w:num="1">
            <w:col w:w="11301"/>
          </w:cols>
          <w:pgMar w:left="359" w:top="976" w:right="239" w:bottom="1440" w:gutter="0" w:footer="0" w:header="0"/>
        </w:sectPr>
      </w:pPr>
    </w:p>
    <w:bookmarkStart w:id="3" w:name="page4"/>
    <w:bookmarkEnd w:id="3"/>
    <w:p>
      <w:pPr>
        <w:jc w:val="both"/>
        <w:spacing w:after="0" w:line="286" w:lineRule="auto"/>
        <w:rPr>
          <w:sz w:val="20"/>
          <w:szCs w:val="20"/>
          <w:color w:val="auto"/>
        </w:rPr>
      </w:pPr>
      <w:r>
        <w:rPr>
          <w:rFonts w:ascii="Arial" w:cs="Arial" w:eastAsia="Arial" w:hAnsi="Arial"/>
          <w:sz w:val="17"/>
          <w:szCs w:val="17"/>
          <w:color w:val="auto"/>
        </w:rPr>
        <w:t>This Amendment No. 1 (this “Amendment”) relates to the Statement of Beneficial Ownership on Schedule 13D filed with respect to the common stock, $0.0001 par value (the “Common Stock”), of RPX Corporation (the “Issuer”), which was originally filed on June 26, 2018 (this “Schedule 13D”). Unless otherwise indicated, all capitalized terms used herein but not defined herein shall have the same meanings as set forth in the Schedule 13D.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4 of this Schedule 13D is amended and supplemented by the addition of the following:</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Agreement and Plan of Merger, dated April 30, 2018 (the “Merger Agreement”), by Riptide Purchaser, Inc. (“Purchaser”), a wholly owned subsidiary of Riptide Parent, LLC, (“Parent”), to purchase all of the outstanding shares of common stock, par value $0.0001 per share (the “RPX Shares”), of RPX Corporation (“RPX”), on June 19, 2018, the Reporting Persons tendered all of the shares of Common Stock beneficially owned by them as reported on this Schedule 13D and such shares were accepted by the Offeror on June 19, 2018.</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5 of this Schedule 13D is amended and supplemented as follows:</w:t>
      </w:r>
    </w:p>
    <w:p>
      <w:pPr>
        <w:spacing w:after="0" w:line="225" w:lineRule="exact"/>
        <w:rPr>
          <w:sz w:val="20"/>
          <w:szCs w:val="20"/>
          <w:color w:val="auto"/>
        </w:rPr>
      </w:pPr>
    </w:p>
    <w:p>
      <w:pPr>
        <w:ind w:left="1400" w:hanging="744"/>
        <w:spacing w:after="0"/>
        <w:tabs>
          <w:tab w:leader="none" w:pos="1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 a result of the Tender Offer, the Reporting Persons no longer have any beneficial ownership in the Common Stock.</w:t>
      </w:r>
    </w:p>
    <w:p>
      <w:pPr>
        <w:spacing w:after="0" w:line="225" w:lineRule="exact"/>
        <w:rPr>
          <w:rFonts w:ascii="Arial" w:cs="Arial" w:eastAsia="Arial" w:hAnsi="Arial"/>
          <w:sz w:val="18"/>
          <w:szCs w:val="18"/>
          <w:color w:val="auto"/>
        </w:rPr>
      </w:pPr>
    </w:p>
    <w:p>
      <w:pPr>
        <w:ind w:left="1480" w:hanging="743"/>
        <w:spacing w:after="0"/>
        <w:tabs>
          <w:tab w:leader="none" w:pos="14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disclosure contained in Item 4 of this Amendment is incorporated herein by reference.</w:t>
      </w:r>
    </w:p>
    <w:p>
      <w:pPr>
        <w:spacing w:after="0" w:line="225" w:lineRule="exact"/>
        <w:rPr>
          <w:sz w:val="20"/>
          <w:szCs w:val="20"/>
          <w:color w:val="auto"/>
        </w:rPr>
      </w:pPr>
    </w:p>
    <w:p>
      <w:pPr>
        <w:ind w:left="1160" w:hanging="504"/>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Reporting Persons ceased to be beneficial owners of 5% or more of the Issuer's Common Stock on June 19,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Exhibit A - Joint Filing Agreement</w:t>
      </w:r>
    </w:p>
    <w:p>
      <w:pPr>
        <w:sectPr>
          <w:pgSz w:w="11900" w:h="16838" w:orient="portrait"/>
          <w:cols w:equalWidth="0" w:num="1">
            <w:col w:w="11420"/>
          </w:cols>
          <w:pgMar w:left="240" w:top="476"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 correct.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5740" w:type="dxa"/>
            <w:vAlign w:val="bottom"/>
            <w:gridSpan w:val="3"/>
          </w:tcPr>
          <w:p>
            <w:pPr>
              <w:jc w:val="center"/>
              <w:ind w:right="500"/>
              <w:spacing w:after="0"/>
              <w:rPr>
                <w:sz w:val="20"/>
                <w:szCs w:val="20"/>
                <w:color w:val="auto"/>
              </w:rPr>
            </w:pPr>
            <w:r>
              <w:rPr>
                <w:rFonts w:ascii="Arial" w:cs="Arial" w:eastAsia="Arial" w:hAnsi="Arial"/>
                <w:sz w:val="18"/>
                <w:szCs w:val="18"/>
                <w:color w:val="auto"/>
                <w:w w:val="90"/>
              </w:rPr>
              <w:t>Gardner Lewis Asset Management, L.P.</w:t>
            </w:r>
          </w:p>
        </w:tc>
      </w:tr>
      <w:tr>
        <w:trPr>
          <w:trHeight w:val="230"/>
        </w:trPr>
        <w:tc>
          <w:tcPr>
            <w:tcW w:w="2720" w:type="dxa"/>
            <w:vAlign w:val="bottom"/>
          </w:tcPr>
          <w:p>
            <w:pPr>
              <w:spacing w:after="0"/>
              <w:rPr>
                <w:sz w:val="20"/>
                <w:szCs w:val="20"/>
                <w:color w:val="auto"/>
              </w:rPr>
            </w:pPr>
          </w:p>
        </w:tc>
        <w:tc>
          <w:tcPr>
            <w:tcW w:w="5740" w:type="dxa"/>
            <w:vAlign w:val="bottom"/>
            <w:gridSpan w:val="3"/>
          </w:tcPr>
          <w:p>
            <w:pPr>
              <w:ind w:left="1180"/>
              <w:spacing w:after="0"/>
              <w:rPr>
                <w:sz w:val="20"/>
                <w:szCs w:val="20"/>
                <w:color w:val="auto"/>
              </w:rPr>
            </w:pPr>
            <w:r>
              <w:rPr>
                <w:rFonts w:ascii="Arial" w:cs="Arial" w:eastAsia="Arial" w:hAnsi="Arial"/>
                <w:sz w:val="18"/>
                <w:szCs w:val="18"/>
                <w:color w:val="auto"/>
                <w:w w:val="90"/>
              </w:rPr>
              <w:t>By: Gardner Lewis Asset Management, Inc., its general partner</w:t>
            </w:r>
          </w:p>
        </w:tc>
      </w:tr>
      <w:tr>
        <w:trPr>
          <w:trHeight w:val="392"/>
        </w:trPr>
        <w:tc>
          <w:tcPr>
            <w:tcW w:w="2720" w:type="dxa"/>
            <w:vAlign w:val="bottom"/>
          </w:tcPr>
          <w:p>
            <w:pPr>
              <w:spacing w:after="0"/>
              <w:rPr>
                <w:sz w:val="20"/>
                <w:szCs w:val="20"/>
                <w:color w:val="auto"/>
              </w:rPr>
            </w:pPr>
            <w:r>
              <w:rPr>
                <w:rFonts w:ascii="Arial" w:cs="Arial" w:eastAsia="Arial" w:hAnsi="Arial"/>
                <w:sz w:val="18"/>
                <w:szCs w:val="18"/>
                <w:color w:val="auto"/>
              </w:rPr>
              <w:t>Dated: June 26, 2018</w:t>
            </w:r>
          </w:p>
        </w:tc>
        <w:tc>
          <w:tcPr>
            <w:tcW w:w="5740" w:type="dxa"/>
            <w:vAlign w:val="bottom"/>
            <w:gridSpan w:val="3"/>
          </w:tcPr>
          <w:p>
            <w:pPr>
              <w:ind w:left="1420"/>
              <w:spacing w:after="0"/>
              <w:rPr>
                <w:sz w:val="20"/>
                <w:szCs w:val="20"/>
                <w:color w:val="auto"/>
              </w:rPr>
            </w:pPr>
            <w:r>
              <w:rPr>
                <w:rFonts w:ascii="Arial" w:cs="Arial" w:eastAsia="Arial" w:hAnsi="Arial"/>
                <w:sz w:val="18"/>
                <w:szCs w:val="18"/>
                <w:color w:val="auto"/>
              </w:rPr>
              <w:t>By: /s/ W. Whitfield Gardner</w:t>
            </w:r>
          </w:p>
        </w:tc>
      </w:tr>
      <w:tr>
        <w:trPr>
          <w:trHeight w:val="222"/>
        </w:trPr>
        <w:tc>
          <w:tcPr>
            <w:tcW w:w="27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78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w w:val="96"/>
              </w:rPr>
              <w:t>W. Whitfield Gardner</w:t>
            </w:r>
          </w:p>
        </w:tc>
        <w:tc>
          <w:tcPr>
            <w:tcW w:w="2220" w:type="dxa"/>
            <w:vAlign w:val="bottom"/>
          </w:tcPr>
          <w:p>
            <w:pPr>
              <w:spacing w:after="0"/>
              <w:rPr>
                <w:sz w:val="19"/>
                <w:szCs w:val="19"/>
                <w:color w:val="auto"/>
              </w:rPr>
            </w:pPr>
          </w:p>
        </w:tc>
      </w:tr>
      <w:tr>
        <w:trPr>
          <w:trHeight w:val="230"/>
        </w:trPr>
        <w:tc>
          <w:tcPr>
            <w:tcW w:w="27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000" w:type="dxa"/>
            <w:vAlign w:val="bottom"/>
            <w:gridSpan w:val="2"/>
          </w:tcPr>
          <w:p>
            <w:pPr>
              <w:jc w:val="center"/>
              <w:ind w:right="2300"/>
              <w:spacing w:after="0"/>
              <w:rPr>
                <w:sz w:val="20"/>
                <w:szCs w:val="20"/>
                <w:color w:val="auto"/>
              </w:rPr>
            </w:pPr>
            <w:r>
              <w:rPr>
                <w:rFonts w:ascii="Arial" w:cs="Arial" w:eastAsia="Arial" w:hAnsi="Arial"/>
                <w:sz w:val="18"/>
                <w:szCs w:val="18"/>
                <w:color w:val="auto"/>
                <w:w w:val="90"/>
              </w:rPr>
              <w:t>Chairman and CEO</w:t>
            </w:r>
          </w:p>
        </w:tc>
      </w:tr>
      <w:tr>
        <w:trPr>
          <w:trHeight w:val="432"/>
        </w:trPr>
        <w:tc>
          <w:tcPr>
            <w:tcW w:w="2720" w:type="dxa"/>
            <w:vAlign w:val="bottom"/>
          </w:tcPr>
          <w:p>
            <w:pPr>
              <w:spacing w:after="0"/>
              <w:rPr>
                <w:sz w:val="24"/>
                <w:szCs w:val="24"/>
                <w:color w:val="auto"/>
              </w:rPr>
            </w:pPr>
          </w:p>
        </w:tc>
        <w:tc>
          <w:tcPr>
            <w:tcW w:w="5740" w:type="dxa"/>
            <w:vAlign w:val="bottom"/>
            <w:gridSpan w:val="3"/>
          </w:tcPr>
          <w:p>
            <w:pPr>
              <w:jc w:val="center"/>
              <w:ind w:right="520"/>
              <w:spacing w:after="0"/>
              <w:rPr>
                <w:sz w:val="20"/>
                <w:szCs w:val="20"/>
                <w:color w:val="auto"/>
              </w:rPr>
            </w:pPr>
            <w:r>
              <w:rPr>
                <w:rFonts w:ascii="Arial" w:cs="Arial" w:eastAsia="Arial" w:hAnsi="Arial"/>
                <w:sz w:val="18"/>
                <w:szCs w:val="18"/>
                <w:color w:val="auto"/>
                <w:w w:val="90"/>
              </w:rPr>
              <w:t>Gardner Lewis Asset Management, Inc.</w:t>
            </w:r>
          </w:p>
        </w:tc>
      </w:tr>
      <w:tr>
        <w:trPr>
          <w:trHeight w:val="392"/>
        </w:trPr>
        <w:tc>
          <w:tcPr>
            <w:tcW w:w="2720" w:type="dxa"/>
            <w:vAlign w:val="bottom"/>
          </w:tcPr>
          <w:p>
            <w:pPr>
              <w:spacing w:after="0"/>
              <w:rPr>
                <w:sz w:val="20"/>
                <w:szCs w:val="20"/>
                <w:color w:val="auto"/>
              </w:rPr>
            </w:pPr>
            <w:r>
              <w:rPr>
                <w:rFonts w:ascii="Arial" w:cs="Arial" w:eastAsia="Arial" w:hAnsi="Arial"/>
                <w:sz w:val="18"/>
                <w:szCs w:val="18"/>
                <w:color w:val="auto"/>
              </w:rPr>
              <w:t>Dated: June 26, 2018</w:t>
            </w:r>
          </w:p>
        </w:tc>
        <w:tc>
          <w:tcPr>
            <w:tcW w:w="5740" w:type="dxa"/>
            <w:vAlign w:val="bottom"/>
            <w:gridSpan w:val="3"/>
          </w:tcPr>
          <w:p>
            <w:pPr>
              <w:ind w:left="1420"/>
              <w:spacing w:after="0"/>
              <w:rPr>
                <w:sz w:val="20"/>
                <w:szCs w:val="20"/>
                <w:color w:val="auto"/>
              </w:rPr>
            </w:pPr>
            <w:r>
              <w:rPr>
                <w:rFonts w:ascii="Arial" w:cs="Arial" w:eastAsia="Arial" w:hAnsi="Arial"/>
                <w:sz w:val="18"/>
                <w:szCs w:val="18"/>
                <w:color w:val="auto"/>
              </w:rPr>
              <w:t>By: /s/ W. Whitfield Gardner</w:t>
            </w:r>
          </w:p>
        </w:tc>
      </w:tr>
      <w:tr>
        <w:trPr>
          <w:trHeight w:val="222"/>
        </w:trPr>
        <w:tc>
          <w:tcPr>
            <w:tcW w:w="27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78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w w:val="94"/>
              </w:rPr>
              <w:t>W. Whitfield Gardner</w:t>
            </w:r>
          </w:p>
        </w:tc>
        <w:tc>
          <w:tcPr>
            <w:tcW w:w="2220" w:type="dxa"/>
            <w:vAlign w:val="bottom"/>
          </w:tcPr>
          <w:p>
            <w:pPr>
              <w:spacing w:after="0"/>
              <w:rPr>
                <w:sz w:val="19"/>
                <w:szCs w:val="19"/>
                <w:color w:val="auto"/>
              </w:rPr>
            </w:pPr>
          </w:p>
        </w:tc>
      </w:tr>
      <w:tr>
        <w:trPr>
          <w:trHeight w:val="230"/>
        </w:trPr>
        <w:tc>
          <w:tcPr>
            <w:tcW w:w="27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000" w:type="dxa"/>
            <w:vAlign w:val="bottom"/>
            <w:gridSpan w:val="2"/>
          </w:tcPr>
          <w:p>
            <w:pPr>
              <w:jc w:val="center"/>
              <w:ind w:right="2220"/>
              <w:spacing w:after="0"/>
              <w:rPr>
                <w:sz w:val="20"/>
                <w:szCs w:val="20"/>
                <w:color w:val="auto"/>
              </w:rPr>
            </w:pPr>
            <w:r>
              <w:rPr>
                <w:rFonts w:ascii="Arial" w:cs="Arial" w:eastAsia="Arial" w:hAnsi="Arial"/>
                <w:sz w:val="18"/>
                <w:szCs w:val="18"/>
                <w:color w:val="auto"/>
                <w:w w:val="90"/>
              </w:rPr>
              <w:t>Chairman and CEO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ectPr>
          <w:pgSz w:w="11900" w:h="16838" w:orient="portrait"/>
          <w:cols w:equalWidth="0" w:num="1">
            <w:col w:w="11420"/>
          </w:cols>
          <w:pgMar w:left="240" w:top="472"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200" w:lineRule="exact"/>
        <w:rPr>
          <w:sz w:val="20"/>
          <w:szCs w:val="20"/>
          <w:color w:val="auto"/>
        </w:rPr>
      </w:pPr>
    </w:p>
    <w:p>
      <w:pPr>
        <w:spacing w:after="0" w:line="24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JOINT FILING AGREEMENT</w:t>
      </w:r>
    </w:p>
    <w:p>
      <w:pPr>
        <w:spacing w:after="0" w:line="200" w:lineRule="exact"/>
        <w:rPr>
          <w:sz w:val="20"/>
          <w:szCs w:val="20"/>
          <w:color w:val="auto"/>
        </w:rPr>
      </w:pPr>
    </w:p>
    <w:p>
      <w:pPr>
        <w:spacing w:after="0" w:line="241"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In accordance with Rule 13d-1(k)(1) under the Securities exchange Act of 1934, as amended, the undersigned hereby agree to the joint filing with all other reporting persons in the Schedule 13D referred to below on behalf of each of them of a statement on Schedule 13D (including amendments thereto) with respect to the Common Stock, par value $0.0001 per share, of RPX Corporation and that this Agreement be included as an Exhibit to such joint filing. This Agreement may be executed in any number of counterparts all of which taken together shall constitute one and the same instrument.</w:t>
      </w:r>
    </w:p>
    <w:p>
      <w:pPr>
        <w:spacing w:after="0" w:line="26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WITNESS WHEREOF, the undersigned hereby execute the Agreement this 26th day of June, 2018.</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5740" w:type="dxa"/>
            <w:vAlign w:val="bottom"/>
            <w:gridSpan w:val="5"/>
          </w:tcPr>
          <w:p>
            <w:pPr>
              <w:ind w:left="1180"/>
              <w:spacing w:after="0"/>
              <w:rPr>
                <w:sz w:val="20"/>
                <w:szCs w:val="20"/>
                <w:color w:val="auto"/>
              </w:rPr>
            </w:pPr>
            <w:r>
              <w:rPr>
                <w:rFonts w:ascii="Arial" w:cs="Arial" w:eastAsia="Arial" w:hAnsi="Arial"/>
                <w:sz w:val="18"/>
                <w:szCs w:val="18"/>
                <w:color w:val="auto"/>
              </w:rPr>
              <w:t>Gardner Lewis Asset Management, L.P.</w:t>
            </w:r>
          </w:p>
        </w:tc>
      </w:tr>
      <w:tr>
        <w:trPr>
          <w:trHeight w:val="230"/>
        </w:trPr>
        <w:tc>
          <w:tcPr>
            <w:tcW w:w="2720" w:type="dxa"/>
            <w:vAlign w:val="bottom"/>
          </w:tcPr>
          <w:p>
            <w:pPr>
              <w:spacing w:after="0"/>
              <w:rPr>
                <w:sz w:val="20"/>
                <w:szCs w:val="20"/>
                <w:color w:val="auto"/>
              </w:rPr>
            </w:pPr>
          </w:p>
        </w:tc>
        <w:tc>
          <w:tcPr>
            <w:tcW w:w="5740" w:type="dxa"/>
            <w:vAlign w:val="bottom"/>
            <w:gridSpan w:val="5"/>
          </w:tcPr>
          <w:p>
            <w:pPr>
              <w:ind w:left="1180"/>
              <w:spacing w:after="0"/>
              <w:rPr>
                <w:sz w:val="20"/>
                <w:szCs w:val="20"/>
                <w:color w:val="auto"/>
              </w:rPr>
            </w:pPr>
            <w:r>
              <w:rPr>
                <w:rFonts w:ascii="Arial" w:cs="Arial" w:eastAsia="Arial" w:hAnsi="Arial"/>
                <w:sz w:val="18"/>
                <w:szCs w:val="18"/>
                <w:color w:val="auto"/>
                <w:w w:val="90"/>
              </w:rPr>
              <w:t>By: Gardner Lewis Asset Management, Inc., its general partner</w:t>
            </w:r>
          </w:p>
        </w:tc>
      </w:tr>
      <w:tr>
        <w:trPr>
          <w:trHeight w:val="392"/>
        </w:trPr>
        <w:tc>
          <w:tcPr>
            <w:tcW w:w="2720" w:type="dxa"/>
            <w:vAlign w:val="bottom"/>
          </w:tcPr>
          <w:p>
            <w:pPr>
              <w:spacing w:after="0"/>
              <w:rPr>
                <w:sz w:val="20"/>
                <w:szCs w:val="20"/>
                <w:color w:val="auto"/>
              </w:rPr>
            </w:pPr>
            <w:r>
              <w:rPr>
                <w:rFonts w:ascii="Arial" w:cs="Arial" w:eastAsia="Arial" w:hAnsi="Arial"/>
                <w:sz w:val="18"/>
                <w:szCs w:val="18"/>
                <w:color w:val="auto"/>
              </w:rPr>
              <w:t>Dated: June 26, 2018</w:t>
            </w:r>
          </w:p>
        </w:tc>
        <w:tc>
          <w:tcPr>
            <w:tcW w:w="5740" w:type="dxa"/>
            <w:vAlign w:val="bottom"/>
            <w:gridSpan w:val="5"/>
          </w:tcPr>
          <w:p>
            <w:pPr>
              <w:ind w:left="1560"/>
              <w:spacing w:after="0"/>
              <w:rPr>
                <w:sz w:val="20"/>
                <w:szCs w:val="20"/>
                <w:color w:val="auto"/>
              </w:rPr>
            </w:pPr>
            <w:r>
              <w:rPr>
                <w:rFonts w:ascii="Arial" w:cs="Arial" w:eastAsia="Arial" w:hAnsi="Arial"/>
                <w:sz w:val="18"/>
                <w:szCs w:val="18"/>
                <w:color w:val="auto"/>
              </w:rPr>
              <w:t>By: /s/ W. Whitfield Gardner</w:t>
            </w:r>
          </w:p>
        </w:tc>
      </w:tr>
      <w:tr>
        <w:trPr>
          <w:trHeight w:val="222"/>
        </w:trPr>
        <w:tc>
          <w:tcPr>
            <w:tcW w:w="27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color w:val="auto"/>
              </w:rPr>
              <w:t>W. Whitfield Gardner</w:t>
            </w:r>
          </w:p>
        </w:tc>
        <w:tc>
          <w:tcPr>
            <w:tcW w:w="2080" w:type="dxa"/>
            <w:vAlign w:val="bottom"/>
          </w:tcPr>
          <w:p>
            <w:pPr>
              <w:spacing w:after="0"/>
              <w:rPr>
                <w:sz w:val="19"/>
                <w:szCs w:val="19"/>
                <w:color w:val="auto"/>
              </w:rPr>
            </w:pPr>
          </w:p>
        </w:tc>
      </w:tr>
      <w:tr>
        <w:trPr>
          <w:trHeight w:val="230"/>
        </w:trPr>
        <w:tc>
          <w:tcPr>
            <w:tcW w:w="27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80" w:type="dxa"/>
            <w:vAlign w:val="bottom"/>
            <w:gridSpan w:val="3"/>
          </w:tcPr>
          <w:p>
            <w:pPr>
              <w:ind w:left="80"/>
              <w:spacing w:after="0"/>
              <w:rPr>
                <w:sz w:val="20"/>
                <w:szCs w:val="20"/>
                <w:color w:val="auto"/>
              </w:rPr>
            </w:pPr>
            <w:r>
              <w:rPr>
                <w:rFonts w:ascii="Arial" w:cs="Arial" w:eastAsia="Arial" w:hAnsi="Arial"/>
                <w:sz w:val="18"/>
                <w:szCs w:val="18"/>
                <w:color w:val="auto"/>
              </w:rPr>
              <w:t>Chairman and CEO</w:t>
            </w:r>
          </w:p>
        </w:tc>
      </w:tr>
      <w:tr>
        <w:trPr>
          <w:trHeight w:val="432"/>
        </w:trPr>
        <w:tc>
          <w:tcPr>
            <w:tcW w:w="2720" w:type="dxa"/>
            <w:vAlign w:val="bottom"/>
          </w:tcPr>
          <w:p>
            <w:pPr>
              <w:spacing w:after="0"/>
              <w:rPr>
                <w:sz w:val="24"/>
                <w:szCs w:val="24"/>
                <w:color w:val="auto"/>
              </w:rPr>
            </w:pPr>
          </w:p>
        </w:tc>
        <w:tc>
          <w:tcPr>
            <w:tcW w:w="5740" w:type="dxa"/>
            <w:vAlign w:val="bottom"/>
            <w:gridSpan w:val="5"/>
          </w:tcPr>
          <w:p>
            <w:pPr>
              <w:ind w:left="1180"/>
              <w:spacing w:after="0"/>
              <w:rPr>
                <w:sz w:val="20"/>
                <w:szCs w:val="20"/>
                <w:color w:val="auto"/>
              </w:rPr>
            </w:pPr>
            <w:r>
              <w:rPr>
                <w:rFonts w:ascii="Arial" w:cs="Arial" w:eastAsia="Arial" w:hAnsi="Arial"/>
                <w:sz w:val="18"/>
                <w:szCs w:val="18"/>
                <w:color w:val="auto"/>
              </w:rPr>
              <w:t>Gardner Lewis Asset Management, Inc.</w:t>
            </w:r>
          </w:p>
        </w:tc>
      </w:tr>
      <w:tr>
        <w:trPr>
          <w:trHeight w:val="392"/>
        </w:trPr>
        <w:tc>
          <w:tcPr>
            <w:tcW w:w="2720" w:type="dxa"/>
            <w:vAlign w:val="bottom"/>
          </w:tcPr>
          <w:p>
            <w:pPr>
              <w:spacing w:after="0"/>
              <w:rPr>
                <w:sz w:val="20"/>
                <w:szCs w:val="20"/>
                <w:color w:val="auto"/>
              </w:rPr>
            </w:pPr>
            <w:r>
              <w:rPr>
                <w:rFonts w:ascii="Arial" w:cs="Arial" w:eastAsia="Arial" w:hAnsi="Arial"/>
                <w:sz w:val="18"/>
                <w:szCs w:val="18"/>
                <w:color w:val="auto"/>
              </w:rPr>
              <w:t>Dated: June 26, 2018</w:t>
            </w:r>
          </w:p>
        </w:tc>
        <w:tc>
          <w:tcPr>
            <w:tcW w:w="5740" w:type="dxa"/>
            <w:vAlign w:val="bottom"/>
            <w:gridSpan w:val="5"/>
          </w:tcPr>
          <w:p>
            <w:pPr>
              <w:ind w:left="1520"/>
              <w:spacing w:after="0"/>
              <w:rPr>
                <w:sz w:val="20"/>
                <w:szCs w:val="20"/>
                <w:color w:val="auto"/>
              </w:rPr>
            </w:pPr>
            <w:r>
              <w:rPr>
                <w:rFonts w:ascii="Arial" w:cs="Arial" w:eastAsia="Arial" w:hAnsi="Arial"/>
                <w:sz w:val="18"/>
                <w:szCs w:val="18"/>
                <w:color w:val="auto"/>
              </w:rPr>
              <w:t>By: /s/ W. Whitfield Gardner</w:t>
            </w:r>
          </w:p>
        </w:tc>
      </w:tr>
      <w:tr>
        <w:trPr>
          <w:trHeight w:val="222"/>
        </w:trPr>
        <w:tc>
          <w:tcPr>
            <w:tcW w:w="27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99"/>
              </w:rPr>
              <w:t>W. Whitfield Gardner</w:t>
            </w:r>
          </w:p>
        </w:tc>
        <w:tc>
          <w:tcPr>
            <w:tcW w:w="2140" w:type="dxa"/>
            <w:vAlign w:val="bottom"/>
            <w:gridSpan w:val="2"/>
          </w:tcPr>
          <w:p>
            <w:pPr>
              <w:spacing w:after="0"/>
              <w:rPr>
                <w:sz w:val="19"/>
                <w:szCs w:val="19"/>
                <w:color w:val="auto"/>
              </w:rPr>
            </w:pPr>
          </w:p>
        </w:tc>
      </w:tr>
      <w:tr>
        <w:trPr>
          <w:trHeight w:val="230"/>
        </w:trPr>
        <w:tc>
          <w:tcPr>
            <w:tcW w:w="27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80" w:type="dxa"/>
            <w:vAlign w:val="bottom"/>
            <w:gridSpan w:val="3"/>
          </w:tcPr>
          <w:p>
            <w:pPr>
              <w:ind w:left="100"/>
              <w:spacing w:after="0"/>
              <w:rPr>
                <w:sz w:val="20"/>
                <w:szCs w:val="20"/>
                <w:color w:val="auto"/>
              </w:rPr>
            </w:pPr>
            <w:r>
              <w:rPr>
                <w:rFonts w:ascii="Arial" w:cs="Arial" w:eastAsia="Arial" w:hAnsi="Arial"/>
                <w:sz w:val="18"/>
                <w:szCs w:val="18"/>
                <w:color w:val="auto"/>
              </w:rPr>
              <w:t>Chairman and CEO</w:t>
            </w:r>
          </w:p>
        </w:tc>
      </w:tr>
    </w:tbl>
    <w:p>
      <w:pPr>
        <w:spacing w:after="0" w:line="1" w:lineRule="exact"/>
        <w:rPr>
          <w:sz w:val="20"/>
          <w:szCs w:val="20"/>
          <w:color w:val="auto"/>
        </w:rPr>
      </w:pPr>
    </w:p>
    <w:sectPr>
      <w:pgSz w:w="11900" w:h="16838" w:orient="portrait"/>
      <w:cols w:equalWidth="0" w:num="1">
        <w:col w:w="11420"/>
      </w:cols>
      <w:pgMar w:left="240" w:top="47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1"/>
    </w:lvl>
    <w:lvl w:ilvl="1">
      <w:lvlJc w:val="left"/>
      <w:lvlText w:val="%2."/>
      <w:numFmt w:val="decimal"/>
      <w:start w:val="10"/>
    </w:lvl>
  </w:abstractNum>
  <w:abstractNum w:abstractNumId="3">
    <w:nsid w:val="79E2A9E3"/>
    <w:multiLevelType w:val="hybridMultilevel"/>
    <w:lvl w:ilvl="0">
      <w:lvlJc w:val="left"/>
      <w:lvlText w:val="%1."/>
      <w:numFmt w:val="decimal"/>
      <w:start w:val="11"/>
    </w:lvl>
    <w:lvl w:ilvl="1">
      <w:lvlJc w:val="left"/>
      <w:lvlText w:val="%2"/>
      <w:numFmt w:val="decimal"/>
      <w:start w:val="1"/>
    </w:lvl>
  </w:abstractNum>
  <w:abstractNum w:abstractNumId="4">
    <w:nsid w:val="7545E146"/>
    <w:multiLevelType w:val="hybridMultilevel"/>
    <w:lvl w:ilvl="0">
      <w:lvlJc w:val="left"/>
      <w:lvlText w:val="%1."/>
      <w:numFmt w:val="decimal"/>
      <w:start w:val="14"/>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1"/>
    </w:lvl>
    <w:lvl w:ilvl="1">
      <w:lvlJc w:val="left"/>
      <w:lvlText w:val="%2."/>
      <w:numFmt w:val="decimal"/>
      <w:start w:val="10"/>
    </w:lvl>
  </w:abstractNum>
  <w:abstractNum w:abstractNumId="7">
    <w:nsid w:val="12200854"/>
    <w:multiLevelType w:val="hybridMultilevel"/>
    <w:lvl w:ilvl="0">
      <w:lvlJc w:val="left"/>
      <w:lvlText w:val="%1."/>
      <w:numFmt w:val="decimal"/>
      <w:start w:val="11"/>
    </w:lvl>
    <w:lvl w:ilvl="1">
      <w:lvlJc w:val="left"/>
      <w:lvlText w:val="%2"/>
      <w:numFmt w:val="decimal"/>
      <w:start w:val="1"/>
    </w:lvl>
  </w:abstractNum>
  <w:abstractNum w:abstractNumId="8">
    <w:nsid w:val="4DB127F8"/>
    <w:multiLevelType w:val="hybridMultilevel"/>
    <w:lvl w:ilvl="0">
      <w:lvlJc w:val="left"/>
      <w:lvlText w:val="%1."/>
      <w:numFmt w:val="decimal"/>
      <w:start w:val="14"/>
    </w:lvl>
  </w:abstractNum>
  <w:abstractNum w:abstractNumId="9">
    <w:nsid w:val="216231B"/>
    <w:multiLevelType w:val="hybridMultilevel"/>
    <w:lvl w:ilvl="0">
      <w:lvlJc w:val="left"/>
      <w:lvlText w:val="(%1)"/>
      <w:numFmt w:val="lowerLetter"/>
      <w:start w:val="1"/>
    </w:lvl>
    <w:lvl w:ilvl="1">
      <w:lvlJc w:val="left"/>
      <w:lvlText w:val="(%2)"/>
      <w:numFmt w:val="lowerLetter"/>
      <w:start w:val="3"/>
    </w:lvl>
  </w:abstractNum>
  <w:abstractNum w:abstractNumId="10">
    <w:nsid w:val="1F16E9E8"/>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2019-12-07T20:35:54Z</dcterms:created>
  <dcterms:modified xsi:type="dcterms:W3CDTF">2019-12-07T20:35:54Z</dcterms:modified>
</cp:coreProperties>
</file>