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2011</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3954145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177800</wp:posOffset>
            </wp:positionV>
            <wp:extent cx="857885"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88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RPX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780" w:type="dxa"/>
        <w:tblCellMar>
          <w:top w:w="0" w:type="dxa"/>
          <w:left w:w="0" w:type="dxa"/>
          <w:bottom w:w="0" w:type="dxa"/>
          <w:right w:w="0" w:type="dxa"/>
        </w:tblCellMar>
      </w:tblPr>
      <w:tr>
        <w:trPr>
          <w:trHeight w:val="218"/>
        </w:trPr>
        <w:tc>
          <w:tcPr>
            <w:tcW w:w="6920" w:type="dxa"/>
            <w:vAlign w:val="bottom"/>
          </w:tcPr>
          <w:p>
            <w:pPr>
              <w:jc w:val="center"/>
              <w:ind w:right="2664"/>
              <w:spacing w:after="0"/>
              <w:rPr>
                <w:sz w:val="20"/>
                <w:szCs w:val="20"/>
                <w:color w:val="auto"/>
              </w:rPr>
            </w:pPr>
            <w:r>
              <w:rPr>
                <w:rFonts w:ascii="Arial" w:cs="Arial" w:eastAsia="Arial" w:hAnsi="Arial"/>
                <w:sz w:val="18"/>
                <w:szCs w:val="18"/>
                <w:b w:val="1"/>
                <w:bCs w:val="1"/>
                <w:color w:val="auto"/>
                <w:w w:val="88"/>
              </w:rPr>
              <w:t>Delaware</w:t>
            </w:r>
          </w:p>
        </w:tc>
        <w:tc>
          <w:tcPr>
            <w:tcW w:w="1520" w:type="dxa"/>
            <w:vAlign w:val="bottom"/>
          </w:tcPr>
          <w:p>
            <w:pPr>
              <w:jc w:val="right"/>
              <w:ind w:right="44"/>
              <w:spacing w:after="0"/>
              <w:rPr>
                <w:sz w:val="20"/>
                <w:szCs w:val="20"/>
                <w:color w:val="auto"/>
              </w:rPr>
            </w:pPr>
            <w:r>
              <w:rPr>
                <w:rFonts w:ascii="Arial" w:cs="Arial" w:eastAsia="Arial" w:hAnsi="Arial"/>
                <w:sz w:val="18"/>
                <w:szCs w:val="18"/>
                <w:b w:val="1"/>
                <w:bCs w:val="1"/>
                <w:color w:val="auto"/>
              </w:rPr>
              <w:t>26-2990113</w:t>
            </w:r>
          </w:p>
        </w:tc>
      </w:tr>
      <w:tr>
        <w:trPr>
          <w:trHeight w:val="149"/>
        </w:trPr>
        <w:tc>
          <w:tcPr>
            <w:tcW w:w="6920" w:type="dxa"/>
            <w:vAlign w:val="bottom"/>
          </w:tcPr>
          <w:p>
            <w:pPr>
              <w:jc w:val="center"/>
              <w:ind w:right="266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20" w:type="dxa"/>
            <w:vAlign w:val="bottom"/>
          </w:tcPr>
          <w:p>
            <w:pPr>
              <w:jc w:val="center"/>
              <w:ind w:left="3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920" w:type="dxa"/>
            <w:vAlign w:val="bottom"/>
          </w:tcPr>
          <w:p>
            <w:pPr>
              <w:jc w:val="center"/>
              <w:ind w:right="2664"/>
              <w:spacing w:after="0"/>
              <w:rPr>
                <w:sz w:val="20"/>
                <w:szCs w:val="20"/>
                <w:color w:val="auto"/>
              </w:rPr>
            </w:pPr>
            <w:r>
              <w:rPr>
                <w:rFonts w:ascii="Arial" w:cs="Arial" w:eastAsia="Arial" w:hAnsi="Arial"/>
                <w:sz w:val="14"/>
                <w:szCs w:val="14"/>
                <w:b w:val="1"/>
                <w:bCs w:val="1"/>
                <w:color w:val="auto"/>
                <w:w w:val="89"/>
              </w:rPr>
              <w:t>Incorporation or Organization)</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920" w:type="dxa"/>
            <w:vAlign w:val="bottom"/>
          </w:tcPr>
          <w:p>
            <w:pPr>
              <w:jc w:val="center"/>
              <w:ind w:right="2684"/>
              <w:spacing w:after="0"/>
              <w:rPr>
                <w:sz w:val="20"/>
                <w:szCs w:val="20"/>
                <w:color w:val="auto"/>
              </w:rPr>
            </w:pPr>
            <w:r>
              <w:rPr>
                <w:rFonts w:ascii="Arial" w:cs="Arial" w:eastAsia="Arial" w:hAnsi="Arial"/>
                <w:sz w:val="18"/>
                <w:szCs w:val="18"/>
                <w:b w:val="1"/>
                <w:bCs w:val="1"/>
                <w:color w:val="auto"/>
                <w:w w:val="89"/>
              </w:rPr>
              <w:t>One Market Plaza, Suite 700, San Francisco, California</w:t>
            </w:r>
          </w:p>
        </w:tc>
        <w:tc>
          <w:tcPr>
            <w:tcW w:w="1520" w:type="dxa"/>
            <w:vAlign w:val="bottom"/>
          </w:tcPr>
          <w:p>
            <w:pPr>
              <w:jc w:val="right"/>
              <w:ind w:right="244"/>
              <w:spacing w:after="0"/>
              <w:rPr>
                <w:sz w:val="20"/>
                <w:szCs w:val="20"/>
                <w:color w:val="auto"/>
              </w:rPr>
            </w:pPr>
            <w:r>
              <w:rPr>
                <w:rFonts w:ascii="Arial" w:cs="Arial" w:eastAsia="Arial" w:hAnsi="Arial"/>
                <w:sz w:val="18"/>
                <w:szCs w:val="18"/>
                <w:b w:val="1"/>
                <w:bCs w:val="1"/>
                <w:color w:val="auto"/>
              </w:rPr>
              <w:t>94105</w:t>
            </w:r>
          </w:p>
        </w:tc>
      </w:tr>
      <w:tr>
        <w:trPr>
          <w:trHeight w:val="174"/>
        </w:trPr>
        <w:tc>
          <w:tcPr>
            <w:tcW w:w="6920" w:type="dxa"/>
            <w:vAlign w:val="bottom"/>
          </w:tcPr>
          <w:p>
            <w:pPr>
              <w:jc w:val="center"/>
              <w:ind w:right="26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520" w:type="dxa"/>
            <w:vAlign w:val="bottom"/>
          </w:tcPr>
          <w:p>
            <w:pPr>
              <w:jc w:val="center"/>
              <w:ind w:left="3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920" w:type="dxa"/>
            <w:vAlign w:val="bottom"/>
          </w:tcPr>
          <w:p>
            <w:pPr>
              <w:jc w:val="right"/>
              <w:ind w:right="1364"/>
              <w:spacing w:after="0"/>
              <w:rPr>
                <w:sz w:val="20"/>
                <w:szCs w:val="20"/>
                <w:color w:val="auto"/>
              </w:rPr>
            </w:pPr>
            <w:r>
              <w:rPr>
                <w:rFonts w:ascii="Arial" w:cs="Arial" w:eastAsia="Arial" w:hAnsi="Arial"/>
                <w:sz w:val="18"/>
                <w:szCs w:val="18"/>
                <w:b w:val="1"/>
                <w:bCs w:val="1"/>
                <w:color w:val="auto"/>
              </w:rPr>
              <w:t>(866) 779-7641</w:t>
            </w:r>
          </w:p>
        </w:tc>
        <w:tc>
          <w:tcPr>
            <w:tcW w:w="1520" w:type="dxa"/>
            <w:vAlign w:val="bottom"/>
          </w:tcPr>
          <w:p>
            <w:pPr>
              <w:spacing w:after="0"/>
              <w:rPr>
                <w:sz w:val="24"/>
                <w:szCs w:val="24"/>
                <w:color w:val="auto"/>
              </w:rPr>
            </w:pPr>
          </w:p>
        </w:tc>
      </w:tr>
      <w:tr>
        <w:trPr>
          <w:trHeight w:val="174"/>
        </w:trPr>
        <w:tc>
          <w:tcPr>
            <w:tcW w:w="6920" w:type="dxa"/>
            <w:vAlign w:val="bottom"/>
          </w:tcPr>
          <w:p>
            <w:pPr>
              <w:jc w:val="center"/>
              <w:ind w:left="2884"/>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5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6"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2"/>
              </w:rPr>
              <w:t>On June 14, 2011, 47,121,856 shares of the registrant’s common stock, $0.0001 par value, were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580" w:type="dxa"/>
            <w:vAlign w:val="bottom"/>
            <w:vMerge w:val="continue"/>
          </w:tcPr>
          <w:p>
            <w:pPr>
              <w:spacing w:after="0"/>
              <w:rPr>
                <w:sz w:val="14"/>
                <w:szCs w:val="14"/>
                <w:color w:val="auto"/>
              </w:rPr>
            </w:pPr>
          </w:p>
        </w:tc>
        <w:tc>
          <w:tcPr>
            <w:tcW w:w="9460" w:type="dxa"/>
            <w:vAlign w:val="bottom"/>
            <w:gridSpan w:val="19"/>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580" w:type="dxa"/>
            <w:vAlign w:val="bottom"/>
          </w:tcPr>
          <w:p>
            <w:pPr>
              <w:ind w:left="440"/>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00" w:type="dxa"/>
            <w:vAlign w:val="bottom"/>
            <w:tcBorders>
              <w:top w:val="single" w:sz="8" w:color="0000EE"/>
            </w:tcBorders>
            <w:gridSpan w:val="5"/>
          </w:tcPr>
          <w:p>
            <w:pPr>
              <w:spacing w:after="0"/>
              <w:rPr>
                <w:sz w:val="24"/>
                <w:szCs w:val="24"/>
                <w:color w:val="auto"/>
              </w:rPr>
            </w:pPr>
          </w:p>
        </w:tc>
        <w:tc>
          <w:tcPr>
            <w:tcW w:w="7140" w:type="dxa"/>
            <w:vAlign w:val="bottom"/>
            <w:gridSpan w:val="8"/>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612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as of March 31, 2011 and December 31, 2010</w:t>
              </w:r>
            </w:hyperlink>
          </w:p>
        </w:tc>
        <w:tc>
          <w:tcPr>
            <w:tcW w:w="33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9460" w:type="dxa"/>
            <w:vAlign w:val="bottom"/>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for the Three Months Ended March 31, 2011 and 2010</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580" w:type="dxa"/>
            <w:vAlign w:val="bottom"/>
          </w:tcPr>
          <w:p>
            <w:pPr>
              <w:spacing w:after="0"/>
              <w:rPr>
                <w:sz w:val="24"/>
                <w:szCs w:val="24"/>
                <w:color w:val="auto"/>
              </w:rPr>
            </w:pPr>
          </w:p>
        </w:tc>
        <w:tc>
          <w:tcPr>
            <w:tcW w:w="750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Three Months Ended March 31, 2011 and 2010</w:t>
              </w:r>
            </w:hyperlink>
          </w:p>
        </w:tc>
        <w:tc>
          <w:tcPr>
            <w:tcW w:w="19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390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5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Management’s Discussion and Analysis of Financial Condition and Results of Operations</w:t>
              </w:r>
            </w:hyperlink>
          </w:p>
        </w:tc>
        <w:tc>
          <w:tcPr>
            <w:tcW w:w="316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52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4.</w:t>
            </w:r>
          </w:p>
        </w:tc>
        <w:tc>
          <w:tcPr>
            <w:tcW w:w="946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9"/>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580" w:type="dxa"/>
            <w:vAlign w:val="bottom"/>
          </w:tcPr>
          <w:p>
            <w:pPr>
              <w:ind w:left="440"/>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660" w:type="dxa"/>
            <w:vAlign w:val="bottom"/>
            <w:tcBorders>
              <w:top w:val="single" w:sz="8" w:color="0000EE"/>
            </w:tcBorders>
            <w:gridSpan w:val="4"/>
          </w:tcPr>
          <w:p>
            <w:pPr>
              <w:spacing w:after="0"/>
              <w:rPr>
                <w:sz w:val="24"/>
                <w:szCs w:val="24"/>
                <w:color w:val="auto"/>
              </w:rPr>
            </w:pPr>
          </w:p>
        </w:tc>
        <w:tc>
          <w:tcPr>
            <w:tcW w:w="75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Risk Factors</w:t>
              </w:r>
            </w:hyperlink>
          </w:p>
        </w:tc>
        <w:tc>
          <w:tcPr>
            <w:tcW w:w="858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3"/>
          </w:tcPr>
          <w:p>
            <w:pPr>
              <w:spacing w:after="0"/>
              <w:rPr>
                <w:rFonts w:ascii="Arial" w:cs="Arial" w:eastAsia="Arial" w:hAnsi="Arial"/>
                <w:sz w:val="18"/>
                <w:szCs w:val="18"/>
                <w:color w:val="0000EE"/>
                <w:w w:val="86"/>
              </w:rPr>
            </w:pPr>
            <w:hyperlink w:anchor="page43">
              <w:r>
                <w:rPr>
                  <w:rFonts w:ascii="Arial" w:cs="Arial" w:eastAsia="Arial" w:hAnsi="Arial"/>
                  <w:sz w:val="18"/>
                  <w:szCs w:val="18"/>
                  <w:color w:val="0000EE"/>
                  <w:w w:val="86"/>
                </w:rPr>
                <w:t>Unregistered Sales of Equity Securities and Use of Proceeds</w:t>
              </w:r>
            </w:hyperlink>
          </w:p>
        </w:tc>
        <w:tc>
          <w:tcPr>
            <w:tcW w:w="522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3.</w:t>
            </w:r>
          </w:p>
        </w:tc>
        <w:tc>
          <w:tcPr>
            <w:tcW w:w="946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Defaults Upon Senior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5"/>
              </w:rPr>
            </w:pPr>
            <w:hyperlink w:anchor="page45">
              <w:r>
                <w:rPr>
                  <w:rFonts w:ascii="Arial" w:cs="Arial" w:eastAsia="Arial" w:hAnsi="Arial"/>
                  <w:sz w:val="18"/>
                  <w:szCs w:val="18"/>
                  <w:color w:val="0000EE"/>
                  <w:w w:val="85"/>
                </w:rPr>
                <w:t>(Removed and Reserved)</w:t>
              </w:r>
            </w:hyperlink>
          </w:p>
        </w:tc>
        <w:tc>
          <w:tcPr>
            <w:tcW w:w="480" w:type="dxa"/>
            <w:vAlign w:val="bottom"/>
            <w:tcBorders>
              <w:top w:val="single" w:sz="8" w:color="0000EE"/>
            </w:tcBorders>
            <w:gridSpan w:val="2"/>
          </w:tcPr>
          <w:p>
            <w:pPr>
              <w:spacing w:after="0"/>
              <w:rPr>
                <w:sz w:val="24"/>
                <w:szCs w:val="24"/>
                <w:color w:val="auto"/>
              </w:rPr>
            </w:pPr>
          </w:p>
        </w:tc>
        <w:tc>
          <w:tcPr>
            <w:tcW w:w="720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Other Information</w:t>
              </w:r>
            </w:hyperlink>
          </w:p>
        </w:tc>
        <w:tc>
          <w:tcPr>
            <w:tcW w:w="818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1580" w:type="dxa"/>
            <w:vAlign w:val="bottom"/>
          </w:tcPr>
          <w:p>
            <w:pPr>
              <w:ind w:left="440"/>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Exhibits</w:t>
              </w:r>
            </w:hyperlink>
          </w:p>
        </w:tc>
        <w:tc>
          <w:tcPr>
            <w:tcW w:w="888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158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48">
              <w:r>
                <w:rPr>
                  <w:rFonts w:ascii="Arial" w:cs="Arial" w:eastAsia="Arial" w:hAnsi="Arial"/>
                  <w:sz w:val="18"/>
                  <w:szCs w:val="18"/>
                  <w:color w:val="0000EE"/>
                  <w:w w:val="83"/>
                </w:rPr>
                <w:t>Signatures</w:t>
              </w:r>
            </w:hyperlink>
          </w:p>
        </w:tc>
        <w:tc>
          <w:tcPr>
            <w:tcW w:w="872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41,853</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46,656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&amp; short-term 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Patent assets,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132,415</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Property and equipment and other intangibles, net</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201,611</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616</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and other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92,763</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82,440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and other obligations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tax liabilities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120,159</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123,522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2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62,793</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94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2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1,308</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17,350</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w:t>
            </w:r>
          </w:p>
        </w:tc>
        <w:tc>
          <w:tcPr>
            <w:tcW w:w="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stock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201,611</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9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2011</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18,212</w:t>
            </w:r>
          </w:p>
        </w:tc>
        <w:tc>
          <w:tcPr>
            <w:tcW w:w="0" w:type="dxa"/>
            <w:vAlign w:val="bottom"/>
          </w:tcPr>
          <w:p>
            <w:pPr>
              <w:spacing w:after="0"/>
              <w:rPr>
                <w:sz w:val="1"/>
                <w:szCs w:val="1"/>
                <w:color w:val="auto"/>
              </w:rPr>
            </w:pPr>
          </w:p>
        </w:tc>
      </w:tr>
      <w:tr>
        <w:trPr>
          <w:trHeight w:val="216"/>
        </w:trPr>
        <w:tc>
          <w:tcPr>
            <w:tcW w:w="982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13,665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7,733</w:t>
            </w:r>
          </w:p>
        </w:tc>
        <w:tc>
          <w:tcPr>
            <w:tcW w:w="0" w:type="dxa"/>
            <w:vAlign w:val="bottom"/>
          </w:tcPr>
          <w:p>
            <w:pPr>
              <w:spacing w:after="0"/>
              <w:rPr>
                <w:sz w:val="1"/>
                <w:szCs w:val="1"/>
                <w:color w:val="auto"/>
              </w:rPr>
            </w:pPr>
          </w:p>
        </w:tc>
      </w:tr>
      <w:tr>
        <w:trPr>
          <w:trHeight w:val="216"/>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12,615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6,211</w:t>
            </w: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1"/>
        </w:trPr>
        <w:tc>
          <w:tcPr>
            <w:tcW w:w="98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12,242</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6,695</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Less: allocation of net income to participating stockholders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tcPr>
          <w:p>
            <w:pPr>
              <w:spacing w:after="0"/>
              <w:rPr>
                <w:sz w:val="20"/>
                <w:szCs w:val="20"/>
                <w:color w:val="auto"/>
              </w:rPr>
            </w:pPr>
            <w:r>
              <w:rPr>
                <w:rFonts w:ascii="Arial" w:cs="Arial" w:eastAsia="Arial" w:hAnsi="Arial"/>
                <w:sz w:val="18"/>
                <w:szCs w:val="18"/>
                <w:color w:val="auto"/>
              </w:rPr>
              <w:t>Net income available to common stockholders—basic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1,046</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8"/>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re-allocated to common stockholders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tcPr>
          <w:p>
            <w:pPr>
              <w:spacing w:after="0"/>
              <w:rPr>
                <w:sz w:val="20"/>
                <w:szCs w:val="20"/>
                <w:color w:val="auto"/>
              </w:rPr>
            </w:pPr>
            <w:r>
              <w:rPr>
                <w:rFonts w:ascii="Arial" w:cs="Arial" w:eastAsia="Arial" w:hAnsi="Arial"/>
                <w:sz w:val="18"/>
                <w:szCs w:val="18"/>
                <w:color w:val="auto"/>
              </w:rPr>
              <w:t>Net income available to common stockholders—diluted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1,249</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Net income per common share—diluted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0.14</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used in computing net income per common share—basic</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income per common share—diluted</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9,036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5,617</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6,695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13,667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(Increase) decrease in accounts receivable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11,887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accrued and other liabilities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Increase in deferred revenue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37,535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other working capital</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ind w:left="420"/>
              <w:spacing w:after="0"/>
              <w:rPr>
                <w:sz w:val="20"/>
                <w:szCs w:val="20"/>
                <w:color w:val="auto"/>
              </w:rPr>
            </w:pPr>
            <w:r>
              <w:rPr>
                <w:rFonts w:ascii="Arial" w:cs="Arial" w:eastAsia="Arial" w:hAnsi="Arial"/>
                <w:sz w:val="18"/>
                <w:szCs w:val="18"/>
                <w:color w:val="auto"/>
              </w:rPr>
              <w:t>Other</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39,644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40,645</w:t>
            </w:r>
          </w:p>
        </w:tc>
        <w:tc>
          <w:tcPr>
            <w:tcW w:w="0" w:type="dxa"/>
            <w:vAlign w:val="bottom"/>
          </w:tcPr>
          <w:p>
            <w:pPr>
              <w:spacing w:after="0"/>
              <w:rPr>
                <w:sz w:val="1"/>
                <w:szCs w:val="1"/>
                <w:color w:val="auto"/>
              </w:rPr>
            </w:pPr>
          </w:p>
        </w:tc>
      </w:tr>
      <w:tr>
        <w:trPr>
          <w:trHeight w:val="322"/>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 classified as available-for-sale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(15,100)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Acquisition of patent assets, net</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(19,139)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plan and equipment and other intangible assets, net</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66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(34,625)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(31,062)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6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Repayments of principal on notes payable and other obligations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offering-related costs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2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(12,131)</w:t>
            </w:r>
          </w:p>
        </w:tc>
        <w:tc>
          <w:tcPr>
            <w:tcW w:w="0" w:type="dxa"/>
            <w:vAlign w:val="bottom"/>
          </w:tcPr>
          <w:p>
            <w:pPr>
              <w:spacing w:after="0"/>
              <w:rPr>
                <w:sz w:val="1"/>
                <w:szCs w:val="1"/>
                <w:color w:val="auto"/>
              </w:rPr>
            </w:pPr>
          </w:p>
        </w:tc>
      </w:tr>
      <w:tr>
        <w:trPr>
          <w:trHeight w:val="322"/>
        </w:trPr>
        <w:tc>
          <w:tcPr>
            <w:tcW w:w="7680" w:type="dxa"/>
            <w:vAlign w:val="bottom"/>
            <w:gridSpan w:val="2"/>
          </w:tcPr>
          <w:p>
            <w:pPr>
              <w:spacing w:after="0"/>
              <w:rPr>
                <w:sz w:val="20"/>
                <w:szCs w:val="20"/>
                <w:color w:val="auto"/>
              </w:rPr>
            </w:pPr>
            <w:r>
              <w:rPr>
                <w:rFonts w:ascii="Arial" w:cs="Arial" w:eastAsia="Arial" w:hAnsi="Arial"/>
                <w:sz w:val="18"/>
                <w:szCs w:val="18"/>
                <w:color w:val="auto"/>
              </w:rPr>
              <w:t>Net cash movement</w:t>
            </w:r>
          </w:p>
        </w:tc>
        <w:tc>
          <w:tcPr>
            <w:tcW w:w="2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(4,803)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Beginning cash balance</w:t>
            </w:r>
          </w:p>
        </w:tc>
        <w:tc>
          <w:tcPr>
            <w:tcW w:w="2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46,656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28,928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the period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41,853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26,380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Patent assets purchased or financed through notes payable or other obligations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 in patent assets purchased and accrued but not paid</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Patent assets acquired through settlement of notes receivable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received in barter transactions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Initial public offering-related costs accrued but not paid</w:t>
            </w:r>
          </w:p>
        </w:tc>
        <w:tc>
          <w:tcPr>
            <w:tcW w:w="2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p>
      <w:pPr>
        <w:ind w:right="696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interim condensed consolidated financial statements of RPX Corporation (also referred to herein as “RPX” or the “Company”) are unaudited and have been prepared in accordance with the accounting principles generally accepted in the United States of America (“US GAAP”) and with the instructions for Form 10-Q and Regulation S-X statements. Certain information and footnote disclosures normally included in financial statements prepared in accordance with US GAAP have been condensed or omitted pursuant to such rules and regulations. These unaudited condensed consolidated financial statements should be read in conjunction with the audited consolidated financial statements and notes thereto contained in the Company’s Prospectus filed with the Securities and Exchange Commission (“SEC”) on May 4, 2011. The unaudited condensed consolidated financial statements include the accounts of RPX and its subsidiaries. All intercompany accounts and transactions have been eliminated in consolidation.</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accompanying interim condensed consolidated financial statements and related disclosures have been prepared on the same basis as the annual audited consolidated financial statements and, in the opinion of management, reflect all adjustments, which include only normal recurring adjustments, necessary for a fair statement of the results of operations for the periods presented. The consolidated results of operations for any interim period are not necessarily indicative of the results to be expected for the full year or for any other future year or interim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 May 3, 2011, the Company’s registration statement on Form S-1 relating to the initial public offering of its common stock was declared effective by the SEC. This offering closed on May 9, 2011, at which time the Company issued 9,065,000 common shares and received cash proceeds of $160.2 million, net of underwriting discounts and commissions. The Company incurred offering costs of $2.6 million through April 30, 2011 and additional costs were incurred in May 2011. Previously, substantially all of the Company’s operations and patent asset acquisitions had been financed through the sale of equity securities, subscription fees collected from its clients and patent-seller financing.</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2011 and December 31, 2010, the Company had cash and cash equivalents of $41.9 million and $46.7 million and retained earnings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$17.4 million and $10.7 million, respectively. Management expects that it will use substantial cash in the future to acquire additional patent assets and service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obligations undertaken in connection with prior patent asset purchases. Management believes that the Company has adequate cash resources to continue 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foreseeable future.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condensed consolidated financial statements have been prepared in conformity with US GAAP. This requires management to make estimates and assumptions that affect the reported amounts of assets and liabilities, contingent assets and liabilities, and disclosure of contingent assets and liabilities at the date of the condensed consolidated financial statements and reported amounts of revenues and expenses during the reporting period covered by the unaudited condensed consolidated financial statements and accompanying notes. The Company bases its estimates on various factors and information which may include, but are not limited to, history and prior experience, expected future results, new related events and current economic conditions, the results of which form the basis for making judgments about the carrying values of assets and liabilities that are not readily apparent from other sources. Actual results could differ materially from those estimates.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principally of cash and cash equivalents, investments and accounts receivable. The Company places its cash in banks and cash equivalents primarily in institutional money market funds. Investments are placed in United States government and agency securities.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Credit risk with respect to accounts receivable is generally mitigated by short collection periods and/or subscription agreements that provide for payments in advance of the rendering of services. Two clients accounted for 68% and 25% of accounts receivable at March 31, 2011. Three clients accounted for 45%, 33% and 22% of accounts receivable at December 31, 2010.</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 client accounted for 10% or more of subscription fee revenue for the three months ended March 31, 2011. One client accounted for 10% of subscription fee revenue for the three months ended March 31, 2010.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 xml:space="preserve">ASC 820, </w:t>
      </w:r>
      <w:r>
        <w:rPr>
          <w:rFonts w:ascii="Arial" w:cs="Arial" w:eastAsia="Arial" w:hAnsi="Arial"/>
          <w:sz w:val="15"/>
          <w:szCs w:val="15"/>
          <w:i w:val="1"/>
          <w:iCs w:val="1"/>
          <w:color w:val="auto"/>
        </w:rPr>
        <w:t>Fair Value Measurements and Disclosures</w:t>
      </w:r>
      <w:r>
        <w:rPr>
          <w:rFonts w:ascii="Arial" w:cs="Arial" w:eastAsia="Arial" w:hAnsi="Arial"/>
          <w:sz w:val="15"/>
          <w:szCs w:val="15"/>
          <w:color w:val="auto"/>
        </w:rPr>
        <w:t>, provides that fair value is an exit price representing the amount that would be received to sell an asset or paid to transfer a liability in an orderly transaction between market participants at the measurement date. That guidance establishes a hierarchy for inputs used in measuring fair value that minimizes the use of unobservable inputs by requiring the use of observable market data when available. Observable inputs are inputs that market participants would use in pricing the asset or liability based on active market data. Unobservable inputs are inputs that reflect the Company’s assumptions about the assumptions market participants would use in pricing the asset or liability based on the best information available in the circumstances.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is comprised of the three input levels summarized below: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Valuations based on quoted prices in active markets for identical assets or liabilities and readily accessible by the Company at the reporting date.</w:t>
      </w:r>
    </w:p>
    <w:p>
      <w:pPr>
        <w:spacing w:after="0" w:line="113"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Valuations based on inputs other than quoted prices included within Level 1 that are observable for assets or liabilities,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market corroboration, for substantially the full term of the financial instrument.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based on inputs that are unobservable.</w:t>
      </w:r>
    </w:p>
    <w:p>
      <w:pPr>
        <w:spacing w:after="0" w:line="171"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The carrying amounts of the Company’s financial instruments, which include cash and cash equivalents, investments, accounts receivable and accounts payable, approximate their fair values due to their short maturities. The carrying value of notes payable and other obligations approximates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holds investments in marketable debt securities, consisting primarily of fixed income U.S. government and agency securities. The Company classifies these securities as “available-for-sale”, which are carried at fair value as investments on the condensed consolidated balance sheets. Any unrealized gains or losses are recorded, net of estimated tax provisions or benefits, in accumulated other comprehensive income (loss), a component of stockholders’ equity. As of March 31, 2011, the fair value of the Company’s available-for-sale securities approximated amortized cost. The Company may sell these securities at any time for use in current operations.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Company periodically evaluates its investments for impairment due to declines in market value considered to be “other-than-temporary”. This evaluation consists of several qualitative and quantitative factors, including the Company’s ability and intent to hold the investment until a forecasted recovery occurs, as well as any decline in the investment quality of the security and the severity and duration of the unrealized loss. In the event of a determination that a decline in market value is other-than-temporary, a charge to earnings is recorded for the loss, and a new cost basis in the investment is established. To date, the Company has not recorded an impairment related to its investments in its consolidated statement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had restricted cash of $720,000 at both March 31, 2011 and December 31, 2010 pledged under several lines of credit. See Note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January 2010, the Financial Accounting Standards Board (“FASB”) issued Accounting Standard Update (“ASU”) No. 2010-06, </w:t>
      </w:r>
      <w:r>
        <w:rPr>
          <w:rFonts w:ascii="Arial" w:cs="Arial" w:eastAsia="Arial" w:hAnsi="Arial"/>
          <w:sz w:val="16"/>
          <w:szCs w:val="16"/>
          <w:i w:val="1"/>
          <w:iCs w:val="1"/>
          <w:color w:val="auto"/>
        </w:rPr>
        <w:t>Improving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Fair Value Measurement (Topic 820) – Fair Value Measurements and Disclosures </w:t>
      </w:r>
      <w:r>
        <w:rPr>
          <w:rFonts w:ascii="Arial" w:cs="Arial" w:eastAsia="Arial" w:hAnsi="Arial"/>
          <w:sz w:val="16"/>
          <w:szCs w:val="16"/>
          <w:color w:val="auto"/>
        </w:rPr>
        <w:t>(“ASU 2010-06”), an amendment to an accounting standard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new disclosures for fair value measures and provides clarification for existing disclosure requirements. Specifically, this amendment requires an entity to disclose separately the amounts of significant transfers in and out of Level 1 and Level 2 fair value measurements and to describe the reasons for the transfers; and to disclose separately information about purchases, sales, issuances and settlements in the reconciliation for fair value measurements using significant unobservable inputs, or Level 3 inputs. This amendment clarifies existing disclosure requirements for the level of disaggregation used for classes of assets and liabilities measured at fair value, and requires disclosure about the valuation techniques and inputs used to measure fair value for both recurring and non-recurring fair value measurements using Level 2 and Level 3 inputs. The Company adopted this amendment effective January 1, 2011. There was no material impact to the consolidated financial statements as of, and for the three months ended March 31, 2011, as a result of the adoption of this amendment.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October 2009, the FASB issued ASU No. 2009-13, </w:t>
      </w:r>
      <w:r>
        <w:rPr>
          <w:rFonts w:ascii="Arial" w:cs="Arial" w:eastAsia="Arial" w:hAnsi="Arial"/>
          <w:sz w:val="16"/>
          <w:szCs w:val="16"/>
          <w:i w:val="1"/>
          <w:iCs w:val="1"/>
          <w:color w:val="auto"/>
        </w:rPr>
        <w:t>Revenue Recognition (Topic 605): Multiple-Deliverable Revenue Arrangements – a consensus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Emerging Issues Task Force </w:t>
      </w:r>
      <w:r>
        <w:rPr>
          <w:rFonts w:ascii="Arial" w:cs="Arial" w:eastAsia="Arial" w:hAnsi="Arial"/>
          <w:sz w:val="16"/>
          <w:szCs w:val="16"/>
          <w:color w:val="auto"/>
        </w:rPr>
        <w:t>(“ASU 2009-13”). ASU 2009-13 relates to revenue recognition of multiple-element arrangements. The new guidance states</w:t>
      </w:r>
      <w:r>
        <w:rPr>
          <w:rFonts w:ascii="Arial" w:cs="Arial" w:eastAsia="Arial" w:hAnsi="Arial"/>
          <w:sz w:val="16"/>
          <w:szCs w:val="16"/>
          <w:i w:val="1"/>
          <w:iCs w:val="1"/>
          <w:color w:val="auto"/>
        </w:rPr>
        <w:t xml:space="preserve"> </w:t>
      </w:r>
      <w:r>
        <w:rPr>
          <w:rFonts w:ascii="Arial" w:cs="Arial" w:eastAsia="Arial" w:hAnsi="Arial"/>
          <w:sz w:val="16"/>
          <w:szCs w:val="16"/>
          <w:color w:val="auto"/>
        </w:rPr>
        <w:t>that if vendor-specific objective evidence or third-party evidence of fair value for deliverables in an arrangement cannot be determined, companies will be required to develop a best estimate of the selling price to separate deliverables and allocate arrangement consideration using the relative selling price method. The accounting guidance will be applied prospectively and will become effective for fiscal years beginning on or after June 15, 2010. The Company adopted this guidance effective January 1, 2011. There was no material impact to the consolidated financial statements as of, and for the three months ended March 31, 2011, as a result of the adoption of this guidance.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Income Attributable to Common Stockholders</w:t>
      </w:r>
    </w:p>
    <w:p>
      <w:pPr>
        <w:spacing w:after="0" w:line="96" w:lineRule="exact"/>
        <w:rPr>
          <w:sz w:val="20"/>
          <w:szCs w:val="20"/>
          <w:color w:val="auto"/>
        </w:rPr>
      </w:pPr>
    </w:p>
    <w:p>
      <w:pPr>
        <w:ind w:right="480" w:firstLine="456"/>
        <w:spacing w:after="0" w:line="305" w:lineRule="auto"/>
        <w:rPr>
          <w:sz w:val="20"/>
          <w:szCs w:val="20"/>
          <w:color w:val="auto"/>
        </w:rPr>
      </w:pPr>
      <w:r>
        <w:rPr>
          <w:rFonts w:ascii="Arial" w:cs="Arial" w:eastAsia="Arial" w:hAnsi="Arial"/>
          <w:sz w:val="15"/>
          <w:szCs w:val="15"/>
          <w:color w:val="auto"/>
        </w:rPr>
        <w:t>Basic and diluted net income per share attributable to common stockholders are presented in conformity with the two-class method required for participating securities. Holders of shares of Series A, Series A-1, Series B and Series C redeemable convertible preferred stock are each entitled to receive</w:t>
      </w:r>
    </w:p>
    <w:p>
      <w:pPr>
        <w:ind w:right="20"/>
        <w:spacing w:after="0" w:line="261" w:lineRule="auto"/>
        <w:rPr>
          <w:sz w:val="20"/>
          <w:szCs w:val="20"/>
          <w:color w:val="auto"/>
        </w:rPr>
      </w:pPr>
      <w:r>
        <w:rPr>
          <w:rFonts w:ascii="Arial" w:cs="Arial" w:eastAsia="Arial" w:hAnsi="Arial"/>
          <w:sz w:val="18"/>
          <w:szCs w:val="18"/>
          <w:color w:val="auto"/>
        </w:rPr>
        <w:t>8% per annum non-cumulative dividends, payable prior and in preference to any dividends on common stock. In addition, the holders of restricted common stock are entitled to receive non-forfeitable dividends if declared.</w:t>
      </w:r>
    </w:p>
    <w:p>
      <w:pPr>
        <w:spacing w:after="0" w:line="13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Under the two-class method, basic net income per share attributable to common stockholders is computed by dividing the net income attributable to common stockholders by the weighted-average number of shares of common stock outstanding during the period. Net income attributable to common stockholders is determined by allocating undistributed earnings, calculated as net income less current period shares of Series A, Series A-1, Series B and Series C redeemable convertible preferred stock non-cumulative dividends, among common stockholders, restricted stockholders and Series A, Series A-1, Series B and Series C redeemable convertible preferred stockholders. Diluted net income per share attributable to common stockholders is computed by using the weighted-average number of shares of common stock outstanding, including potential dilutive shares of common stock, assuming the dilutive effect of outstanding stock options using the treasury stock method.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presents the calculation of basic and diluted net income per share attributable to common stockholders (in thousands, except per share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data):</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2011</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6,695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Allocation of net income to participating shares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Numerator for basic calculation</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1,046</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Undistributed earnings re-allocated to common stockholders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Numerator for diluted calculation</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1,249</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w w:val="92"/>
              </w:rPr>
              <w:t>Denominator for basic calculation, weighted-average number of shares of common</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stock outstanding</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7,221</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effect of options using treasury method</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Denominator for diluted calculation</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9,036</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Basic net income per share of common stock</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net income per share of common stock</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the three months ended March 31, 2011 and 2010, the following securities were not included in the calculation of diluted shares outstanding, as the effect would have been anti-dilutive (in thousands):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26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4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redeemable convertible preferred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shd w:val="clear" w:color="auto" w:fill="CCEEFF"/>
          </w:tcPr>
          <w:p>
            <w:pPr>
              <w:spacing w:after="0"/>
              <w:rPr>
                <w:sz w:val="18"/>
                <w:szCs w:val="18"/>
                <w:color w:val="auto"/>
              </w:rPr>
            </w:pPr>
          </w:p>
        </w:tc>
      </w:tr>
      <w:tr>
        <w:trPr>
          <w:trHeight w:val="222"/>
        </w:trPr>
        <w:tc>
          <w:tcPr>
            <w:tcW w:w="6420" w:type="dxa"/>
            <w:vAlign w:val="bottom"/>
          </w:tcPr>
          <w:p>
            <w:pPr>
              <w:spacing w:after="0"/>
              <w:rPr>
                <w:sz w:val="20"/>
                <w:szCs w:val="20"/>
                <w:color w:val="auto"/>
              </w:rPr>
            </w:pPr>
            <w:r>
              <w:rPr>
                <w:rFonts w:ascii="Arial" w:cs="Arial" w:eastAsia="Arial" w:hAnsi="Arial"/>
                <w:sz w:val="18"/>
                <w:szCs w:val="18"/>
                <w:color w:val="auto"/>
              </w:rPr>
              <w:t>Weighted-average common stock subject to repurchase</w:t>
            </w:r>
          </w:p>
        </w:tc>
        <w:tc>
          <w:tcPr>
            <w:tcW w:w="820" w:type="dxa"/>
            <w:vAlign w:val="bottom"/>
          </w:tcPr>
          <w:p>
            <w:pPr>
              <w:jc w:val="right"/>
              <w:spacing w:after="0"/>
              <w:rPr>
                <w:sz w:val="20"/>
                <w:szCs w:val="20"/>
                <w:color w:val="auto"/>
              </w:rPr>
            </w:pPr>
            <w:r>
              <w:rPr>
                <w:rFonts w:ascii="Arial" w:cs="Arial" w:eastAsia="Arial" w:hAnsi="Arial"/>
                <w:sz w:val="18"/>
                <w:szCs w:val="18"/>
                <w:color w:val="auto"/>
              </w:rPr>
              <w:t>3,980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Company’s financial assets and liabilities are valued using market prices on both active markets (“Level 1”) and less active markets (“Level 2”). Level 1 instrument valuations are obtained from real-time quotes for transactions in active exchange markets involving identical assets. Level 2 instrument valuations are obtained from readily available pricing sources for comparable instruments. As of March 31, 2011 and December 31, 2010, the Company did not have any financial assets or liabilities without observable market values that would require a high level of judgment to determine fair value (“Level 3”).</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financial assets measured at fair value on a recurring basis as of March 31, 2011 and December 31, 2010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Quoted Prices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00" w:type="dxa"/>
            <w:vAlign w:val="bottom"/>
          </w:tcPr>
          <w:p>
            <w:pPr>
              <w:spacing w:after="0"/>
              <w:rPr>
                <w:sz w:val="12"/>
                <w:szCs w:val="12"/>
                <w:color w:val="auto"/>
              </w:rPr>
            </w:pPr>
          </w:p>
        </w:tc>
        <w:tc>
          <w:tcPr>
            <w:tcW w:w="11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100" w:type="dxa"/>
            <w:vAlign w:val="bottom"/>
          </w:tcPr>
          <w:p>
            <w:pPr>
              <w:spacing w:after="0"/>
              <w:rPr>
                <w:sz w:val="12"/>
                <w:szCs w:val="12"/>
                <w:color w:val="auto"/>
              </w:rPr>
            </w:pPr>
          </w:p>
        </w:tc>
        <w:tc>
          <w:tcPr>
            <w:tcW w:w="172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00" w:type="dxa"/>
            <w:vAlign w:val="bottom"/>
          </w:tcPr>
          <w:p>
            <w:pPr>
              <w:spacing w:after="0"/>
              <w:rPr>
                <w:sz w:val="12"/>
                <w:szCs w:val="12"/>
                <w:color w:val="auto"/>
              </w:rPr>
            </w:pPr>
          </w:p>
        </w:tc>
        <w:tc>
          <w:tcPr>
            <w:tcW w:w="11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8"/>
              </w:rPr>
              <w:t>March 31, 2011</w:t>
            </w:r>
          </w:p>
        </w:tc>
        <w:tc>
          <w:tcPr>
            <w:tcW w:w="100" w:type="dxa"/>
            <w:vAlign w:val="bottom"/>
          </w:tcPr>
          <w:p>
            <w:pPr>
              <w:spacing w:after="0"/>
              <w:rPr>
                <w:sz w:val="14"/>
                <w:szCs w:val="14"/>
                <w:color w:val="auto"/>
              </w:rPr>
            </w:pPr>
          </w:p>
        </w:tc>
        <w:tc>
          <w:tcPr>
            <w:tcW w:w="172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7"/>
              </w:rPr>
              <w:t>(Level 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(Level 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38,724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38,724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 government and agency securities</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3860" w:type="dxa"/>
            <w:vAlign w:val="bottom"/>
          </w:tcPr>
          <w:p>
            <w:pPr>
              <w:ind w:left="880"/>
              <w:spacing w:after="0"/>
              <w:rPr>
                <w:sz w:val="20"/>
                <w:szCs w:val="20"/>
                <w:color w:val="auto"/>
              </w:rPr>
            </w:pPr>
            <w:r>
              <w:rPr>
                <w:rFonts w:ascii="Arial" w:cs="Arial" w:eastAsia="Arial" w:hAnsi="Arial"/>
                <w:sz w:val="18"/>
                <w:szCs w:val="18"/>
                <w:color w:val="auto"/>
              </w:rPr>
              <w:t>Total assets</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54,020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38,724</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6"/>
              </w:rPr>
              <w:t>Quoted Prices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2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Active Markets for</w:t>
            </w:r>
          </w:p>
        </w:tc>
        <w:tc>
          <w:tcPr>
            <w:tcW w:w="100" w:type="dxa"/>
            <w:vAlign w:val="bottom"/>
          </w:tcPr>
          <w:p>
            <w:pPr>
              <w:spacing w:after="0"/>
              <w:rPr>
                <w:sz w:val="12"/>
                <w:szCs w:val="12"/>
                <w:color w:val="auto"/>
              </w:rPr>
            </w:pPr>
          </w:p>
        </w:tc>
        <w:tc>
          <w:tcPr>
            <w:tcW w:w="11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100" w:type="dxa"/>
            <w:vAlign w:val="bottom"/>
          </w:tcPr>
          <w:p>
            <w:pPr>
              <w:spacing w:after="0"/>
              <w:rPr>
                <w:sz w:val="12"/>
                <w:szCs w:val="12"/>
                <w:color w:val="auto"/>
              </w:rPr>
            </w:pPr>
          </w:p>
        </w:tc>
        <w:tc>
          <w:tcPr>
            <w:tcW w:w="1720" w:type="dxa"/>
            <w:vAlign w:val="bottom"/>
            <w:gridSpan w:val="4"/>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100" w:type="dxa"/>
            <w:vAlign w:val="bottom"/>
          </w:tcPr>
          <w:p>
            <w:pPr>
              <w:spacing w:after="0"/>
              <w:rPr>
                <w:sz w:val="12"/>
                <w:szCs w:val="12"/>
                <w:color w:val="auto"/>
              </w:rPr>
            </w:pPr>
          </w:p>
        </w:tc>
        <w:tc>
          <w:tcPr>
            <w:tcW w:w="11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Observable Inputs</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December 31, 2010</w:t>
            </w:r>
          </w:p>
        </w:tc>
        <w:tc>
          <w:tcPr>
            <w:tcW w:w="100" w:type="dxa"/>
            <w:vAlign w:val="bottom"/>
          </w:tcPr>
          <w:p>
            <w:pPr>
              <w:spacing w:after="0"/>
              <w:rPr>
                <w:sz w:val="14"/>
                <w:szCs w:val="14"/>
                <w:color w:val="auto"/>
              </w:rPr>
            </w:pPr>
          </w:p>
        </w:tc>
        <w:tc>
          <w:tcPr>
            <w:tcW w:w="172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87"/>
              </w:rPr>
              <w:t>(Level 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7"/>
              </w:rPr>
              <w:t>(Level 2)</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tcPr>
          <w:p>
            <w:pPr>
              <w:ind w:left="440"/>
              <w:spacing w:after="0"/>
              <w:rPr>
                <w:sz w:val="20"/>
                <w:szCs w:val="20"/>
                <w:color w:val="auto"/>
              </w:rPr>
            </w:pPr>
            <w:r>
              <w:rPr>
                <w:rFonts w:ascii="Arial" w:cs="Arial" w:eastAsia="Arial" w:hAnsi="Arial"/>
                <w:sz w:val="18"/>
                <w:szCs w:val="18"/>
                <w:color w:val="auto"/>
              </w:rPr>
              <w:t>Money market funds</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36,560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36,560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Patent Assets</w:t>
            </w: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78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220" w:type="dxa"/>
            <w:vAlign w:val="bottom"/>
            <w:gridSpan w:val="11"/>
          </w:tcPr>
          <w:p>
            <w:pPr>
              <w:jc w:val="right"/>
              <w:ind w:right="1520"/>
              <w:spacing w:after="0"/>
              <w:rPr>
                <w:sz w:val="20"/>
                <w:szCs w:val="20"/>
                <w:color w:val="auto"/>
              </w:rPr>
            </w:pPr>
            <w:r>
              <w:rPr>
                <w:rFonts w:ascii="Arial" w:cs="Arial" w:eastAsia="Arial" w:hAnsi="Arial"/>
                <w:sz w:val="18"/>
                <w:szCs w:val="18"/>
                <w:color w:val="auto"/>
                <w:w w:val="92"/>
              </w:rPr>
              <w:t>Changes in the carrying value of patent assets during the periods ended were as follows (in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$126,508</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tcPr>
          <w:p>
            <w:pPr>
              <w:ind w:left="440"/>
              <w:spacing w:after="0"/>
              <w:rPr>
                <w:sz w:val="20"/>
                <w:szCs w:val="20"/>
                <w:color w:val="auto"/>
              </w:rPr>
            </w:pPr>
            <w:r>
              <w:rPr>
                <w:rFonts w:ascii="Arial" w:cs="Arial" w:eastAsia="Arial" w:hAnsi="Arial"/>
                <w:sz w:val="18"/>
                <w:szCs w:val="18"/>
                <w:color w:val="auto"/>
              </w:rPr>
              <w:t>Acquisition costs of patent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19,429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expense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(13,522)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(42,887)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tcPr>
          <w:p>
            <w:pPr>
              <w:ind w:left="440"/>
              <w:spacing w:after="0"/>
              <w:rPr>
                <w:sz w:val="20"/>
                <w:szCs w:val="20"/>
                <w:color w:val="auto"/>
              </w:rPr>
            </w:pPr>
            <w:r>
              <w:rPr>
                <w:rFonts w:ascii="Arial" w:cs="Arial" w:eastAsia="Arial" w:hAnsi="Arial"/>
                <w:sz w:val="18"/>
                <w:szCs w:val="18"/>
                <w:color w:val="auto"/>
              </w:rPr>
              <w:t>Other adjustments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132,415</w:t>
            </w:r>
          </w:p>
        </w:tc>
        <w:tc>
          <w:tcPr>
            <w:tcW w:w="1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126,508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acquired patent assets are comprised of intellectual property rights that relate to information technologies used by companies in a variety of industries, including software, e-commerce, semiconductors, financial services, mobile communications, consumer electronics and networking.</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Company amortizes each acquired portfolio of patent assets on a straight-line basis over its estimated economic useful life. As of March 31, 2011 and December 31, 2010, the estimated economic useful lives of the Company’s patent assets generally ranged from 24 to 60 months, and the weighted-average estimated economic useful life was 50 months and 49 months, respectively.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expected future annual amortization expense of patent assets as of March 31, 2011 (in thousands):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2011 (remainder)</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41,374</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42,533</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2013</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29,012</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100" w:type="dxa"/>
            <w:vAlign w:val="bottom"/>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Thereafter</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00" w:type="dxa"/>
            <w:vAlign w:val="bottom"/>
          </w:tcPr>
          <w:p>
            <w:pPr>
              <w:spacing w:after="0"/>
              <w:rPr>
                <w:sz w:val="19"/>
                <w:szCs w:val="19"/>
                <w:color w:val="auto"/>
              </w:rPr>
            </w:pPr>
          </w:p>
        </w:tc>
      </w:tr>
      <w:tr>
        <w:trPr>
          <w:trHeight w:val="216"/>
        </w:trPr>
        <w:tc>
          <w:tcPr>
            <w:tcW w:w="5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expected future amortization expense</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132,415</w:t>
            </w:r>
          </w:p>
        </w:tc>
        <w:tc>
          <w:tcPr>
            <w:tcW w:w="100" w:type="dxa"/>
            <w:vAlign w:val="bottom"/>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Structured Acquisitions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Structured acquisitions are transactions involving patent assets that cost more than the Company is prepared to spend with its own capital resources or that are relevant only to a very small number of clients. In such transactions, the Company works to acquire these assets with financial assistance from the particular clients against whom the assets are being or may be asserted. When this occurs, the participating clients typically pay amounts separate from their subscription fees and receive an immediate perpetual license to the acquired patent assets. The Company may treat the payments received from the participating clients as revenue either on a gross or a net basis depending on the specific facts and circumstances of the transaction. In the event that such payments are recognized on a net basis, the Company will capitalize the acquired asset that relates to its non-participating clients. In such instance, the cost basis of the acquired patent rights excludes the amounts paid by the participating client.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Barter Transactions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accounts for non-monetary exchanges in accordance with ASC 845, Non-monetary Transactions (“ASC 845”), which requires non-monetary exchanges to be based on the fair value of the assets or services involved. During the three months ended March 31, 2011, the total fair value of intangible assets exchanged for subscription services was approximately $120,000. No gain or loss was recorded as a result of this exchange. There were no barter transactions during the three months ended March 31,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460" w:type="dxa"/>
            <w:vAlign w:val="bottom"/>
            <w:gridSpan w:val="4"/>
          </w:tcPr>
          <w:p>
            <w:pPr>
              <w:ind w:left="1420"/>
              <w:spacing w:after="0"/>
              <w:rPr>
                <w:sz w:val="20"/>
                <w:szCs w:val="20"/>
                <w:color w:val="auto"/>
              </w:rPr>
            </w:pPr>
            <w:r>
              <w:rPr>
                <w:rFonts w:ascii="Arial" w:cs="Arial" w:eastAsia="Arial" w:hAnsi="Arial"/>
                <w:sz w:val="14"/>
                <w:szCs w:val="14"/>
                <w:b w:val="1"/>
                <w:bCs w:val="1"/>
                <w:color w:val="auto"/>
              </w:rPr>
              <w:t>March 31,</w:t>
            </w:r>
          </w:p>
        </w:tc>
        <w:tc>
          <w:tcPr>
            <w:tcW w:w="1300" w:type="dxa"/>
            <w:vAlign w:val="bottom"/>
            <w:gridSpan w:val="4"/>
          </w:tcPr>
          <w:p>
            <w:pPr>
              <w:ind w:left="40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2011</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237</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Work-in-progress</w:t>
            </w:r>
          </w:p>
        </w:tc>
        <w:tc>
          <w:tcPr>
            <w:tcW w:w="1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r>
      <w:tr>
        <w:trPr>
          <w:trHeight w:val="216"/>
        </w:trPr>
        <w:tc>
          <w:tcPr>
            <w:tcW w:w="49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1,141</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r>
      <w:tr>
        <w:trPr>
          <w:trHeight w:val="27"/>
        </w:trPr>
        <w:tc>
          <w:tcPr>
            <w:tcW w:w="49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and equipment</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20" w:type="dxa"/>
            <w:vAlign w:val="bottom"/>
            <w:shd w:val="clear" w:color="auto" w:fill="CCEEFF"/>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Depreciation expense was approximately $54,000 and $6,000 for the three months ending March 31, 2011 and March 31, 2010,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liabilities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360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540" w:type="dxa"/>
            <w:vAlign w:val="bottom"/>
            <w:gridSpan w:val="4"/>
          </w:tcPr>
          <w:p>
            <w:pPr>
              <w:ind w:left="6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2011</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payroll-related expenses</w:t>
            </w:r>
          </w:p>
        </w:tc>
        <w:tc>
          <w:tcPr>
            <w:tcW w:w="3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8"/>
                <w:szCs w:val="18"/>
                <w:color w:val="auto"/>
              </w:rPr>
              <w:t>Other liabilities</w:t>
            </w:r>
          </w:p>
        </w:tc>
        <w:tc>
          <w:tcPr>
            <w:tcW w:w="3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4,376</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accrued and other liabilities</w:t>
            </w:r>
          </w:p>
        </w:tc>
        <w:tc>
          <w:tcPr>
            <w:tcW w:w="3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6,076</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00" w:type="dxa"/>
            <w:vAlign w:val="bottom"/>
            <w:vMerge w:val="restart"/>
          </w:tcPr>
          <w:p>
            <w:pPr>
              <w:jc w:val="right"/>
              <w:ind w:right="2077"/>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5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Notes Payable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payable and other obligations consisted of the following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2"/>
              </w:rPr>
              <w:t>March 31,</w:t>
            </w:r>
          </w:p>
        </w:tc>
        <w:tc>
          <w:tcPr>
            <w:tcW w:w="1240" w:type="dxa"/>
            <w:vAlign w:val="bottom"/>
            <w:gridSpan w:val="4"/>
          </w:tcPr>
          <w:p>
            <w:pPr>
              <w:ind w:left="3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5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5,666</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c>
          <w:tcPr>
            <w:tcW w:w="120" w:type="dxa"/>
            <w:vAlign w:val="bottom"/>
            <w:shd w:val="clear" w:color="auto" w:fill="CCEEFF"/>
          </w:tcPr>
          <w:p>
            <w:pPr>
              <w:spacing w:after="0"/>
              <w:rPr>
                <w:sz w:val="18"/>
                <w:szCs w:val="18"/>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color w:val="auto"/>
              </w:rPr>
              <w:t>Other obligations</w:t>
            </w:r>
          </w:p>
        </w:tc>
        <w:tc>
          <w:tcPr>
            <w:tcW w:w="1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c>
          <w:tcPr>
            <w:tcW w:w="12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14,558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23,583</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Less: current portion</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(12,439)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(18,527)</w:t>
            </w:r>
          </w:p>
        </w:tc>
      </w:tr>
      <w:tr>
        <w:trPr>
          <w:trHeight w:val="27"/>
        </w:trPr>
        <w:tc>
          <w:tcPr>
            <w:tcW w:w="5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notes payable and other obligations, non-current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2,119</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20" w:type="dxa"/>
            <w:vAlign w:val="bottom"/>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January 27, 2010, the Company entered into a loan agreement with a client in order to partially finance the acquisition of certain patent assets from a third party. Under the terms of the agreement, the Company issued a promissory note payable in the amount of $2.0 million. The note bears interest of 0.57% per annum. The interest and principal are payable in their entirety on the maturity date of April 1, 2011. The principal balance was recorded at fair value. The outstanding principal balance at both March 31, 2011 and December 31, 2010 was $2.0 million.</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October 7, 2008, the Company entered into a patent rights purchase and assignment agreement to purchase patent assets for a total of $15.0 million. Under the terms of the agreement, the Company paid $1.5 million in cash and issued a promissory note in the amount of $13.5 million bearing interest of 10% per annum and payable in quarterly installments over a three-year period ending October 7, 2011. The principal balance was recorded at fair value. The remaining principal due was $2.3 million and $3.4 million at March 31, 2011 and December 31, 2010, respectively. The Company’s membership interest in its wholly-owned subsidiary that purchased the patent assets is pledged as collateral against the note.</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11, 2008, the Company entered into a patent rights purchase and assignment agreement to purchase patent assets for a total of $17.0 million. Under the terms of the agreement, the Company issued a promissory note in the amount of $17.0 million of which 10%, or $1.7 million, was paid up front. The note bears interest of 10% per annum. The principal and interest are payable in quarterly installments over a three-year period ending September 11, 2011. The principal balance was recorded at fair value. The remaining principal due was $1.4 million and $2.1 million at March 31, 2011 and December 31, 2010,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Obligations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July 6, 2009, the Company entered into an agreement to purchase certain patent assets for a total of $4.4 million. Under the terms of the agreement, the Company paid $1.1 million upfront, with a remaining non-interest bearing contract obligation of $3.3 million due in three equal installments in July of each of 2010, 2011 and 2012. The contract obligation was recorded at fair value utilizing the imputed interest rate method. Interest was imputed using a rate of 10.2% per annum, which represents the Company’s estimated market borrowing rate as of the initial transaction date. As of both March 31, 2011 and December 31, 2010, the remaining unpaid principal balance associated with the obligation was $2.2 million.</w:t>
      </w:r>
    </w:p>
    <w:p>
      <w:pPr>
        <w:spacing w:after="0" w:line="116" w:lineRule="exact"/>
        <w:rPr>
          <w:sz w:val="20"/>
          <w:szCs w:val="20"/>
          <w:color w:val="auto"/>
        </w:rPr>
      </w:pPr>
    </w:p>
    <w:p>
      <w:pPr>
        <w:ind w:right="360" w:firstLine="456"/>
        <w:spacing w:after="0" w:line="284" w:lineRule="auto"/>
        <w:rPr>
          <w:sz w:val="20"/>
          <w:szCs w:val="20"/>
          <w:color w:val="auto"/>
        </w:rPr>
      </w:pPr>
      <w:r>
        <w:rPr>
          <w:rFonts w:ascii="Arial" w:cs="Arial" w:eastAsia="Arial" w:hAnsi="Arial"/>
          <w:sz w:val="16"/>
          <w:szCs w:val="16"/>
          <w:color w:val="auto"/>
        </w:rPr>
        <w:t>On February 18, 2009, the Company entered into an agreement to acquire certain patent assets for a total of $12.0 million. Under the terms of the agreement, the Company paid $4.0 million upfront, with a remaining non-interest bearing contract obligation of $8.0 million due in two equal installments in February 2010 and 2011. The contract obligation was recorded at fair value utilizing the imputed interest rate method. Interest was imputed using a rate of</w:t>
      </w:r>
    </w:p>
    <w:p>
      <w:pPr>
        <w:spacing w:after="0" w:line="1"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color w:val="auto"/>
        </w:rPr>
        <w:t>13.0% per annum, which represented the Company’s estimated market borrowing rate as of the initial transaction date. As of December 31, 2010, the remaining unpaid principal balance associated with the obligation was $4.0 million. The remaining principal balance of $4.0 million was fully paid in February 2011.</w:t>
      </w:r>
    </w:p>
    <w:p>
      <w:pPr>
        <w:spacing w:after="0" w:line="6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January 26, 2009, the Company entered into an agreement to acquire certain patent assets for a total of $12.0 million. Under the terms of the agreement, the Company paid $3.0 million upfront, with a remaining non-interest bearing contract obligation of $9.0 million due in three equal installments in January 2010, 2011 and 2012. The contract obligation was recorded at fair value utilizing the imputed interest rate method. Interest was imputed using a rate of 13.9% per annum, which represented the Company’s estimated market borrowing rate as of the date of the transaction. As of March 31, 2011 and December 31, 2010, the remaining unpaid principal balance associated with the obligation was $3.0 million and $6.0 million,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December 16, 2008, the Company entered into agreements to acquire certain patent assets for a total of $2.2 million. Under the terms of the agreements, the Company paid $550,000 upfront, with a remaining non-interest bearing contract obligation of $1.7 million due in three equal installments in December 2009, 2010 and 2011. The contract obligation was recorded at fair value utilizing the imputed interest rate method. Interest was imputed using a rate of 10% per annum, which represented the Company’s estimated market borrowing rate as of the initial transaction date. The remaining unpaid principal balance associated with the obligation was $550,000 at both March 31, 2011 and December 31,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Lines of Credit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August 5, 2010, the Company entered into a standby letter of credit agreement with a banking institution. The credit facility provides for a $220,000 line of credit in conjunction with the Company’s corporate real estate lease. The credit facility, which expires on June 14, 2013, is secured by a priority interest in the Company’s savings account at the banking institution in the amount of $220,000. This amount has been classified as restricted cash in the condensed consolidated balance sheets.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23, 2008, the Company entered into a line of credit agreement with a banking institution. The credit facility provides for a $500,000 line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credit. The credit is secured by a priority interest in the Company’s savings account at the banking institution in the amount of $500,000. This amount has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restricted cash in the condensed consolidated balance sheets. Under the credit facility, a sub-facility of $300,000 is available for 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sponsored travel and expense credit card program, and a sub-facility of $200,000 is available under a revolving line of credit. Amounts borrowed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 sub-facility, which terminates on April 5, 2012, will be charged a fixed rate of interest of 5% per year. Amounts borrowed under the $200,000 line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which terminates on April 15, 2012, will be charged a variable rate of interest equal to the greater of the banking institution’s prime rate or 5%.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banking institution’s prime rate at March 31, 2011 and December 31, 2010 was 3.25%. As of March 31, 2011 and December 31, 2010, balances under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corporate credit card were $193,000 and $108,000, respectively, and such amounts were recorded in accounts payable. There were no outstanding balances under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revolving line of credit at March 31, 2011 or December 31, 2010.</w:t>
      </w:r>
    </w:p>
    <w:p>
      <w:pPr>
        <w:spacing w:after="0" w:line="240" w:lineRule="exact"/>
        <w:rPr>
          <w:sz w:val="20"/>
          <w:szCs w:val="20"/>
          <w:color w:val="auto"/>
        </w:rPr>
      </w:pPr>
    </w:p>
    <w:p>
      <w:pPr>
        <w:ind w:right="8740" w:firstLine="8"/>
        <w:spacing w:after="0" w:line="417"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Lease Commitments</w:t>
      </w:r>
    </w:p>
    <w:p>
      <w:pPr>
        <w:spacing w:after="0" w:line="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Company leases office space in California and Japan under non-cancelable operating leases that expire in 2013. Rent expense related to these non-cancelable operating leases was $357,000 and $98,000 for the three months ending March 31, 2011 and 2010,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future non-cancelable minimum lease payments for the Company’s operating leases as of March 31, 2011 are as follows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w:t>
            </w: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2011 (remainder)</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CEEFF"/>
          </w:tcPr>
          <w:p>
            <w:pPr>
              <w:spacing w:after="0"/>
              <w:rPr>
                <w:sz w:val="18"/>
                <w:szCs w:val="18"/>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2013</w:t>
            </w:r>
          </w:p>
        </w:tc>
        <w:tc>
          <w:tcPr>
            <w:tcW w:w="14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19"/>
                <w:szCs w:val="19"/>
                <w:color w:val="auto"/>
              </w:rPr>
            </w:pPr>
          </w:p>
        </w:tc>
      </w:tr>
      <w:tr>
        <w:trPr>
          <w:trHeight w:val="216"/>
        </w:trPr>
        <w:tc>
          <w:tcPr>
            <w:tcW w:w="5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future non-cancelable minimum lease payments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3,230</w:t>
            </w:r>
          </w:p>
        </w:tc>
        <w:tc>
          <w:tcPr>
            <w:tcW w:w="100" w:type="dxa"/>
            <w:vAlign w:val="bottom"/>
            <w:shd w:val="clear" w:color="auto" w:fill="CCEEFF"/>
          </w:tcPr>
          <w:p>
            <w:pPr>
              <w:spacing w:after="0"/>
              <w:rPr>
                <w:sz w:val="18"/>
                <w:szCs w:val="18"/>
                <w:color w:val="auto"/>
              </w:rPr>
            </w:pPr>
          </w:p>
        </w:tc>
      </w:tr>
      <w:tr>
        <w:trPr>
          <w:trHeight w:val="20"/>
        </w:trPr>
        <w:tc>
          <w:tcPr>
            <w:tcW w:w="5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A liability is recorded when and if it is determined that such a liability for litigation is both probable and reasonably estimable. As of March 31, 2011, the Company is not a party to any litigation and no liabilities for litigation have been accrued.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September 10, 2010, the Company entered into certain agreements with a special-purpose entity formed for the sole purpose of acquiring specific patent assets that had been made available for sale by a third party. If the entity is successful in acquiring the patent assets, the Company has agreed to make a $5.0 million investment in the equity securities of the entity and serve as the exclusive licensing agent for the entity. As of March 31, 2011, no investment in such entity had been made.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12, 2008, in connection with the acquisition of certain patent assets from an unaffiliated third party in an arm’s-length transaction, the Company agreed to make a one-time payment of $5.0 million in the event that the Company earns $170.0 million of annual subscription revenues in any calendar year. No provision has been made for this contingency as of March 31,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Award Plans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On February 23, 2011, the Board of Directors adopted the 2011 Equity Incentive Plan (the “2011 Plan”) to become effective on the effective date of the Company’s initial public offering, which occurred May 3, 2011. The 2011 Plan provides for the issuance of incentive stock options, non-statutory stock options, stock appreciation rights, restricted shares of the Company’s common stock, stock units and performance cash awards to employees, directors and consultants. The Board of Directors reserved 1,500,000 shares of common stock for future issuance under the 2011 Plan.</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August 11, 2008, the Board of Directors adopted the 2008 Stock Option Plan (the “2008 Plan”), which provides for the issuance of incentive stock options, non-statutory stock options, as well as the direct award or sale of shares of common stock to employees, directors and consultants for up to 3,819,474 shares of common stock. On March 25, 2010, the Board of Directors approved an increase in the number of shares available for issuance under the 2008 Plan by 1,200,000 to 5,019,474. On October 21, 2010, the Board of Directors approved an increase in the number of shares available for issuance under the 2008 Plan by 4,000,000 to 9,019,474.</w:t>
      </w:r>
    </w:p>
    <w:p>
      <w:pPr>
        <w:spacing w:after="0" w:line="14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The adoption of the 2011 Plan and the adoption and each subsequent increase in the size of the 2008 Plan were approved by written consent by the stockholders of the Company. Upon the effectiveness of the 2011 Plan, no further awards will be made under the 2008 Plan; however, all awards outstanding under the 2008 Plan will continue to be governed by their existing terms.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both the 2008 Plan and 2011 Plan, incentive stock options and non-qualified stock options are to be granted at a price not less than 100% of the fair value of the stock at the date of grant. Options granted to newly hired employees vest 25% on the first anniversary of the date of hire and ratably each month over the ensuing 36-month period. Options granted to existing employees generally vest ratably over the 48 months following the date of grant. Options are exercisable for a maximum period of ten years after date of grant. Incentive stock options granted to stockholders who own more than 10% of the outstanding stock of the Company at the time of grant must be issued at an exercise price not to be less than 110% of the fair value of the stock on the date of grant.</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March 31, 2011 and December 31, 2010, there were 692,109 and 2,131,308 stock awards, respectively, available for grant under the 2008 Plan. As of March 31, 2011 and December 31, 2010, no stock awards were available for grant under the 2011 Plan as it was not yet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stock options outstanding are summarized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40" w:type="dxa"/>
            <w:vAlign w:val="bottom"/>
          </w:tcPr>
          <w:p>
            <w:pPr>
              <w:jc w:val="right"/>
              <w:ind w:right="58"/>
              <w:spacing w:after="0"/>
              <w:rPr>
                <w:sz w:val="20"/>
                <w:szCs w:val="20"/>
                <w:color w:val="auto"/>
              </w:rPr>
            </w:pPr>
            <w:r>
              <w:rPr>
                <w:rFonts w:ascii="Arial" w:cs="Arial" w:eastAsia="Arial" w:hAnsi="Arial"/>
                <w:sz w:val="14"/>
                <w:szCs w:val="14"/>
                <w:b w:val="1"/>
                <w:bCs w:val="1"/>
                <w:color w:val="auto"/>
              </w:rPr>
              <w:t>Options</w:t>
            </w:r>
          </w:p>
        </w:tc>
        <w:tc>
          <w:tcPr>
            <w:tcW w:w="360" w:type="dxa"/>
            <w:vAlign w:val="bottom"/>
          </w:tcPr>
          <w:p>
            <w:pPr>
              <w:spacing w:after="0"/>
              <w:rPr>
                <w:sz w:val="14"/>
                <w:szCs w:val="14"/>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6,455,646</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1,502,116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(369,200)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(72,917)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2011</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7,515,645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weighted-average grant date fair value for options granted in the three months ended March 31, 2011 and 2010 was $5.81 per share and $1.24 per share, respectively. The fair value of stock options granted during these periods was estimated using the Black-Scholes option pricing model with the following weighted-average assumptions: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8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8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2011</w:t>
            </w:r>
          </w:p>
        </w:tc>
        <w:tc>
          <w:tcPr>
            <w:tcW w:w="122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2.67%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Expected volatility</w:t>
            </w:r>
          </w:p>
        </w:tc>
        <w:tc>
          <w:tcPr>
            <w:tcW w:w="1900" w:type="dxa"/>
            <w:vAlign w:val="bottom"/>
            <w:gridSpan w:val="2"/>
          </w:tcPr>
          <w:p>
            <w:pPr>
              <w:jc w:val="right"/>
              <w:ind w:right="1080"/>
              <w:spacing w:after="0"/>
              <w:rPr>
                <w:sz w:val="20"/>
                <w:szCs w:val="20"/>
                <w:color w:val="auto"/>
              </w:rPr>
            </w:pPr>
            <w:r>
              <w:rPr>
                <w:rFonts w:ascii="Arial" w:cs="Arial" w:eastAsia="Arial" w:hAnsi="Arial"/>
                <w:sz w:val="18"/>
                <w:szCs w:val="18"/>
                <w:color w:val="auto"/>
              </w:rPr>
              <w:t>59%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Expected term</w:t>
            </w:r>
          </w:p>
        </w:tc>
        <w:tc>
          <w:tcPr>
            <w:tcW w:w="680" w:type="dxa"/>
            <w:vAlign w:val="bottom"/>
          </w:tcPr>
          <w:p>
            <w:pPr>
              <w:jc w:val="right"/>
              <w:spacing w:after="0"/>
              <w:rPr>
                <w:sz w:val="20"/>
                <w:szCs w:val="20"/>
                <w:color w:val="auto"/>
              </w:rPr>
            </w:pPr>
            <w:r>
              <w:rPr>
                <w:rFonts w:ascii="Arial" w:cs="Arial" w:eastAsia="Arial" w:hAnsi="Arial"/>
                <w:sz w:val="18"/>
                <w:szCs w:val="18"/>
                <w:color w:val="auto"/>
              </w:rPr>
              <w:t>6.7</w:t>
            </w:r>
          </w:p>
        </w:tc>
        <w:tc>
          <w:tcPr>
            <w:tcW w:w="1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jc w:val="both"/>
        <w:ind w:right="200" w:firstLine="456"/>
        <w:spacing w:after="0" w:line="256" w:lineRule="auto"/>
        <w:rPr>
          <w:sz w:val="20"/>
          <w:szCs w:val="20"/>
          <w:color w:val="auto"/>
        </w:rPr>
      </w:pPr>
      <w:r>
        <w:rPr>
          <w:rFonts w:ascii="Arial" w:cs="Arial" w:eastAsia="Arial" w:hAnsi="Arial"/>
          <w:sz w:val="18"/>
          <w:szCs w:val="18"/>
          <w:color w:val="auto"/>
        </w:rPr>
        <w:t>Stock compensation expense related to employees and non-employee directors was $795,000 and $137,000, for the three months ended March 31, 2011 and 2010, respectively. No income tax benefits have been recognized for stock-based compensation arrangements. Stock-based compensation of $11,000 was capitalized as part of the cost of internally developed technologies during the three months ended March 31, 2011. No stock-based compensation expense was capitalized during the three months ended March 31, 2010.</w:t>
      </w:r>
    </w:p>
    <w:p>
      <w:pPr>
        <w:spacing w:after="0" w:line="14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Compensation expense is recognized ratably over the requisite service period. At March 31, 2011, there was $14.3 million of unrecognized compensation cost related to options which is expected to be recognized over a weighted-average period of 4.3 years. At December 31, 2010, there was $8.9 million of unrecognized compensation cost related to options, which is expected to be recognized over a weighted-average period of 4.0 years. Future option grants will increase the amount of compensation expense to be recorded.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periodically grants options to non-employees in exchange for goods and services. During the three months ended March 31, 2011, the Company issued to non-employees in exchange for services, 10,000 shares of common stock and options to purchase 5,000 shares of common stock. No awards were granted to non-employees in exchange for goods and services during the three months ended March 31, 2010.</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Stock compensation expense related to non-employees was $253,000 and $20,000 for the three months ended March 31, 2011 and 2010,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uses an estimated annual effective tax rate to measure the income tax benefit or expense recognized in each interim period. The Company’s effective tax rate (calculated as the amount of income tax expense divided by income before income tax expense) for the three months ended March 31, 2011 and 2010 were 45.3% and 41.7%, respectively. The primary items increasing the effective tax rate as compared to the statutory rate relate to employee stock-based compensation for incentive stock options and state income tax expense.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Tax years 2009 and 2008 are currently under examination by the United States Internal Revenue Service and the State of California Franchise Tax Board.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expect a material impact on its financial statements as a result of these examinations.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Two of the Company’s directors also serve on the boards of directors of RPX clients. For each of the three months ended March 31, 2011 and 2010, the Company recognized subscription fee revenue of $674,000 related to these clients. As of March 31, 2011 and December 31, 2010, there were no receivables due from either of these clients.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1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customer is domiciled.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 information by location is presented below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$20,959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Europe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2,359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11,072</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6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34,390</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18,212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Revenue from the United States represented 57% and 51%; from Japan represented 16% and 18%; and from Germany represented 3% and 10% of the total revenue for the three months ended March 31, 2011 and 2010, respectively. No other country represented 10% or more of revenue for the above periods.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480" w:type="dxa"/>
            <w:vAlign w:val="bottom"/>
            <w:gridSpan w:val="4"/>
          </w:tcPr>
          <w:p>
            <w:pPr>
              <w:ind w:left="5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46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20" w:type="dxa"/>
            <w:vAlign w:val="bottom"/>
          </w:tcPr>
          <w:p>
            <w:pPr>
              <w:spacing w:after="0"/>
              <w:rPr>
                <w:sz w:val="8"/>
                <w:szCs w:val="8"/>
                <w:color w:val="auto"/>
              </w:rPr>
            </w:pPr>
          </w:p>
        </w:tc>
        <w:tc>
          <w:tcPr>
            <w:tcW w:w="27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$133,940</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Japan</w:t>
            </w:r>
          </w:p>
        </w:tc>
        <w:tc>
          <w:tcPr>
            <w:tcW w:w="27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134,010</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680" w:firstLine="8"/>
        <w:spacing w:after="0" w:line="417" w:lineRule="auto"/>
        <w:tabs>
          <w:tab w:leader="none" w:pos="263"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b w:val="1"/>
          <w:bCs w:val="1"/>
          <w:i w:val="1"/>
          <w:iCs w:val="1"/>
          <w:color w:val="auto"/>
        </w:rPr>
        <w:t>Common Stock Sale</w:t>
      </w:r>
    </w:p>
    <w:p>
      <w:pPr>
        <w:spacing w:after="0" w:line="1"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In April 2011, the Company sold an aggregate of 105,708 shares of its common stock at a price of $14.19 per share to two members of its Board of Directors.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On May 3, 2011, the Company’s registration statement on Form S-1 relating to the initial public offering of its common stock was declared effective by the SEC. This offering closed on May 9, 2011, at which time the Company sold 9,065,000 shares of its common stock at an initial public offering price of $19.00 per share, raising gross proceeds of $172.2 million. The Company received net proceeds of $160.2 million after the deduction of underwriting discounts and commissions. The shares sold and proceeds received reflect the exercise by the Company’s underwriters of an overallotment option. The Company incurred $2.6 million in offering costs through April 30, 2011 and additional costs were incurred in May 2011. Such costs will be reclassified from other assets and offset against additional paid-in-capital in stockholders’ equity.</w:t>
      </w:r>
    </w:p>
    <w:p>
      <w:pPr>
        <w:spacing w:after="0" w:line="12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connection with the initial public offering, the Company increased the number of shares of common stock authorized for issuance from 60,000,000 shares to 200,000,000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Upon the consummation of the initial public offering on May 9, 2011, all of the Company’s redeemable convertible preferred stock automatically converted into 26,229,722 shares of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Early Redemption of Notes Payable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June 2011, the Company repaid the remaining unpaid principal balance of two of its outstanding notes payable, which had balances at March 31, 2011 of $2.3 million and $1.4 million.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Prospectus filed pursuant to Rule 424(b) under the Securities Act with the Securities and Exchange Commission (“SEC”) on May 4, 2011.</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Prospectus filed pursuant to Rule 424(b) under the Securities Act with the SEC on May 4, 2011.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RPX helps companies reduce patent-related risk and expense. We provide a subscription-based patent risk management solution that facilitates more efficient exchanges of value between owners and users of patents compared to transactions driven by actual or threatened litigation. As of March 31, 2011, we had a client network of 81 members.</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core of our solution is defensive patent aggregation, in which we acquire patents or licenses to patents, which we refer to collectively as “patent assets,” that are being or may be asserted against our current and prospective clients. We then license these patent assets to our clients to protect them from potential patent infringement assertions. We also provide our clients access to our proprietary patent market intelligence and data. As of March 31, 2011, we had deployed over $280 million to acquire patent assets.</w:t>
      </w:r>
    </w:p>
    <w:p>
      <w:pPr>
        <w:spacing w:after="0" w:line="14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the quarter ending March 31, 2011, revenue grew to $34.4 million as we added nine net new clients, bringing our total client network to 81 companies. We ended the quarter with deferred revenue of $92.8 million. During the quarter we completed seven acquisitions of patent assets and our gross acquisition spend totaled $19.4 million. None of these were syndicated acquisitions and thus our net acquisition spend was the same as our gross acquisition spend. Over the four quarters ending March 31, 2011, our gross acquisition spend totaled $80.1 million and our net acquisition spend totaled $62.4 million. We believe that the amount that we spend to acquire patent assets is a key driver of the value that we create for our clients. We measure acquisition spend on both a “gross” and a “net” basis, whereby the “gross spend” represents the aggregate amount spent including amounts contributed by our clients in syndicated acquisitions above and beyond their subscription fees and the “net spend” represents only the net incremental investment of our own capital.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May 3, 2011, our registration statement on Form S-1 relating to the initial public offering of our common stock was declared effective by the SEC. This offering closed on May 9, 2011, at which time we sold 9,065,000 shares of our common stock and received cash proceeds of $160.2 million, net of underwriting discounts and commissions.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Historically, substantially all of our revenue has consisted of annual subscription fees. We expect that subscription fee revenue will increase with the growth of our client network. Subscription revenue will be positively or negatively impacted by the financial performance of our clients since their subscription fees are typically reset yearly based upon their most recently reported annual financial results. We have also received license revenue from the sale of licenses and fee income in connection with structured acquisitions. To date, such amounts have not been material. In the future, we may receive other revenue and fee income from newly-introduced products and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Cost of revenue primarily consists of amortization expenses related to acquired patent assets. Acquired patent assets are capitalized and amortized ratably over the shorter of their estimated useful lives or the remaining statutory life. Also included in the cost of revenue are the expenses incurred to maintain and prosecute patents and patent applications. We expect our cost of revenue to increase in the future as we add additional patent assets to our existing portfolio to support expected growth of our client network.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Selling, general and administrative expenses consist of salaries and related expenses, including stock-based compensation expenses, cost of marketing programs, certain legal costs, professional fees, travel costs, facility costs and other corporate expenses. We expect that in the future, as we seek to serve more clients and develop new products and services, selling, general and administrative expenses will increase. Selling, general and administrative expenses will also increase in order to support our operations and compliance requirements as a public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net represents interest expense incurred on our debt obligations mainly resulting from financed patent asset acquisitions, which is partially offset by interest income earned on cash balances and short-term investments. We expect interest expense and interest income to fluctuate in the future with changes in our debt obligations, our cash and investment balances and market interest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Income taxes are computed using the asset and liability method, under which deferred tax assets and liabilities are determined based on the difference between the financial statements and tax bases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more-likely-than-not that our deferred tax assets will be fully realized.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The preparation of these consolidated financial statements requires us to make estimates and assumptions that affect the reported amounts of assets, liabilities, revenue, costs and expenses and related disclosures. On an ongoing basis, we evaluate our estimates and assumptions. Our actual results may differ from these estimates under different assumptions or conditions.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There have been no material changes to our critical accounting policies. For further information on our critical and other significant accounting policies, see our Prospectus filed pursuant to Rule 424(b) under the Securities Act with the SEC on May 4, 2011.</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following critical accounting policies involve more significant judgments, assumptions and estimates and, therefore, could have the greatest potential impact on our consolidated financial statements:</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of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sets forth, for the periods indicated, condensed consolidated statements of operations data (in thousands). Our historical results are not necessarily indicative of our results of operations for any future period.</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r>
      <w:tr>
        <w:trPr>
          <w:trHeight w:val="210"/>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34,390</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18,212</w:t>
            </w:r>
          </w:p>
        </w:tc>
        <w:tc>
          <w:tcPr>
            <w:tcW w:w="12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13,665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7,733</w:t>
            </w:r>
          </w:p>
        </w:tc>
        <w:tc>
          <w:tcPr>
            <w:tcW w:w="12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20" w:type="dxa"/>
            <w:vAlign w:val="bottom"/>
            <w:shd w:val="clear" w:color="auto" w:fill="CCEEFF"/>
          </w:tcPr>
          <w:p>
            <w:pPr>
              <w:spacing w:after="0"/>
              <w:rPr>
                <w:sz w:val="18"/>
                <w:szCs w:val="18"/>
                <w:color w:val="auto"/>
              </w:rPr>
            </w:pP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12,615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6,211</w:t>
            </w:r>
          </w:p>
        </w:tc>
        <w:tc>
          <w:tcPr>
            <w:tcW w:w="120" w:type="dxa"/>
            <w:vAlign w:val="bottom"/>
          </w:tcPr>
          <w:p>
            <w:pPr>
              <w:spacing w:after="0"/>
              <w:rPr>
                <w:sz w:val="19"/>
                <w:szCs w:val="19"/>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w:t>
            </w:r>
          </w:p>
        </w:tc>
      </w:tr>
      <w:tr>
        <w:trPr>
          <w:trHeight w:val="221"/>
        </w:trPr>
        <w:tc>
          <w:tcPr>
            <w:tcW w:w="68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12,242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5,371</w:t>
            </w:r>
          </w:p>
        </w:tc>
        <w:tc>
          <w:tcPr>
            <w:tcW w:w="120" w:type="dxa"/>
            <w:vAlign w:val="bottom"/>
          </w:tcPr>
          <w:p>
            <w:pPr>
              <w:spacing w:after="0"/>
              <w:rPr>
                <w:sz w:val="19"/>
                <w:szCs w:val="19"/>
                <w:color w:val="auto"/>
              </w:rPr>
            </w:pPr>
          </w:p>
        </w:tc>
      </w:tr>
      <w:tr>
        <w:trPr>
          <w:trHeight w:val="218"/>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r>
      <w:tr>
        <w:trPr>
          <w:trHeight w:val="222"/>
        </w:trPr>
        <w:tc>
          <w:tcPr>
            <w:tcW w:w="68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6,695</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3,120</w:t>
            </w:r>
          </w:p>
        </w:tc>
        <w:tc>
          <w:tcPr>
            <w:tcW w:w="12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table sets forth, for the periods indicated, condensed consolidated statements of operations data as a percentage of revenue. Our historical results are not necessarily indicative of our results of operations for any future period.</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66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March 31,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900" w:type="dxa"/>
            <w:vAlign w:val="bottom"/>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Cost of revenue</w:t>
            </w: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40%</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24%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60" w:type="dxa"/>
            <w:vAlign w:val="bottom"/>
            <w:vMerge w:val="continue"/>
          </w:tcPr>
          <w:p>
            <w:pPr>
              <w:spacing w:after="0"/>
              <w:rPr>
                <w:sz w:val="19"/>
                <w:szCs w:val="19"/>
                <w:color w:val="auto"/>
              </w:rPr>
            </w:pP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37%</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32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Income before provision for income taxes</w:t>
            </w: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60" w:type="dxa"/>
            <w:vAlign w:val="bottom"/>
            <w:vMerge w:val="continue"/>
          </w:tcPr>
          <w:p>
            <w:pPr>
              <w:spacing w:after="0"/>
              <w:rPr>
                <w:sz w:val="19"/>
                <w:szCs w:val="19"/>
                <w:color w:val="auto"/>
              </w:rPr>
            </w:pP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36%</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8"/>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20" w:type="dxa"/>
            <w:vAlign w:val="bottom"/>
            <w:gridSpan w:val="2"/>
            <w:shd w:val="clear" w:color="auto" w:fill="CCEEFF"/>
          </w:tcPr>
          <w:p>
            <w:pPr>
              <w:jc w:val="right"/>
              <w:ind w:right="692"/>
              <w:spacing w:after="0"/>
              <w:rPr>
                <w:sz w:val="20"/>
                <w:szCs w:val="20"/>
                <w:color w:val="auto"/>
              </w:rPr>
            </w:pPr>
            <w:r>
              <w:rPr>
                <w:rFonts w:ascii="Arial" w:cs="Arial" w:eastAsia="Arial" w:hAnsi="Arial"/>
                <w:sz w:val="18"/>
                <w:szCs w:val="18"/>
                <w:color w:val="auto"/>
              </w:rPr>
              <w:t>16%</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1320" w:type="dxa"/>
            <w:vAlign w:val="bottom"/>
            <w:gridSpan w:val="2"/>
          </w:tcPr>
          <w:p>
            <w:pPr>
              <w:jc w:val="right"/>
              <w:ind w:right="692"/>
              <w:spacing w:after="0"/>
              <w:rPr>
                <w:sz w:val="20"/>
                <w:szCs w:val="20"/>
                <w:color w:val="auto"/>
              </w:rPr>
            </w:pPr>
            <w:r>
              <w:rPr>
                <w:rFonts w:ascii="Arial" w:cs="Arial" w:eastAsia="Arial" w:hAnsi="Arial"/>
                <w:sz w:val="18"/>
                <w:szCs w:val="18"/>
                <w:color w:val="auto"/>
              </w:rPr>
              <w:t>19%</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2011 and 2010</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Our revenue increased by $16.2 million or 89% to $34.4 million for the three months ended March 31, 2011, from $18.2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2010. The increase was primarily the result of growth in our client network and the resulting recognition of revenue from clients that joined both during this period and prior to the start of the period. We expect our revenue growth to continue if we are successful in our efforts to add new clients and retain existing clients. However, while we continue to experience substantial revenue growth, we do not believe that the rate of our revenue growth is representative of anticipated future revenue growth.</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Our cost of revenue increased by $6.0 million or 78% to $13.7 million for the three months ended March 31, 2011, from $7.7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2010. The increase was primarily the result of additional amortization expense recorded from patent assets acquired in 2010 and during the three months ended March 31, 2011. The expenses incurred to maintain patents and prosecute patent applications included in our portfolio were approximately $0.2 million and $0.1 million for the three months ended March 31, 2010 and 2011, respectively.</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Our selling, general and administrative expenses increased by $3.8 million or 88% to $8.1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2011, from $4.3 million for the three months ended March 31, 2010. The increase was primarily due to our headcount growth, which resulted in increased salaries and related expenses, including stock-based compensation expenses, of an aggregate of $2.6 million. Our headcount increased to 73 at March 31, 2011 from 38 at March 31, 2010. Our legal and professional fees increased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by $0.4 million due primarily to increased audit and accounting fees. Our facility costs and other corporate expenses also increased by $0.4 million to support the growth of our business, including leasing of additional office space. In September 2010, we opened our Tokyo office to facilitate our development and management of client relationships with companies located in Asia. In August 2010, we launched our Client Relations team, which is focused on building deep relationships throughout our clients’ organizations, both to ensure that our clients’ current needs are being met and to serve as the vehicle for marketing additional, value-added patent risk management solutions as we develop them. Also in 2010, we established our Corporate Development team, which is responsible for developing new products and services. We expect that our selling, general and administrative expenses will increase in future periods as we continue to invest in the growth of our business and incur costs associated with being a public company. We anticipate that such expenses will increase more rapidly than the growth of our revenue in 2011.</w:t>
      </w:r>
    </w:p>
    <w:p>
      <w:pPr>
        <w:spacing w:after="0" w:line="118"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Our interest expense, net decreased by $0.5 million, or 63%, to $0.3 million for the three months ended March 31, 2011 from $0.8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March 31, 2010. The decrease was primarily due to the reduction in outstanding debt balances.</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We had a tax provision of $5.5 million for the three months ended March 31, 2011 compared to $2.3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2010. The overall change in income taxes is due to our higher income before tax. The Company’s effective tax rates for the three months ended March 31, 2011 and 2010 were 45.3% and 41.7%, respectively. The primary items increasing the effective tax rate as compared to the statutory rate in each period relate to employee stock-based compensation expense for incentive stock options and state income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May 3, 2011, our registration statement on Form S-1 relating to the initial public offering of our common stock was declared effective by the SEC. This offering closed on May 9, 2011, at which time we sold 9,065,000 shares of our common stock and received cash proceeds of $160.2 million, net of underwriting discounts and commissions.</w:t>
      </w:r>
    </w:p>
    <w:p>
      <w:pPr>
        <w:spacing w:after="0" w:line="14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Prior to the completion of our initial public offering, substantially all of our operations and patent asset acquisitions had been financed through the sale of equity securities, subscription fees collected from our clients and patent-seller financing. As of March 31, 2011, we had $41.9 million of cash and cash equivalents and $15.3 million in short-term investments. Through March 31, 2011, we had raised $64.4 million in a series of equity financings from venture capital firms and other investors. We raised $25.3 million in connection with our sale of Series A and Series A-1 redeemable convertible preferred stock in August 2008 through December 2008, $35.3 million in connection with our sale of Series B redeemable convertible preferred stock in July 2009 and $3.8 million in connection with our sale of Series C redeemable convertible preferred stock in November 2010. All of the proceeds from our sale of Series C redeemable convertible preferred stock were used to repurchase shares owned by certain of our employees.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our existing cash, cash equivalents, short-term investments and contractual payments due to us from existing members will be sufficient to meet our working capital and capital expenditure needs for the foreseeable future. Our future capital needs will depend on many factors, including, among other things, our acquisition of patent assets, addition and renewal of clients, development of new solutions and performance of general and administrative activities. We anticipate an increased level of patent acquisition spending for the remainder of 2011 as our business grows. Additionally, we may enter into potential investments in, or acquisitions of, complementary businesses which could require us to seek additional debt or equity financing. Additional funds may not be available on terms favorable to us or at all.</w:t>
      </w:r>
    </w:p>
    <w:p>
      <w:pPr>
        <w:spacing w:after="0" w:line="14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will also incur costs as a public company that we have not previously incurred, including, but not limited to, costs and expenses for directors fees, increased directors’ and officers’ insurance, investor relations fees, expenses for compliance with the Sarbanes-Oxley Act of 2002 and rules implemented by the SEC and The Nasdaq Global Select Market and various other costs. The Sarbanes-Oxley Act of 2002 requires that we maintain effective disclosure controls and procedures and internal control over financial reporting.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Three Months Ended March 31,</w:t>
            </w:r>
          </w:p>
        </w:tc>
      </w:tr>
      <w:tr>
        <w:trPr>
          <w:trHeight w:val="142"/>
        </w:trPr>
        <w:tc>
          <w:tcPr>
            <w:tcW w:w="45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40,645</w:t>
            </w: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(34,625)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(31,062)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(9,822)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(12,131)</w:t>
            </w:r>
          </w:p>
        </w:tc>
      </w:tr>
      <w:tr>
        <w:trPr>
          <w:trHeight w:val="222"/>
        </w:trPr>
        <w:tc>
          <w:tcPr>
            <w:tcW w:w="458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1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(4,803)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(2,548)</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Cash provided by operating activities primarily consists of net income adjusted for certain non-cash items including depreciation, amortization, stock-based compensation and the effect of changes in working capital and other activities. Cash provided by operating activities for the three months ended March 31, 2011 was $39.6 million consisting of net income of $6.7 million, adjustments for non-cash items of $15.0 million and changes in working capital and non-current assets and liabilities totaling $17.9 million. The change in working capital resulted primarily from a decrease in accounts receivable of $11.9 million and an increase in deferred revenue of $10.2 million. The increase in deferred revenue consists of $44.6 million, net of adjustments, billed to our clients offset by revenue recognized of $34.4 million for the three months ended March 31, 2011. The increase in deferred revenue is due to annual subscription billings and the growth in our membership to 81 clients as of March 31, 2011 from 72 clients as of December 31, 2010.</w:t>
      </w:r>
    </w:p>
    <w:p>
      <w:pPr>
        <w:spacing w:after="0" w:line="11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Cash provided by operating activities for the three months ended March 31, 2010 was $40.6 million and consisted of net income of $3.1 million, adjustments for non-cash items of $8.2 million and $29.3 million provided by changes in working capital and non-current assets and liabilities. The change in working capital resulted primarily from an increase in deferred revenue of $37.5 million offset by a decrease in accounts receivable of $9.5 million. The increase in deferred revenue is made up of $55.7 million, net of adjustments, billed to our clients offset by revenue recognized of $18.2 million during in the three months ended March 31, 2010. The increase in deferred revenue is due to the growth in our membership from 23 clients as of December 31, 2009 to 39 clients as of March 31, 2010. The amount of deferred revenue in any given quarter varies with the addition of new clients, the mix of payment terms that we offer and the timing of invoicing existing clients.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Cash used by investing activities primarily consists of cash flows used to fund our acquisition of patent assets and short-term investments classified as available-for-sale. Cash used by investing activities for the three months ended March 31, 2011 was $34.6 million, of which $19.1 million represented our acquisition of patent assets, net and $15.1 million represented our acquisition of investments. We expect our cash used for investing activities to increase in the future as we increase the level of patent acquisition spend. Cash used by investing activities for the three months ended March 31, 2010 was $31.1 million and primarily consisted of our acquisition of patent assets of $31.0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Cash used by financing activities for the three months ended March 31, 2011 was $9.8 million, primarily from the repayment of our debt obligations. Cash used by financing activities for the three months ended March 31, 2010 was $12.1 million, the majority of which represented the repayment of debt obligations.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substantial changes to our contractual obligations or commitments in the first quarter of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were no substantial changes to our guarantee and indemnification obligations or other off balance sheet arrangements in the first quarter of 2011.</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January 2010, the Financial Accounting Standard Board (“FASB”) issued Accounting Standard Update (“ASU”) No. 2010-06, </w:t>
      </w:r>
      <w:r>
        <w:rPr>
          <w:rFonts w:ascii="Arial" w:cs="Arial" w:eastAsia="Arial" w:hAnsi="Arial"/>
          <w:sz w:val="16"/>
          <w:szCs w:val="16"/>
          <w:i w:val="1"/>
          <w:iCs w:val="1"/>
          <w:color w:val="auto"/>
        </w:rPr>
        <w:t>Improving 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about Fair Value Measurement (Topic 820) – Fair Value Measurements and Disclosures </w:t>
      </w:r>
      <w:r>
        <w:rPr>
          <w:rFonts w:ascii="Arial" w:cs="Arial" w:eastAsia="Arial" w:hAnsi="Arial"/>
          <w:sz w:val="16"/>
          <w:szCs w:val="16"/>
          <w:color w:val="auto"/>
        </w:rPr>
        <w:t>(“ASU 2010-06”), an amendment to an accounting standard which</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new disclosures for fair value measures and provides clarification for existing disclosure requirements. Specifically, this amendment requires an entity to disclose separately the amounts of significant transfers in and out of Level 1 and Level 2 fair value measurements and to describe the reasons for the transfers; and to disclose separately information about purchases, sales, issuances and settlements in the reconciliation for fair value measurements using significant unobservable inputs, or Level 3 inputs. This amendment clarifies existing disclosure requirements for the level of disaggregation used for classes of assets and liabilities measured at fair value, and requires disclosure about the valuation techniques and inputs used to measure fair value for both recurring and non-recurring fair value measurements using Level 2 and Level 3 inputs. We adopted this amendment effective January 1, 2011. There was no material impact to the consolidated financial statements as of, and for the three months ended March 31, 2011, as a result of the adoption of this amendment.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October 2009, the FASB issued ASU No. 2009-13, </w:t>
      </w:r>
      <w:r>
        <w:rPr>
          <w:rFonts w:ascii="Arial" w:cs="Arial" w:eastAsia="Arial" w:hAnsi="Arial"/>
          <w:sz w:val="16"/>
          <w:szCs w:val="16"/>
          <w:i w:val="1"/>
          <w:iCs w:val="1"/>
          <w:color w:val="auto"/>
        </w:rPr>
        <w:t>Revenue Recognition (Topic 605): Multiple-Deliverable Revenue Arrangements – a consensus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FASB Emerging Issues Task Force </w:t>
      </w:r>
      <w:r>
        <w:rPr>
          <w:rFonts w:ascii="Arial" w:cs="Arial" w:eastAsia="Arial" w:hAnsi="Arial"/>
          <w:sz w:val="16"/>
          <w:szCs w:val="16"/>
          <w:color w:val="auto"/>
        </w:rPr>
        <w:t>(“ASU 2009-13”). ASU 2009-13 relates to revenue recognition of multiple element arrangements. The new guidance states</w:t>
      </w:r>
      <w:r>
        <w:rPr>
          <w:rFonts w:ascii="Arial" w:cs="Arial" w:eastAsia="Arial" w:hAnsi="Arial"/>
          <w:sz w:val="16"/>
          <w:szCs w:val="16"/>
          <w:i w:val="1"/>
          <w:iCs w:val="1"/>
          <w:color w:val="auto"/>
        </w:rPr>
        <w:t xml:space="preserve"> </w:t>
      </w:r>
      <w:r>
        <w:rPr>
          <w:rFonts w:ascii="Arial" w:cs="Arial" w:eastAsia="Arial" w:hAnsi="Arial"/>
          <w:sz w:val="16"/>
          <w:szCs w:val="16"/>
          <w:color w:val="auto"/>
        </w:rPr>
        <w:t>that if vendor-specific objective evidence or third-party evidence of fair value for deliverables in an arrangement cannot be determined, companies will be required to develop a best estimate of the selling price to separate deliverables and allocate arrangement consideration using the relative selling price method. The accounting guidance will be applied prospectively and will become effective for fiscal years beginning on or after June 15, 2010. We adopted this guidance effective January 1, 2011. There was no material impact to the consolidated financial statements as of, and for the three months ended March 31, 2011, as a result of the adoption of this guidance.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subscription agreements are denominated in United States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therefore subject to fluctuations due to changes in foreign currency exchange rates, particularly changes in the Japanese Yen relative to the United States dollar. To date, we have not entered into any foreign currency hedging contracts.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had cash, cash equivalents and restricted cash of $42.6 million at March 31, 2011. These amounts are primarily invested in bank deposits, primarily in United States dollars, and money market funds. Interest rate fluctuations affect the returns in our invested funds. The Company’s cash balances deposited in United States banks are only insured up to the Federal Deposit Insurance Corporation limits. Cash and cash equivalents are held for working capital purposes and restricted cash amounts are held as security against credit card deposits and various lease obligations.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had $15.3 million held in short-investments, primarily invested in government and agency securities with maturities between 90 days and one year. As of March 31, 2011, our investments have been classified as available-for-sale and, consequently, are recorded at fair value in the condensed consolidated balance sheets with unrealized gains or losses reported as a separate component of stockholders’ equity. We review our investments for impairment when events and circumstances indicate a decline in fair value of such assets below carrying value is other-than-temporary. As of March 31, 2011, we have not recorded an impairment related to our investments in the condensed consolidated statement of operations.</w:t>
      </w:r>
    </w:p>
    <w:p>
      <w:pPr>
        <w:spacing w:after="0" w:line="1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Due to the short-term nature of our cash, cash equivalents and investments, we believe that we do not have any material exposure to changes in interest rates. If overall interest rates had changed by 10% during the three months ended March 31, 2011, the fair value of our investments would not have been materially affected.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inflation has not had a material impact on our condensed consolidated results of operations for the three months ended March 31, 2011.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that future inflation will not have an adverse impact on our condensed consolidated results of operations or financial condition.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March 31, 2011.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18"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Our management, with the participation of the Chief Executive Officer and Chief Financial Officer, has evaluated the effectiveness of our disclosure controls and procedures as of the end of the period covered by this quarterly report on Form 10-Q. Based upon that evaluation, our Chief Executive Officer and Chief Financial Officer have concluded that, as of March 31, 2011, our disclosure controls and procedures were effective at the reasonable assurance level.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Controls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Our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of our control issues and instances of fraud, if any, have been detected.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that has materially affected, or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9 to our condensed consolidated financial statements.</w:t>
      </w:r>
    </w:p>
    <w:p>
      <w:pPr>
        <w:spacing w:after="0" w:line="1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5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 The risks described below are not the only risk facing us. Risks and uncertainties not currently known to us or that we currently deem to be immaterial also may materially adversely affect our business, financial condition and operating results. When making your investment decision, you should also refer to the other information set forth in this Form 10-Q, including our condensed consolidated financial statements and the related notes and our Prospectus filed with the SEC on May 4,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in the future of our business model. If companies do not continue to subscribe to our solution, our business and operating results will be adversely affected.</w:t>
      </w:r>
    </w:p>
    <w:p>
      <w:pPr>
        <w:spacing w:after="0" w:line="14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were incorporated in July 2008. We acquired our first patent assets in September 2008 and sold our first membership in October 2008. Therefore, we have not only a very limited operating history, but also a very limited track record in executing our business model. Our future success depends on acceptance of our solution by companies we target to become clients. Our efforts to sell our solution to new companies may not continue to be successful. In particular, because we are a relatively new company with a limited operating history, companies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4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makes our future operating results difficult to predict and could cause our operating results to fall below expectations.</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factors described above, other factors that may affect our operating results include: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subscription fee rates or the pricing policies of our competitors;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lengthy and unpredictable membership sales cycle, including delays in potential clients’ decisions whether to subscribe to our solution;</w:t>
      </w:r>
    </w:p>
    <w:p>
      <w:pPr>
        <w:spacing w:after="0" w:line="113"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 and how we recognize revenue under subscription agreements;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lower subscription fees from clients where the annual subscription fee decreases due to declining operating income or revenue of such clients;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develop and implement new solutions that meet client requirements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gains or losses realized as a result of our selling patents, including upon the exercise by any of our clients of their limited right to purchase certain of our patent assets for defensive purposes in the event of a patent infringement suit brought against such client by a third party; and</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While we have not experienced seasonality trends to date, we anticipate that we may experience lower new client additions in the third quarter of the year due to vacation schedules of the executive management of many of our prospective clients. 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4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3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assertions from non-practicing entities (“NPEs”) or decreased patent licensing fees owed to NPEs;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concerns by existing or potential clients about our future ability to obtain rights to patent assets that are being or may be asserted against them;</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sufficient interest by mid- and small-sized companies in our solution;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belief that adequate coverage for the risks and expenses we attempt to reduce is available from alternative products or services.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13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have limited experience with respect to determining the appropriate metrics for establishing the annual subscription fees for our patent risk management solution. If the market for our solution fails to develop or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or reduce our subscription fee rates, which could harm our operating results. We began introducing a new fee schedule with higher fees in January 2011. This higher cost of membership may make it more difficult for us to attract new clients in the future. In order to attract clients, in certain cases we have previously offered, and may in the future offer, discounts or other contractual incentives to clients who execute multi-year subscription agreements or who make client referrals.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very limited flexibility to change the pricing of our solution for existing clients and may not be able to respond effectively to changes in our market.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This limited flexibility could have an adverse effect on our operating results.</w:t>
      </w:r>
    </w:p>
    <w:p>
      <w:pPr>
        <w:spacing w:after="0" w:line="16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Under our subscription agreements, our annual subscription fee is based on a published fee schedule applicable to all of our clients that join our network while that fee schedule is in effect. Clients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as an offset to the increased operating expenses, and our operating results could be adversely affected.</w:t>
      </w:r>
    </w:p>
    <w:p>
      <w:pPr>
        <w:spacing w:after="0" w:line="118"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clients have no obligation to renew their subscriptions after the expiration of their initial membership period. We have limited historical data with respect to rates of subscription renewals, so we cannot accurately predict renewal rates. The weighted average term of our subscription agreements in effect as of March 31, 2011 was 2.8 years. As our overall membership base grows, we expect our renewal rate to decline compared to our historical rate. As of December 31, 2010, the subscription agreements for eight of our clients will be up for renewal in 2011 and the subscription agreements for 23 clients will be up for renewal in 2012.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 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Upon initial subscription, our clients receive a term license for the period of their membership to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10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b w:val="1"/>
          <w:bCs w:val="1"/>
          <w:i w:val="1"/>
          <w:iCs w:val="1"/>
          <w:color w:val="auto"/>
        </w:rPr>
        <w:t>Our subscription agreements generally provide our clients with a right to terminate their membership if we fail to meet certain conditions. If we fail to meet those conditions and clients elect to terminate their subscription agreements, our operating results will be harmed.</w:t>
      </w:r>
    </w:p>
    <w:p>
      <w:pPr>
        <w:spacing w:after="0" w:line="8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Until recently, our form of subscription agreement provided that we will use commercially reasonable efforts to spend at least a specified minimum amount each year to acquire patent assets related broadly to information technology. If we fail to meet this standard, the clients whose agreements contain this standard have the right to terminate their memberships. In addition, a select number of our subscription agreements also provide that if we fail in any year to acquire patent assets broadly related to information technology worth at least a specified amount that is lower than the minimum amount generally included in our subscription agreements, then those clients have the right to terminate their memberships. If we fail to meet these standards and clients elect to terminate their membership, our operating results will be harmed.</w:t>
      </w:r>
    </w:p>
    <w:p>
      <w:pPr>
        <w:spacing w:after="0" w:line="144"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8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generally recognize subscription fees received from clients ratably over the period of time to which those fees apply. Most of our clients are invoiced annually, and thus their fees are recognized as revenue over the course of 12 months. Consequently, a 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Each client’s subscription fee is reset yearly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fee schedule is capped for each of our clients. As a result, if one of our clients acquires another client, our future revenue would be reduced as a result of our fee schedule being applied to the combined entity rather than to each entity separately. Any reduction in subscription fees could harm our business and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Congress, the United States Patent and Trademark Office or courts implement new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potential liability for patent infringement, lower evidentiary standards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12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14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0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we deploy to acquire patent assets, they may choose not to renew their subscriptions.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 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to competing for new clients, we also compete to acquire patent assets. Our primary competitors in the market for patent assets include other entities that seek to accumulate patent assets, including NPEs such as Acacia Research, Altitude Capital Partners, Coller IP, Intellectual Ventures, Millennium Partners and Rembrandt IP Management, along with patent-buying consortiums such as Allied Security Trust.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members of our client network, that seek to acquire patent assets in connection with new or existing product and service offerings.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current or potential competitors vary widely in size and in the scope and breadth of the products and services they offer. Many of our competitors have greater financial resources and a larger customer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patent assets are time consuming, complex and costly, which could adversely affect our operating results.</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acquisitions of patent assets are time consuming, complex and costly to consummate. We utilize many different transaction structures in our acquisitions and the terms of the acquisition agreements tend to be very heavily negotiated. As a result, we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 in the patent assets and, if we are not successful, our acquisition may be invalid, in which case we could lose part or all of our investment in the assets.</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occasionally identify patent assets that cost more than we are prepared to spend with our own capital resources or that may be relevant only to a very small number of clients. In these circumstances, we may structure a transaction in which certain of our clients contribute funds that are in addition to their subscription fees in order to acquire those patent assets. These structured acquisitions are complex. We may incur significant costs to organize and negotiate a structured acquisition that does not ultimately result in an acquisition of any patent assets. These higher costs could adversely affect our operating results.</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 However, such estimates and judgment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have to spend considerable time and expense defending our position and we may be unable to successfully defend our accounting or tax treatment, any of which could adversely affect our business and operating results.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In some acquisitions of patent assets, we may seek to defer payment or finance a portion of the acquisition price. This approach may put us at a competitive disadvantage and could result in harm to our business.</w:t>
      </w:r>
    </w:p>
    <w:p>
      <w:pPr>
        <w:spacing w:after="0" w:line="132"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We have limited capital and often seek to negotiate acquisitions of patent assets where we can defer payments or finance a portion of the acquisition price. These types of debt financing or deferred payment arrangements are generally not as attractive to sellers of patent assets as receiving the full purchase price for those assets in cash at the closing of the acquisition. As a result, we might not compete effectively against other companies in the market for patent assets, many of whom have greater cash resources than we have. In addition, any failure to satisfy our debt repayment obligations may result in adverse consequences.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20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expect to significantly increase future expenditures to develop and expand our business, including making substantial expenditures to acquire patent assets and develop new solutions. Our efforts to develop new solutions will result in an increase in our operating expenses with no assurance that such solutions will result in additional revenue that is sufficient to offset the additional expenses we incur.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plan to incur additional operating expenses as we hire new personnel, including employees for client relations, patent research and analysis, development of reporting systems and general and administrative functions. During 2010, our headcount grew from 27 to 66 employees, and we intend to hire aggressively in 2011. As a result, we expect our operating expenses to increase substantially. In addition, as a public company, we will incur additional significant legal, accounting and other expenses that we did not incur as a private company. If we are not successful in generating additional revenue that is sufficient to offset these expected operating expense increases, our operating results may be harmed.</w:t>
      </w:r>
    </w:p>
    <w:p>
      <w:pPr>
        <w:spacing w:after="0" w:line="1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mid- and small-size companies, we may not be able to maintain our growth and our business and results of operations may be harmed.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Most of our current clients are very large companies. The number of companies of that size is limited, so in order for us to continue our growth, we need to expand our membership base to include mid- and small-size companies. There is no guarantee that we will be successful in those efforts. Those companies often have more limited budgets available for solutions of the type we offer compared to larger companies. Those companies may also request solutions that we do not currently offer. They may also have concerns that we will focus our patent acquisition efforts on patent assets that are of more benefit to our larger clients who pay us higher subscription fees. If we are unable to successfully expand our membership base to include more mid- and small-size companies, our growth may slow, and our business may be harmed.</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revenue is concentrated in a small number of clients, and if we are not able to obtain membership renewals from these clients, our revenue may decrease substantially.</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receive a significant amount of our revenue from a limited number of clients. For example, in 2010, our 10 highest revenue generating clients accounted for approximately 44% of our total revenue. We expect that a significant portion of our revenue will continue to come from a relatively small number of clients for the foreseeable future. If any of these clients choose not to renew their memberships, or if our subscription fees from them decline, our revenue may correspondingly decrease and our operating results may be adversely affected.</w:t>
      </w:r>
    </w:p>
    <w:p>
      <w:pPr>
        <w:spacing w:after="0" w:line="14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attract new clients and retain existing clients, we need to enhance and improve our existing solution and introduce new solutions that meet the needs of our clients. In the future, we may also seek to acquire or invest in businesses, products or technologies that we believe could complement or expand our service offerings, enhance our technical capabilities or otherwise offer growth opportunities. We are currently developing programs to facilitate joint defense and cross-license arrangements among clients that pay us additional fees to participate in those arrangements. As part of our potential joint defense solution, we are developing a plan to establish a risk retention group to help our clients cover costs incurred in defending patent infringement claims. If we facilitate the formation of a risk retention group, we may elect to provide part of the capital necessary to obtain regulatory approval. If we provide part of the risk capital and the risk-retention group experiences losses that exceed projected levels, the value of our investment would be impaired. This impairment could negatively affect our operating results.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We have experienced rapid growth in recent periods, and 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have substantially expanded our overall business, headcount and operations in recent periods. We plan to aggressively expand our operations and headcount in the future in order to support our efforts to increase our membership base, continue to acquire valuable patent assets and develop additional solutions. Further, increases in our membership base could create challenges in our ability to provide our solutions and support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1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We occasionally sell previously acquired patents to third parties. If a patent we sell to a third party is later asserted against a client who joined our network after the patent was sold and who did not receive a license to the patents in connection with the sale, our reputation could be harmed. If our reputation is harmed, we may have more difficulty attracting new clients and retaining existing clients, and our operating results could be adversely affected.</w:t>
      </w:r>
    </w:p>
    <w:p>
      <w:pPr>
        <w:spacing w:after="0" w:line="12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We may become involved in patent litigation proceedings related to our clients. Our involvement could cause us to expend significant resources and could require us to disclose information related to our clients, which could cause such clients not to renew their subscriptions with us.</w:t>
      </w:r>
    </w:p>
    <w:p>
      <w:pPr>
        <w:spacing w:after="0" w:line="8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patent market is heavily impacted by litigation. As a result, we may be required, by subpoena or otherwise, to participate in patent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17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2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business is dependent on our ability to acquire patent assets that are valuable to our existing and potential clients. Following the acquisition of patent assets, we spend significant time and resources to maintain the effectiveness of those assets by paying maintenance fees and making filings with the United States Patent and Trademark Office. In some cases, the patent assets we acquire include patent applications which require us to spend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acquire patent assets, satisfy debt payment obligations related to patent asset acquisitions,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9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4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 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expand our membership team may impede our growth and harm our business.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expect to be substantially dependent on our membership team to obtain new clients and to manage our membership base. We believe that there is significant competition for direct sales personnel with the advanced sales skills and technical knowledge we need. Our ability to achieve significant growth in revenue in the future will depend, in large part, on our success in recruiting, training and retaining sufficient direct sales personnel. New hires may, in some cases, take a significant amount of time before they achieve full productivity. Our recent hires and planned hires may not become as productive as we would like, and we may be unable to hire sufficient numbers of qualified individuals in the future in the markets where we do business. If we are unable to hire and develop sufficient numbers of productive membership sales personnel, sales of our solution will suffer.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17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future success depends on our ability to identify, attract, train, integrate and retain highly qualified technical, sales and marketing, managerial and administrative personnel. In particular, our ability to grow our revenue is dependent on our ability to hire personnel that can identify and acquire valuable patent assets and sign up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In addition, in making employment decisions, particularly in the high-technology industries, job candidates often consider the value of the equity they are to receive in connection with their employment. Therefore, significant volatility in the price of our stock after this offering may adversely affect our ability to attract or retain sales and technical personnel. If we fail to identify, attract, train, integrate and retain highly qualified and motivated personnel, our reputation could suffer, and our business, financial condition and results of operations could be adversely affected.</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132"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then-current operating income or revenue. If the subscription fees payable under our subscription agreement are reduced substantially, it would have an adverse effect on our business and results of operations.</w:t>
      </w:r>
    </w:p>
    <w:p>
      <w:pPr>
        <w:spacing w:after="0" w:line="12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we have not acquired other businesses in the past. If we acquire businesses in the future, we may not be able to integrate the acquired personnel, operations and technologies successfully or effectively manage the combined business following the completion of the acquisition. We may also not achieve the anticipated benefits from the acquired business due to a number of factors, including:</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additional legal, financial and accounting challenges and complexities in areas such as tax planning, cash management and financial reporting;</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17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compliance efforts.</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 public company, we will incur significant legal, accounting, investor relations and other expenses that we did not incur as a private company, including costs associated public company reporting requirements. The Sarbanes-Oxley Act, the Dodd-Frank Wall Street Reform and Consumer Protection Act, as well as rules subsequently implemented by the SEC and The Nasdaq Stock Market, impose additional requirements on public companies, including enhanced corporate governance practices. For example, the listing requirements for The Nasdaq Stock Market provide that listed companies satisfy, among other things, certain corporate governance requirements relating to independent directors, audit committees, distribution of annual and interim reports, stockholder meetings, stockholder approvals, solicitation of proxies, conflicts of interest, stockholder voting rights and codes of business conduct. Our management and other personnel will need to devote a substantial amount of time to satisfy these requirements. Moreover, these rules and regulations will increase our legal and financial compliance costs and will make some activities more time consuming and costly. These rules and regulations could also make it more difficult for us to attract and retain qualified persons to serve on our Board of Directors and board committees or as executive officers and could increase the cost of obtaining director and officer liability insurance.</w:t>
      </w:r>
    </w:p>
    <w:p>
      <w:pPr>
        <w:spacing w:after="0" w:line="123"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need to hire additional accounting and financial staff, improve our existing controls and implement new processes. We cannot be certain that our actions to improve our internal controls over financial reporting will be sufficient, or that we will be able to implement our planned processes and procedures in a timely manner. Moreover, if we are not able to comply with the requirements of Section 404 in a timely manner, or if we or our independent registered public accounting firm identify deficiencies in our internal control over financial reporting that are deemed to be material weaknesses, investors could lose confidence in the reliability of our financial statements, which could cause the market price of our common stock to decline. In addition, a delay in compliance with Section 404 could subject us to sanctions or investigations by The Nasdaq Stock Market, the SEC or other regulatory authorities, make us ineligible for short form resale registrations or result in the inability of registered broker-dealers to make a market in our common stock, any of which could further reduce our stock price and could harm our business.</w:t>
      </w:r>
    </w:p>
    <w:p>
      <w:pPr>
        <w:spacing w:after="0" w:line="124"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Furthermore, implementing any appropriate changes to our internal control over financial reporting may entail substantial costs in order to modify our existing accounting systems, may take a significant period of time to complete and may distract our officers, directors and employees from the operation of our business. These changes, however, may not be effective in maintaining the adequacy of our internal control over financial reporting, and any failure to maintain that adequacy, or consequent inability to produce accurate financial statements on a timely basis, could increase our operating costs and could materially impair our ability to operate our business. In addition, investors’ perceptions that our internal control over financial reporting is inadequate or that we are unable to produce accurate financial statements may adversely affect our stock price. While neither we nor our independent registered public accounting firm have identified deficiencies in our internal control over financial reporting that are deemed to be material weaknesses, there can be no assurance that material weaknesses will not be subsequently identified.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may have an effect on our reported results of operations.</w:t>
      </w:r>
    </w:p>
    <w:p>
      <w:pPr>
        <w:spacing w:after="0" w:line="132"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A change in accounting standards or practices could have a significant effect on our reported results and may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results of operations could vary as a result of the methods, estimates and judgments we use in applying our accounting policies.</w:t>
      </w:r>
    </w:p>
    <w:p>
      <w:pPr>
        <w:spacing w:after="0" w:line="19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13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The trading price of our common stock is likely to be volatile, and you might not be able to sell your shares at or above the price at which you purchased them.</w:t>
      </w:r>
    </w:p>
    <w:p>
      <w:pPr>
        <w:spacing w:after="0" w:line="132"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There has been no public market for our common stock prior to the IPO. The market price of our common stock could be subject to wide fluctuations in response to various factors, some of which are beyond our control. These factors include those discussed in this “Risk Factors” section of this Form 10-Q and others such as:</w:t>
      </w:r>
    </w:p>
    <w:p>
      <w:pPr>
        <w:spacing w:after="0" w:line="59"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74% of our outstanding common stock and will be able to exercise substantial control over all matters requiring stockholder approval. This concentration of ownership limits your ability to influence corporate matters.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Affiliates of Index Ventures, affiliates of Charles River Ventures and KPCB Holdings, Inc. each beneficially own approximately 18% of our outstanding common stock, and our directors and executive officers and their affiliates, in the aggregate, beneficially own approximately 74% of our outstanding common stock. As a result, these stockholders will be able to exercise substantial control over all matters requiring stockholder approval, including the election of directors and approval of significant corporate transactions, such as a merger or other sale of our company or its assets. This concentration of ownership limits your ability to influence corporate matters and may have the effect of delaying or preventing a third party from acquiring control over us. In addition, each of Index Ventures, Charles River Ventures and KPCB Holdings, Inc. currently have a representative on our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 or be sustained.</w:t>
      </w:r>
    </w:p>
    <w:p>
      <w:pPr>
        <w:spacing w:after="0" w:line="17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We have a limited history as a public company. An active trading market may not develop or may not be sustained. The lack of an active market may impair your ability to sell your shares at the time you wish to sell them or at a price that you consider reasonable. The lack of an active market may also reduce the fair market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analysts do not publish research or publish unfavorable research about our business, our stock price and trading volume could decline.</w:t>
      </w:r>
    </w:p>
    <w:p>
      <w:pPr>
        <w:spacing w:after="0" w:line="19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analysts publish about us or our business. We do not currently have and may never obtain research coverage by securities analysts. If no securities analysts commence coverage of our company, the trading price for our stock could suffer. In the event we obtain securities analyst coverage,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13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If our existing stockholders, particularly our directors and executive officers and the venture capital funds affiliated with our current and former directors, sell substantial amounts of our common stock in the public market, or are perceived by the public market as intending to sell substantial amounts of our common stock, the trading price of our common stock could decline. Currently, only the shares of common stock sold in the IPO are freely tradable, without restriction, in the public market. Our officers, directors and the holders of substantially all of our common stock have entered into contractual lock-up agreements with the underwriters of the IPO pursuant to which they have agreed not to sell or otherwise transfer any of their common stock or securities convertible into or exchangeable for shares of common stock for a period through the date approximately 180 days after the date of the final prospectus for the IPO. However, the lead underwriters in the IPO may permit these holders to sell shares prior to the expiration of the lock-up agreements with the underwriters.</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MHV Partners LLC, an entity affiliated with Shelby Bonnie, and Sanford Robertson, both of whom purchased shares of our common stock in April 2011, have agreed with us to a one-year restricted period with respect to such shares.</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After the contractual lock-up agreements pertaining to the IPO expire 180 days from the date of the final prospectus, or such longer periods described above, up to an additional 37,426,856 shares will be eligible for sale in the public market, 35,011,972 of which are held by directors, executive officers and other affiliates and will be subject to volume limitations under Rule 144 under the Securities Act. In addition, some of these shares are limited by restrictions on sales related to our right of repurchase on unvested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Some of our existing stockholders have demand and piggyback rights to require us to register with the SEC up to 34,636,994 shares of our common stock, subject to expiration of the contractual lock-up agreements. If we register these shares of common stock, the stockholders would be able to sell those shares freely in the public market.</w:t>
      </w:r>
    </w:p>
    <w:p>
      <w:pPr>
        <w:spacing w:after="0" w:line="14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The 7,515,645 shares that were subject to outstanding options as of March 31, 2011 will become eligible for sale in the public market to the extent permitted by the provisions of various vesting agreements, the contractual lock-up agreements and Rules 144 and 701 under the Securities Act.</w:t>
      </w:r>
    </w:p>
    <w:p>
      <w:pPr>
        <w:spacing w:after="0" w:line="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Additionally, we registered 9,214,922 shares of our common stock that we may issue under our equity plans. Such shares can be freely sold in the public market upon issuance, subject to any vesting or contractual lock-up agreements.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3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b w:val="1"/>
          <w:bCs w:val="1"/>
          <w:i w:val="1"/>
          <w:iCs w:val="1"/>
          <w:color w:val="auto"/>
        </w:rPr>
        <w:t>As a newly public company, our stock price may be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32"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35"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9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459" w:right="3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From January 1 to March 31, 2011, we granted awards for an aggregate of 1,512,116 shares of our common stock at an exercise price of $9.85 per share to our employees, consultants and other service providers. From January 1 to March 31, 2011, we issued and sold an aggregate of 379,200 shares of our common stock to our employees, consultants, and other service providers at prices ranging from $0.25 to $9.85 per share for an aggregate of $326,786 pursuant to exercises of options granted and a stock award. No underwriters were involved in the foregoing sales of securities. These issuances were undertaken in reliance upon the exemption from registration requirements of Rule 701 and Section 4(2) of the Securities Act. All securities described in this paragraph are deemed restricted securities for purposes of the Securities Act. The instruments representing such issued securities included appropriate legends setting forth that the securities had not been registered and the applicable restrictions on transfer.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IPO was effected through a Registration Statement on Form S-1 (File No. 333-171817) that was declared effective by the SEC on May 3, 2011, which registered an aggregate of 9,695,000 shares of our common stock, including 1,264,565 shares that the underwriters had the option to purchase. On May 9, 2011, 9,065,000 shares of common stock were sold on our behalf and 630,000 shares of common stock were sold on behalf of the selling stockholders, at an initial public offering price of $19.00 per share, for an aggregate gross offering price of $172,235,000 to us, and $11,970,000 to the selling stockholders. The underwriters of the offering were Goldman Sachs &amp; Co., Barclays Capital, Allen &amp; Company LLC, Robert W. Baird &amp; Co., Incorporated and Cowen and Company, LLC. Following the sale of the shares in connection with the closing of the IPO, the offering terminated.</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459" w:right="3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19"/>
          </w:cols>
          <w:pgMar w:left="240" w:top="45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16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219"/>
          </w:cols>
          <w:pgMar w:left="24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219"/>
          </w:cols>
          <w:pgMar w:left="240" w:top="45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728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7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7280" w:type="dxa"/>
            <w:vAlign w:val="bottom"/>
            <w:gridSpan w:val="2"/>
          </w:tcPr>
          <w:p>
            <w:pPr>
              <w:ind w:left="460"/>
              <w:spacing w:after="0"/>
              <w:rPr>
                <w:sz w:val="20"/>
                <w:szCs w:val="20"/>
                <w:color w:val="auto"/>
              </w:rPr>
            </w:pPr>
            <w:r>
              <w:rPr>
                <w:rFonts w:ascii="Arial" w:cs="Arial" w:eastAsia="Arial" w:hAnsi="Arial"/>
                <w:sz w:val="18"/>
                <w:szCs w:val="18"/>
                <w:color w:val="auto"/>
                <w:w w:val="92"/>
              </w:rPr>
              <w:t>Certification of Chief Executive Officer Pursuant to Rule 13-14(a) of the Securities Exchange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280" w:type="dxa"/>
            <w:vAlign w:val="bottom"/>
            <w:gridSpan w:val="2"/>
          </w:tcPr>
          <w:p>
            <w:pPr>
              <w:ind w:left="460"/>
              <w:spacing w:after="0"/>
              <w:rPr>
                <w:sz w:val="20"/>
                <w:szCs w:val="20"/>
                <w:color w:val="auto"/>
              </w:rPr>
            </w:pPr>
            <w:r>
              <w:rPr>
                <w:rFonts w:ascii="Arial" w:cs="Arial" w:eastAsia="Arial" w:hAnsi="Arial"/>
                <w:sz w:val="18"/>
                <w:szCs w:val="18"/>
                <w:color w:val="auto"/>
              </w:rPr>
              <w:t>Act of 1934 as Adopted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7280" w:type="dxa"/>
            <w:vAlign w:val="bottom"/>
            <w:gridSpan w:val="2"/>
          </w:tcPr>
          <w:p>
            <w:pPr>
              <w:ind w:left="460"/>
              <w:spacing w:after="0"/>
              <w:rPr>
                <w:sz w:val="20"/>
                <w:szCs w:val="20"/>
                <w:color w:val="auto"/>
              </w:rPr>
            </w:pPr>
            <w:r>
              <w:rPr>
                <w:rFonts w:ascii="Arial" w:cs="Arial" w:eastAsia="Arial" w:hAnsi="Arial"/>
                <w:sz w:val="18"/>
                <w:szCs w:val="18"/>
                <w:color w:val="auto"/>
                <w:w w:val="93"/>
              </w:rPr>
              <w:t>Certification of Chief Financial Officer Pursuant to Rule 13-14(a) of the Securities Exchange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280" w:type="dxa"/>
            <w:vAlign w:val="bottom"/>
            <w:gridSpan w:val="2"/>
          </w:tcPr>
          <w:p>
            <w:pPr>
              <w:ind w:left="460"/>
              <w:spacing w:after="0"/>
              <w:rPr>
                <w:sz w:val="20"/>
                <w:szCs w:val="20"/>
                <w:color w:val="auto"/>
              </w:rPr>
            </w:pPr>
            <w:r>
              <w:rPr>
                <w:rFonts w:ascii="Arial" w:cs="Arial" w:eastAsia="Arial" w:hAnsi="Arial"/>
                <w:sz w:val="18"/>
                <w:szCs w:val="18"/>
                <w:color w:val="auto"/>
              </w:rPr>
              <w:t>Act of 1934 as Adopted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7280" w:type="dxa"/>
            <w:vAlign w:val="bottom"/>
            <w:gridSpan w:val="2"/>
          </w:tcPr>
          <w:p>
            <w:pPr>
              <w:ind w:left="460"/>
              <w:spacing w:after="0"/>
              <w:rPr>
                <w:sz w:val="20"/>
                <w:szCs w:val="20"/>
                <w:color w:val="auto"/>
              </w:rPr>
            </w:pPr>
            <w:r>
              <w:rPr>
                <w:rFonts w:ascii="Arial" w:cs="Arial" w:eastAsia="Arial" w:hAnsi="Arial"/>
                <w:sz w:val="18"/>
                <w:szCs w:val="18"/>
                <w:color w:val="auto"/>
                <w:w w:val="97"/>
              </w:rPr>
              <w:t>Certification of Chief Executive Officer Pursuant to 18 U.S.C. Section 1350, as Adopted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280" w:type="dxa"/>
            <w:vAlign w:val="bottom"/>
            <w:gridSpan w:val="2"/>
          </w:tcPr>
          <w:p>
            <w:pPr>
              <w:ind w:left="460"/>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7280" w:type="dxa"/>
            <w:vAlign w:val="bottom"/>
            <w:gridSpan w:val="2"/>
          </w:tcPr>
          <w:p>
            <w:pPr>
              <w:ind w:left="460"/>
              <w:spacing w:after="0"/>
              <w:rPr>
                <w:sz w:val="20"/>
                <w:szCs w:val="20"/>
                <w:color w:val="auto"/>
              </w:rPr>
            </w:pPr>
            <w:r>
              <w:rPr>
                <w:rFonts w:ascii="Arial" w:cs="Arial" w:eastAsia="Arial" w:hAnsi="Arial"/>
                <w:sz w:val="18"/>
                <w:szCs w:val="18"/>
                <w:color w:val="auto"/>
                <w:w w:val="98"/>
              </w:rPr>
              <w:t>Certification of Chief Financial Officer Pursuant to 18 U.S.C. Section 1350, as Adopted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7280" w:type="dxa"/>
            <w:vAlign w:val="bottom"/>
            <w:gridSpan w:val="2"/>
          </w:tcPr>
          <w:p>
            <w:pPr>
              <w:ind w:left="460"/>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7280" w:type="dxa"/>
            <w:vAlign w:val="bottom"/>
            <w:gridSpan w:val="2"/>
          </w:tcPr>
          <w:p>
            <w:pPr>
              <w:ind w:left="51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3"/>
              </w:rPr>
              <w:t>Incorporated by Reference</w:t>
            </w:r>
          </w:p>
        </w:tc>
        <w:tc>
          <w:tcPr>
            <w:tcW w:w="3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6"/>
              </w:rPr>
              <w:t>Provided</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Exhibit</w:t>
            </w: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w:t>
            </w: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Form</w:t>
            </w:r>
          </w:p>
        </w:tc>
        <w:tc>
          <w:tcPr>
            <w:tcW w:w="30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2"/>
              </w:rPr>
              <w:t>File No.</w:t>
            </w:r>
          </w:p>
        </w:tc>
        <w:tc>
          <w:tcPr>
            <w:tcW w:w="3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2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Herewith</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780" w:space="300"/>
            <w:col w:w="334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20" w:type="dxa"/>
            <w:vAlign w:val="bottom"/>
            <w:gridSpan w:val="2"/>
          </w:tcPr>
          <w:p>
            <w:pPr>
              <w:ind w:left="3520"/>
              <w:spacing w:after="0"/>
              <w:rPr>
                <w:sz w:val="20"/>
                <w:szCs w:val="20"/>
                <w:color w:val="auto"/>
              </w:rPr>
            </w:pPr>
            <w:r>
              <w:rPr>
                <w:rFonts w:ascii="Arial" w:cs="Arial" w:eastAsia="Arial" w:hAnsi="Arial"/>
                <w:sz w:val="18"/>
                <w:szCs w:val="18"/>
                <w:b w:val="1"/>
                <w:bCs w:val="1"/>
                <w:color w:val="auto"/>
              </w:rPr>
              <w:t>RPX CORPORATION</w:t>
            </w:r>
          </w:p>
        </w:tc>
      </w:tr>
      <w:tr>
        <w:trPr>
          <w:trHeight w:val="228"/>
        </w:trPr>
        <w:tc>
          <w:tcPr>
            <w:tcW w:w="5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020" w:type="dxa"/>
            <w:vAlign w:val="bottom"/>
            <w:gridSpan w:val="2"/>
          </w:tcPr>
          <w:p>
            <w:pPr>
              <w:ind w:left="3520"/>
              <w:spacing w:after="0"/>
              <w:rPr>
                <w:sz w:val="20"/>
                <w:szCs w:val="20"/>
                <w:color w:val="auto"/>
              </w:rPr>
            </w:pPr>
            <w:r>
              <w:rPr>
                <w:rFonts w:ascii="Arial" w:cs="Arial" w:eastAsia="Arial" w:hAnsi="Arial"/>
                <w:sz w:val="18"/>
                <w:szCs w:val="18"/>
                <w:b w:val="1"/>
                <w:bCs w:val="1"/>
                <w:color w:val="auto"/>
              </w:rPr>
              <w:t>(Registrant)</w:t>
            </w:r>
          </w:p>
        </w:tc>
      </w:tr>
      <w:tr>
        <w:trPr>
          <w:trHeight w:val="407"/>
        </w:trPr>
        <w:tc>
          <w:tcPr>
            <w:tcW w:w="540" w:type="dxa"/>
            <w:vAlign w:val="bottom"/>
          </w:tcPr>
          <w:p>
            <w:pPr>
              <w:spacing w:after="0"/>
              <w:rPr>
                <w:sz w:val="20"/>
                <w:szCs w:val="20"/>
                <w:color w:val="auto"/>
              </w:rPr>
            </w:pPr>
            <w:r>
              <w:rPr>
                <w:rFonts w:ascii="Arial" w:cs="Arial" w:eastAsia="Arial" w:hAnsi="Arial"/>
                <w:sz w:val="18"/>
                <w:szCs w:val="18"/>
                <w:color w:val="auto"/>
                <w:w w:val="98"/>
              </w:rPr>
              <w:t>DATE:</w:t>
            </w: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14, 2011</w:t>
            </w:r>
          </w:p>
        </w:tc>
        <w:tc>
          <w:tcPr>
            <w:tcW w:w="9020" w:type="dxa"/>
            <w:vAlign w:val="bottom"/>
            <w:gridSpan w:val="2"/>
          </w:tcPr>
          <w:p>
            <w:pPr>
              <w:ind w:left="3520"/>
              <w:spacing w:after="0"/>
              <w:rPr>
                <w:sz w:val="20"/>
                <w:szCs w:val="20"/>
                <w:color w:val="auto"/>
              </w:rPr>
            </w:pPr>
            <w:r>
              <w:rPr>
                <w:rFonts w:ascii="Arial" w:cs="Arial" w:eastAsia="Arial" w:hAnsi="Arial"/>
                <w:sz w:val="18"/>
                <w:szCs w:val="18"/>
                <w:color w:val="auto"/>
              </w:rPr>
              <w:t>By: /s/ John A. Amster</w:t>
            </w:r>
          </w:p>
        </w:tc>
      </w:tr>
      <w:tr>
        <w:trPr>
          <w:trHeight w:val="21"/>
        </w:trPr>
        <w:tc>
          <w:tcPr>
            <w:tcW w:w="5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140" w:type="dxa"/>
            <w:vAlign w:val="bottom"/>
            <w:tcBorders>
              <w:bottom w:val="single" w:sz="8" w:color="auto"/>
            </w:tcBorders>
          </w:tcPr>
          <w:p>
            <w:pPr>
              <w:spacing w:after="0" w:line="20" w:lineRule="exact"/>
              <w:rPr>
                <w:sz w:val="1"/>
                <w:szCs w:val="1"/>
                <w:color w:val="auto"/>
              </w:rPr>
            </w:pPr>
          </w:p>
        </w:tc>
      </w:tr>
      <w:tr>
        <w:trPr>
          <w:trHeight w:val="215"/>
        </w:trPr>
        <w:tc>
          <w:tcPr>
            <w:tcW w:w="5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20" w:type="dxa"/>
            <w:vAlign w:val="bottom"/>
            <w:gridSpan w:val="2"/>
          </w:tcPr>
          <w:p>
            <w:pPr>
              <w:ind w:left="3520"/>
              <w:spacing w:after="0"/>
              <w:rPr>
                <w:sz w:val="20"/>
                <w:szCs w:val="20"/>
                <w:color w:val="auto"/>
              </w:rPr>
            </w:pPr>
            <w:r>
              <w:rPr>
                <w:rFonts w:ascii="Arial" w:cs="Arial" w:eastAsia="Arial" w:hAnsi="Arial"/>
                <w:sz w:val="18"/>
                <w:szCs w:val="18"/>
                <w:color w:val="auto"/>
              </w:rPr>
              <w:t>John A. Amster</w:t>
            </w:r>
          </w:p>
        </w:tc>
      </w:tr>
      <w:tr>
        <w:trPr>
          <w:trHeight w:val="222"/>
        </w:trPr>
        <w:tc>
          <w:tcPr>
            <w:tcW w:w="5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020" w:type="dxa"/>
            <w:vAlign w:val="bottom"/>
            <w:gridSpan w:val="2"/>
          </w:tcPr>
          <w:p>
            <w:pPr>
              <w:ind w:left="3520"/>
              <w:spacing w:after="0"/>
              <w:rPr>
                <w:sz w:val="20"/>
                <w:szCs w:val="20"/>
                <w:color w:val="auto"/>
              </w:rPr>
            </w:pPr>
            <w:r>
              <w:rPr>
                <w:rFonts w:ascii="Arial" w:cs="Arial" w:eastAsia="Arial" w:hAnsi="Arial"/>
                <w:sz w:val="18"/>
                <w:szCs w:val="18"/>
                <w:color w:val="auto"/>
              </w:rPr>
              <w:t>Chief Executive Officer and Director</w:t>
            </w: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-13970</wp:posOffset>
            </wp:positionV>
            <wp:extent cx="11753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753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By: /s/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10795</wp:posOffset>
            </wp:positionV>
            <wp:extent cx="32588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Adam C. Spiegel</w:t>
      </w:r>
    </w:p>
    <w:p>
      <w:pPr>
        <w:spacing w:after="0" w:line="9" w:lineRule="exact"/>
        <w:rPr>
          <w:sz w:val="20"/>
          <w:szCs w:val="20"/>
          <w:color w:val="auto"/>
        </w:rPr>
      </w:pPr>
    </w:p>
    <w:p>
      <w:pPr>
        <w:ind w:right="1960"/>
        <w:spacing w:after="0" w:line="261" w:lineRule="auto"/>
        <w:rPr>
          <w:sz w:val="20"/>
          <w:szCs w:val="20"/>
          <w:color w:val="auto"/>
        </w:rPr>
      </w:pPr>
      <w:r>
        <w:rPr>
          <w:rFonts w:ascii="Arial" w:cs="Arial" w:eastAsia="Arial" w:hAnsi="Arial"/>
          <w:sz w:val="18"/>
          <w:szCs w:val="18"/>
          <w:color w:val="auto"/>
        </w:rPr>
        <w:t>Chief Financial Officer and Senior Vice President, Finance</w:t>
      </w:r>
    </w:p>
    <w:p>
      <w:pPr>
        <w:sectPr>
          <w:pgSz w:w="11900" w:h="16838" w:orient="portrait"/>
          <w:cols w:equalWidth="0" w:num="2">
            <w:col w:w="5800" w:space="120"/>
            <w:col w:w="550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20" w:type="dxa"/>
            <w:vAlign w:val="bottom"/>
          </w:tcPr>
          <w:p>
            <w:pPr>
              <w:jc w:val="center"/>
              <w:ind w:left="2754"/>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2"/>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24"/>
                <w:szCs w:val="24"/>
                <w:color w:val="auto"/>
              </w:rPr>
            </w:pPr>
          </w:p>
        </w:tc>
        <w:tc>
          <w:tcPr>
            <w:tcW w:w="6720" w:type="dxa"/>
            <w:vAlign w:val="bottom"/>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tcPr>
          <w:p>
            <w:pPr>
              <w:spacing w:after="0"/>
              <w:rPr>
                <w:sz w:val="14"/>
                <w:szCs w:val="14"/>
                <w:color w:val="auto"/>
              </w:rPr>
            </w:pPr>
          </w:p>
        </w:tc>
        <w:tc>
          <w:tcPr>
            <w:tcW w:w="6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1"/>
              </w:rPr>
              <w:t>Certification of Chief Executive Officer Pursuant to Rule 13-14(a) of the Securities Exchange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Act of 1934 as Adopted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1"/>
              </w:rPr>
              <w:t>Certification of Chief Financial Officer Pursuant to Rule 13-14(a) of the Securities Exchange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Act of 1934 as Adopted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6"/>
              </w:rPr>
              <w:t>Certification of Chief Executive Officer Pursuant to 18 U.S.C. Section 1350, as Adopted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7"/>
              </w:rPr>
              <w:t>Certification of Chief Financial Officer Pursuant to 18 U.S.C. Section 1350, as Adopted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Pursuant to Section 906 of the Sarbanes-Oxley Act 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7160" w:type="dxa"/>
            <w:vAlign w:val="bottom"/>
            <w:gridSpan w:val="2"/>
          </w:tcPr>
          <w:p>
            <w:pPr>
              <w:jc w:val="right"/>
              <w:ind w:right="177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5"/>
              </w:rPr>
              <w:t>Incorporated by Reference</w:t>
            </w:r>
          </w:p>
        </w:tc>
        <w:tc>
          <w:tcPr>
            <w:tcW w:w="3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6"/>
              </w:rPr>
              <w:t>Provided</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4"/>
              </w:rPr>
              <w:t>Exhibit</w:t>
            </w:r>
          </w:p>
        </w:tc>
        <w:tc>
          <w:tcPr>
            <w:tcW w:w="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Filing</w:t>
            </w:r>
          </w:p>
        </w:tc>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Form</w:t>
            </w:r>
          </w:p>
        </w:tc>
        <w:tc>
          <w:tcPr>
            <w:tcW w:w="34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File No.</w:t>
            </w:r>
          </w:p>
        </w:tc>
        <w:tc>
          <w:tcPr>
            <w:tcW w:w="34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40" w:type="dxa"/>
            <w:vAlign w:val="bottom"/>
          </w:tcPr>
          <w:p>
            <w:pPr>
              <w:spacing w:after="0"/>
              <w:rPr>
                <w:sz w:val="14"/>
                <w:szCs w:val="14"/>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Herewith</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7660" w:space="300"/>
            <w:col w:w="3460"/>
          </w:cols>
          <w:pgMar w:left="240" w:top="459"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9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780" w:firstLine="1"/>
        <w:spacing w:after="0" w:line="357" w:lineRule="auto"/>
        <w:tabs>
          <w:tab w:leader="none" w:pos="1169"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10795</wp:posOffset>
            </wp:positionV>
            <wp:extent cx="25730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2011</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Adam C. Spiegel, certify that:</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5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20" w:right="20" w:firstLine="1"/>
        <w:spacing w:after="0" w:line="259" w:lineRule="auto"/>
        <w:tabs>
          <w:tab w:leader="none" w:pos="11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20" w:right="780" w:firstLine="1"/>
        <w:spacing w:after="0" w:line="357" w:lineRule="auto"/>
        <w:tabs>
          <w:tab w:leader="none" w:pos="1169"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920" w:right="260" w:firstLine="1"/>
        <w:spacing w:after="0" w:line="259" w:lineRule="auto"/>
        <w:tabs>
          <w:tab w:leader="none" w:pos="11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20" w:right="200" w:firstLine="1"/>
        <w:spacing w:after="0" w:line="268" w:lineRule="auto"/>
        <w:tabs>
          <w:tab w:leader="none" w:pos="11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20" w:right="160" w:firstLine="1"/>
        <w:spacing w:after="0" w:line="268" w:lineRule="auto"/>
        <w:tabs>
          <w:tab w:leader="none" w:pos="116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6327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 and Senior Vice President, Finance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2011</w:t>
      </w:r>
    </w:p>
    <w:p>
      <w:pPr>
        <w:sectPr>
          <w:pgSz w:w="11900" w:h="16838" w:orient="portrait"/>
          <w:cols w:equalWidth="0" w:num="1">
            <w:col w:w="11420"/>
          </w:cols>
          <w:pgMar w:left="240"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on Form 10-Q for the fiscal quarter ended March 31, 2011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A. Amster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2011</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RPX Corporation and will be retained by RPX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fiscal quarter ended March 31, 2011 of RPX Corporation (the “Company”) as filed with the Securities and Exchange Commission on the date hereof (the “Report”), I, Adam C. Spiegel, Chief Financial Officer and Senior Vice President, Finance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C. Spiegel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Chief Financial Officer and Senior Vice President, Finance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2011</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RPX Corporation and will be retained by RPX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9"/>
    </w:lvl>
  </w:abstractNum>
  <w:abstractNum w:abstractNumId="4">
    <w:nsid w:val="1F16E9E8"/>
    <w:multiLevelType w:val="hybridMultilevel"/>
    <w:lvl w:ilvl="0">
      <w:lvlJc w:val="left"/>
      <w:lvlText w:val="%1."/>
      <w:numFmt w:val="decimal"/>
      <w:start w:val="14"/>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2019-12-11T10:18:06Z</dcterms:created>
  <dcterms:modified xsi:type="dcterms:W3CDTF">2019-12-11T10:18:06Z</dcterms:modified>
</cp:coreProperties>
</file>