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59" w:lineRule="exact"/>
        <w:rPr>
          <w:sz w:val="24"/>
          <w:szCs w:val="24"/>
          <w:color w:val="auto"/>
        </w:rPr>
      </w:pPr>
    </w:p>
    <w:tbl>
      <w:tblPr>
        <w:tblLayout w:type="fixed"/>
        <w:tblInd w:w="19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5240" w:type="dxa"/>
            <w:vAlign w:val="bottom"/>
          </w:tcPr>
          <w:p>
            <w:pPr>
              <w:jc w:val="center"/>
              <w:ind w:right="1521"/>
              <w:spacing w:after="0"/>
              <w:rPr>
                <w:sz w:val="20"/>
                <w:szCs w:val="20"/>
                <w:color w:val="auto"/>
              </w:rPr>
            </w:pPr>
            <w:r>
              <w:rPr>
                <w:rFonts w:ascii="Arial" w:cs="Arial" w:eastAsia="Arial" w:hAnsi="Arial"/>
                <w:sz w:val="20"/>
                <w:szCs w:val="20"/>
                <w:b w:val="1"/>
                <w:bCs w:val="1"/>
                <w:color w:val="auto"/>
                <w:w w:val="89"/>
              </w:rPr>
              <w:t>Commission File Number: 001-35146</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606"/>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43"/>
                <w:szCs w:val="43"/>
                <w:b w:val="1"/>
                <w:bCs w:val="1"/>
                <w:color w:val="auto"/>
                <w:w w:val="95"/>
              </w:rPr>
              <w:t>RPX Corporation</w:t>
            </w:r>
          </w:p>
        </w:tc>
      </w:tr>
      <w:tr>
        <w:trPr>
          <w:trHeight w:val="261"/>
        </w:trPr>
        <w:tc>
          <w:tcPr>
            <w:tcW w:w="2000" w:type="dxa"/>
            <w:vAlign w:val="bottom"/>
          </w:tcPr>
          <w:p>
            <w:pPr>
              <w:spacing w:after="0"/>
              <w:rPr>
                <w:sz w:val="22"/>
                <w:szCs w:val="22"/>
                <w:color w:val="auto"/>
              </w:rPr>
            </w:pPr>
          </w:p>
        </w:tc>
        <w:tc>
          <w:tcPr>
            <w:tcW w:w="5240" w:type="dxa"/>
            <w:vAlign w:val="bottom"/>
          </w:tcPr>
          <w:p>
            <w:pPr>
              <w:jc w:val="center"/>
              <w:ind w:right="1501"/>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345"/>
        </w:trPr>
        <w:tc>
          <w:tcPr>
            <w:tcW w:w="200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tcPr>
          <w:p>
            <w:pPr>
              <w:jc w:val="center"/>
              <w:ind w:left="4001"/>
              <w:spacing w:after="0"/>
              <w:rPr>
                <w:sz w:val="20"/>
                <w:szCs w:val="20"/>
                <w:color w:val="auto"/>
              </w:rPr>
            </w:pPr>
            <w:r>
              <w:rPr>
                <w:rFonts w:ascii="Arial" w:cs="Arial" w:eastAsia="Arial" w:hAnsi="Arial"/>
                <w:sz w:val="18"/>
                <w:szCs w:val="18"/>
                <w:b w:val="1"/>
                <w:bCs w:val="1"/>
                <w:color w:val="auto"/>
                <w:w w:val="89"/>
              </w:rPr>
              <w:t>26-2990113</w:t>
            </w:r>
          </w:p>
        </w:tc>
      </w:tr>
      <w:tr>
        <w:trPr>
          <w:trHeight w:val="149"/>
        </w:trPr>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40" w:type="dxa"/>
            <w:vAlign w:val="bottom"/>
          </w:tcPr>
          <w:p>
            <w:pPr>
              <w:jc w:val="center"/>
              <w:ind w:left="40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240" w:type="dxa"/>
            <w:vAlign w:val="bottom"/>
          </w:tcPr>
          <w:p>
            <w:pPr>
              <w:jc w:val="center"/>
              <w:ind w:left="400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000" w:type="dxa"/>
            <w:vAlign w:val="bottom"/>
          </w:tcPr>
          <w:p>
            <w:pPr>
              <w:spacing w:after="0"/>
              <w:rPr>
                <w:sz w:val="24"/>
                <w:szCs w:val="24"/>
                <w:color w:val="auto"/>
              </w:rPr>
            </w:pPr>
          </w:p>
        </w:tc>
        <w:tc>
          <w:tcPr>
            <w:tcW w:w="5240" w:type="dxa"/>
            <w:vAlign w:val="bottom"/>
          </w:tcPr>
          <w:p>
            <w:pPr>
              <w:jc w:val="center"/>
              <w:ind w:right="1501"/>
              <w:spacing w:after="0"/>
              <w:rPr>
                <w:sz w:val="20"/>
                <w:szCs w:val="20"/>
                <w:color w:val="auto"/>
              </w:rPr>
            </w:pPr>
            <w:r>
              <w:rPr>
                <w:rFonts w:ascii="Arial" w:cs="Arial" w:eastAsia="Arial" w:hAnsi="Arial"/>
                <w:sz w:val="18"/>
                <w:szCs w:val="18"/>
                <w:b w:val="1"/>
                <w:bCs w:val="1"/>
                <w:color w:val="auto"/>
                <w:w w:val="99"/>
              </w:rPr>
              <w:t>ONE MARKET PLAZA, SUITE 800</w:t>
            </w:r>
          </w:p>
        </w:tc>
      </w:tr>
      <w:tr>
        <w:trPr>
          <w:trHeight w:val="212"/>
        </w:trPr>
        <w:tc>
          <w:tcPr>
            <w:tcW w:w="2000" w:type="dxa"/>
            <w:vAlign w:val="bottom"/>
          </w:tcPr>
          <w:p>
            <w:pPr>
              <w:spacing w:after="0"/>
              <w:rPr>
                <w:sz w:val="18"/>
                <w:szCs w:val="18"/>
                <w:color w:val="auto"/>
              </w:rPr>
            </w:pPr>
          </w:p>
        </w:tc>
        <w:tc>
          <w:tcPr>
            <w:tcW w:w="5240" w:type="dxa"/>
            <w:vAlign w:val="bottom"/>
          </w:tcPr>
          <w:p>
            <w:pPr>
              <w:jc w:val="center"/>
              <w:ind w:right="1521"/>
              <w:spacing w:after="0"/>
              <w:rPr>
                <w:sz w:val="20"/>
                <w:szCs w:val="20"/>
                <w:color w:val="auto"/>
              </w:rPr>
            </w:pPr>
            <w:r>
              <w:rPr>
                <w:rFonts w:ascii="Arial" w:cs="Arial" w:eastAsia="Arial" w:hAnsi="Arial"/>
                <w:sz w:val="18"/>
                <w:szCs w:val="18"/>
                <w:b w:val="1"/>
                <w:bCs w:val="1"/>
                <w:color w:val="auto"/>
                <w:w w:val="98"/>
              </w:rPr>
              <w:t>SAN FRANCISCO, CALIFORNIA 94105</w:t>
            </w:r>
          </w:p>
        </w:tc>
      </w:tr>
      <w:tr>
        <w:trPr>
          <w:trHeight w:val="186"/>
        </w:trPr>
        <w:tc>
          <w:tcPr>
            <w:tcW w:w="2000" w:type="dxa"/>
            <w:vAlign w:val="bottom"/>
          </w:tcPr>
          <w:p>
            <w:pPr>
              <w:spacing w:after="0"/>
              <w:rPr>
                <w:sz w:val="16"/>
                <w:szCs w:val="16"/>
                <w:color w:val="auto"/>
              </w:rPr>
            </w:pPr>
          </w:p>
        </w:tc>
        <w:tc>
          <w:tcPr>
            <w:tcW w:w="5240" w:type="dxa"/>
            <w:vAlign w:val="bottom"/>
          </w:tcPr>
          <w:p>
            <w:pPr>
              <w:jc w:val="center"/>
              <w:ind w:right="1521"/>
              <w:spacing w:after="0"/>
              <w:rPr>
                <w:sz w:val="20"/>
                <w:szCs w:val="20"/>
                <w:color w:val="auto"/>
              </w:rPr>
            </w:pPr>
            <w:r>
              <w:rPr>
                <w:rFonts w:ascii="Arial" w:cs="Arial" w:eastAsia="Arial" w:hAnsi="Arial"/>
                <w:sz w:val="14"/>
                <w:szCs w:val="14"/>
                <w:b w:val="1"/>
                <w:bCs w:val="1"/>
                <w:color w:val="auto"/>
                <w:w w:val="93"/>
              </w:rPr>
              <w:t>(Address of Principal Executive Offices and Zip Code)</w:t>
            </w: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64"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3" w:lineRule="exact"/>
        <w:rPr>
          <w:sz w:val="24"/>
          <w:szCs w:val="24"/>
          <w:color w:val="auto"/>
        </w:rPr>
      </w:pPr>
    </w:p>
    <w:p>
      <w:pPr>
        <w:sectPr>
          <w:pgSz w:w="11900" w:h="16838" w:orient="portrait"/>
          <w:cols w:equalWidth="0" w:num="4">
            <w:col w:w="2080" w:space="720"/>
            <w:col w:w="5100" w:space="720"/>
            <w:col w:w="1760" w:space="720"/>
            <w:col w:w="280"/>
          </w:cols>
          <w:pgMar w:left="240" w:top="233" w:right="27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2080" w:space="720"/>
            <w:col w:w="140" w:space="40"/>
            <w:col w:w="4920" w:space="720"/>
            <w:col w:w="1760" w:space="720"/>
            <w:col w:w="280"/>
          </w:cols>
          <w:pgMar w:left="240" w:top="233"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59" w:lineRule="exact"/>
        <w:rPr>
          <w:sz w:val="24"/>
          <w:szCs w:val="24"/>
          <w:color w:val="auto"/>
        </w:rPr>
      </w:pPr>
    </w:p>
    <w:p>
      <w:pPr>
        <w:sectPr>
          <w:pgSz w:w="11900" w:h="16838" w:orient="portrait"/>
          <w:cols w:equalWidth="0" w:num="4">
            <w:col w:w="7380" w:space="140"/>
            <w:col w:w="320" w:space="80"/>
            <w:col w:w="140" w:space="160"/>
            <w:col w:w="3160"/>
          </w:cols>
          <w:pgMar w:left="240" w:top="233" w:right="279" w:bottom="1440" w:gutter="0" w:footer="0" w:header="0"/>
          <w:type w:val="continuous"/>
        </w:sectPr>
      </w:pPr>
    </w:p>
    <w:p>
      <w:pPr>
        <w:spacing w:after="0"/>
        <w:rPr>
          <w:sz w:val="20"/>
          <w:szCs w:val="20"/>
          <w:color w:val="auto"/>
        </w:rPr>
      </w:pPr>
      <w:r>
        <w:rPr>
          <w:rFonts w:ascii="Arial" w:cs="Arial" w:eastAsia="Arial" w:hAnsi="Arial"/>
          <w:sz w:val="14"/>
          <w:szCs w:val="14"/>
          <w:color w:val="auto"/>
        </w:rPr>
        <w:t>There were 54,273,296 shares of the registrant’s common stock issued and outstanding as of April 30, 2015.</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2015 and December 31, 2014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2015 and 2014 (unaudited)</w:t>
              </w:r>
            </w:hyperlink>
          </w:p>
        </w:tc>
        <w:tc>
          <w:tcPr>
            <w:tcW w:w="114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Ended March 31, 2015 and 2014 (unaudited)</w:t>
              </w:r>
            </w:hyperlink>
          </w:p>
        </w:tc>
        <w:tc>
          <w:tcPr>
            <w:tcW w:w="2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2015 and 2014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6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10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rPr>
              <w:t>PART I. FINANCIAL INFORMATION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5"/>
              </w:rPr>
              <w:t>RPX Corporation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8"/>
              </w:rPr>
              <w:t>(in thousands)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1"/>
              </w:rPr>
              <w:t>(unaudited)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78,019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256,080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239,514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24,793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350,776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256,898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236,349</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690,967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642,064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gridSpan w:val="3"/>
            <w:vMerge w:val="continue"/>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4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152,602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133,316</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payment obligations</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148,448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184,101</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330,274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326,280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158,868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485,045</w:t>
            </w:r>
          </w:p>
        </w:tc>
        <w:tc>
          <w:tcPr>
            <w:tcW w:w="0" w:type="dxa"/>
            <w:vAlign w:val="bottom"/>
          </w:tcPr>
          <w:p>
            <w:pPr>
              <w:spacing w:after="0"/>
              <w:rPr>
                <w:sz w:val="1"/>
                <w:szCs w:val="1"/>
                <w:color w:val="auto"/>
              </w:rPr>
            </w:pPr>
          </w:p>
        </w:tc>
      </w:tr>
      <w:tr>
        <w:trPr>
          <w:trHeight w:val="25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5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690,967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642,064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80" w:type="dxa"/>
            <w:vAlign w:val="bottom"/>
            <w:gridSpan w:val="2"/>
            <w:vMerge w:val="restart"/>
          </w:tcPr>
          <w:p>
            <w:pPr>
              <w:ind w:left="860"/>
              <w:spacing w:after="0"/>
              <w:rPr>
                <w:sz w:val="20"/>
                <w:szCs w:val="20"/>
                <w:color w:val="auto"/>
              </w:rPr>
            </w:pPr>
            <w:r>
              <w:rPr>
                <w:rFonts w:ascii="Arial" w:cs="Arial" w:eastAsia="Arial" w:hAnsi="Arial"/>
                <w:sz w:val="18"/>
                <w:szCs w:val="18"/>
                <w:i w:val="1"/>
                <w:iCs w:val="1"/>
                <w:color w:val="auto"/>
                <w:w w:val="89"/>
              </w:rPr>
              <w:t>The accompanying notes are an integral part of these condensed consolidated financial</w:t>
            </w: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7080" w:type="dxa"/>
            <w:vAlign w:val="bottom"/>
            <w:gridSpan w:val="2"/>
            <w:vMerge w:val="continue"/>
          </w:tcPr>
          <w:p>
            <w:pPr>
              <w:spacing w:after="0"/>
              <w:rPr>
                <w:sz w:val="18"/>
                <w:szCs w:val="18"/>
                <w:color w:val="auto"/>
              </w:rPr>
            </w:pPr>
          </w:p>
        </w:tc>
        <w:tc>
          <w:tcPr>
            <w:tcW w:w="1480" w:type="dxa"/>
            <w:vAlign w:val="bottom"/>
            <w:gridSpan w:val="2"/>
          </w:tcPr>
          <w:p>
            <w:pPr>
              <w:jc w:val="right"/>
              <w:ind w:right="451"/>
              <w:spacing w:after="0"/>
              <w:rPr>
                <w:sz w:val="20"/>
                <w:szCs w:val="20"/>
                <w:color w:val="auto"/>
              </w:rPr>
            </w:pPr>
            <w:r>
              <w:rPr>
                <w:rFonts w:ascii="Arial" w:cs="Arial" w:eastAsia="Arial" w:hAnsi="Arial"/>
                <w:sz w:val="18"/>
                <w:szCs w:val="18"/>
                <w:i w:val="1"/>
                <w:iCs w:val="1"/>
                <w:color w:val="auto"/>
                <w:w w:val="98"/>
              </w:rPr>
              <w:t>statements.</w:t>
            </w: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jc w:val="center"/>
              <w:ind w:right="630"/>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28,920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15,713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15,812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5,952</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9,860</w:t>
            </w:r>
          </w:p>
        </w:tc>
      </w:tr>
      <w:tr>
        <w:trPr>
          <w:trHeight w:val="311"/>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in computing net income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30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54,175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52,803</w:t>
            </w:r>
          </w:p>
        </w:tc>
      </w:tr>
      <w:tr>
        <w:trPr>
          <w:trHeight w:val="251"/>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54,443</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Unrealized holding gains (losses) arising during the period</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gains (losses) on available-for-sale securities,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9,842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4"/>
          </w:tcPr>
          <w:p>
            <w:pPr>
              <w:jc w:val="right"/>
              <w:ind w:right="275"/>
              <w:spacing w:after="0"/>
              <w:rPr>
                <w:sz w:val="20"/>
                <w:szCs w:val="20"/>
                <w:color w:val="auto"/>
              </w:rPr>
            </w:pPr>
            <w:r>
              <w:rPr>
                <w:rFonts w:ascii="Arial" w:cs="Arial" w:eastAsia="Arial" w:hAnsi="Arial"/>
                <w:sz w:val="17"/>
                <w:szCs w:val="17"/>
                <w:b w:val="1"/>
                <w:bCs w:val="1"/>
                <w:color w:val="auto"/>
                <w:w w:val="97"/>
              </w:rPr>
              <w:t>Three Months Ended March 31,</w:t>
            </w:r>
          </w:p>
        </w:tc>
      </w:tr>
      <w:tr>
        <w:trPr>
          <w:trHeight w:val="31"/>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5"/>
              <w:spacing w:after="0"/>
              <w:rPr>
                <w:sz w:val="20"/>
                <w:szCs w:val="20"/>
                <w:color w:val="auto"/>
              </w:rPr>
            </w:pPr>
            <w:r>
              <w:rPr>
                <w:rFonts w:ascii="Arial" w:cs="Arial" w:eastAsia="Arial" w:hAnsi="Arial"/>
                <w:sz w:val="16"/>
                <w:szCs w:val="16"/>
                <w:color w:val="auto"/>
              </w:rPr>
              <w:t>18,031</w:t>
            </w:r>
          </w:p>
        </w:tc>
        <w:tc>
          <w:tcPr>
            <w:tcW w:w="100" w:type="dxa"/>
            <w:vAlign w:val="bottom"/>
          </w:tcPr>
          <w:p>
            <w:pPr>
              <w:spacing w:after="0"/>
              <w:rPr>
                <w:sz w:val="20"/>
                <w:szCs w:val="20"/>
                <w:color w:val="auto"/>
              </w:rPr>
            </w:pPr>
          </w:p>
        </w:tc>
        <w:tc>
          <w:tcPr>
            <w:tcW w:w="340" w:type="dxa"/>
            <w:vAlign w:val="bottom"/>
          </w:tcPr>
          <w:p>
            <w:pPr>
              <w:jc w:val="right"/>
              <w:ind w:right="136"/>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
              <w:spacing w:after="0"/>
              <w:rPr>
                <w:sz w:val="20"/>
                <w:szCs w:val="20"/>
                <w:color w:val="auto"/>
              </w:rPr>
            </w:pPr>
            <w:r>
              <w:rPr>
                <w:rFonts w:ascii="Arial" w:cs="Arial" w:eastAsia="Arial" w:hAnsi="Arial"/>
                <w:sz w:val="16"/>
                <w:szCs w:val="16"/>
                <w:color w:val="auto"/>
              </w:rPr>
              <w:t>9,860</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34,011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28,418</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3,802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(694)</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Deferred taxes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(893)</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Changes in assets and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25,406</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463</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467</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(2,601)</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2,791</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77,071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68,127</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(57,663)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(51,125)</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44,559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59,945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Increase in restricted cash</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Acquisitions of patent assets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(28,636)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(56,153)</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(47,759)</w:t>
            </w:r>
          </w:p>
        </w:tc>
      </w:tr>
      <w:tr>
        <w:trPr>
          <w:trHeight w:val="233"/>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deferred payment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 and other common stock issuances</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582</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694</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Repurchase of common stock</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6,256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375</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40,839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20,743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78,019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100,155</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118,858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120,898</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Change in patent assets purchased and accrued but not paid</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 in fixed assets purchased and accrued but not paid</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Change in other assets purchased and accrued but not paid</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Unpaid cash consideration for business acquisition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Nonmonetary exchange for investments</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5,935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In March 2014, the Company formed a reinsurance company to assume some portion of the underwriting risk on insurance policies that the Company issues on behalf of a Lloyd’s of London underwriting syndicate. The Company began placing new policies under the reinsurance model in May 2014. As of, and for the three months ended March 31, 2015, the effect of the insurance policies that the Company has issued or assumed through our reinsurance business was not material to the Company’s results of operations, financial condition or cash flows.</w:t>
      </w:r>
    </w:p>
    <w:p>
      <w:pPr>
        <w:spacing w:after="0" w:line="15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accompanying condensed consolidated balance sheet as of March 31, 2015, the condensed consolidated statements of operations, the condensed consolidated statements of comprehensive income and the condensed consolidated statements of cash flows for the three months ended March 31, 2015 and 2014, are unaudited. The condensed consolidated balance sheet as of December 31, 2014 was derived from the audited consolidated financial statements which are included in the Company’s Form 10-K for the fiscal year ended December 31, 2014, which was filed with the U.S. Securities and Exchange Commission (“SEC”) on March 2, 2015. The unaudited condensed consolidated financial statements should be read in conjunction with the audited financial statements and accompanying notes included in the Company’s Annual Report on Form 10-K for the year ended December 31, 2014.</w:t>
      </w:r>
    </w:p>
    <w:p>
      <w:pPr>
        <w:spacing w:after="0" w:line="16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months ended March 31, 2015 are not necessarily indicative of the results that may be expected for any subsequent interim period or for the year ending December 31, 2015.</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2016 and early adoption is not permitted. The Company is currently evaluating the impact of the adoption of ASU 2014-12 on its consolidated financial statements.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There have been no material changes to the Company’s significant accounting policies during the three months ended March 31, 2015,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March 2, 2015.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340" w:firstLine="446"/>
        <w:spacing w:after="0" w:line="259" w:lineRule="auto"/>
        <w:rPr>
          <w:sz w:val="20"/>
          <w:szCs w:val="20"/>
          <w:color w:val="auto"/>
        </w:rPr>
      </w:pPr>
      <w:r>
        <w:rPr>
          <w:rFonts w:ascii="Arial" w:cs="Arial" w:eastAsia="Arial" w:hAnsi="Arial"/>
          <w:sz w:val="18"/>
          <w:szCs w:val="18"/>
          <w:color w:val="auto"/>
        </w:rPr>
        <w:t>Basic and diluted net income per share are computed by dividing the net income by the weighted-average number of shares of common stock outstanding during the period. Diluted net income per share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 shares: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shares used in computing basic net income per common share</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52,803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shares used in computing basic net income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52,803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Dilutive effect of stock options and restricted stock units using the treasury-stock method</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shares used in computing diluted net income per common share</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54,443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798</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851"/>
        </w:trPr>
        <w:tc>
          <w:tcPr>
            <w:tcW w:w="8340" w:type="dxa"/>
            <w:vAlign w:val="bottom"/>
          </w:tcPr>
          <w:p>
            <w:pPr>
              <w:jc w:val="right"/>
              <w:ind w:right="2492"/>
              <w:spacing w:after="0"/>
              <w:rPr>
                <w:sz w:val="20"/>
                <w:szCs w:val="20"/>
                <w:color w:val="auto"/>
              </w:rPr>
            </w:pPr>
            <w:r>
              <w:rPr>
                <w:rFonts w:ascii="Arial" w:cs="Arial" w:eastAsia="Arial" w:hAnsi="Arial"/>
                <w:sz w:val="18"/>
                <w:szCs w:val="18"/>
                <w:color w:val="auto"/>
              </w:rPr>
              <w:t>6</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4"/>
              </w:rPr>
              <w:t>March 31, 2015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Amortized</w:t>
            </w:r>
          </w:p>
        </w:tc>
        <w:tc>
          <w:tcPr>
            <w:tcW w:w="220" w:type="dxa"/>
            <w:vAlign w:val="bottom"/>
          </w:tcPr>
          <w:p>
            <w:pPr>
              <w:spacing w:after="0"/>
              <w:rPr>
                <w:sz w:val="20"/>
                <w:szCs w:val="20"/>
                <w:color w:val="auto"/>
              </w:rPr>
            </w:pPr>
          </w:p>
        </w:tc>
        <w:tc>
          <w:tcPr>
            <w:tcW w:w="1900" w:type="dxa"/>
            <w:vAlign w:val="bottom"/>
            <w:gridSpan w:val="3"/>
          </w:tcPr>
          <w:p>
            <w:pPr>
              <w:jc w:val="right"/>
              <w:ind w:right="551"/>
              <w:spacing w:after="0"/>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1"/>
              </w:rPr>
              <w:t>Estimated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Gains</w:t>
            </w:r>
          </w:p>
        </w:tc>
        <w:tc>
          <w:tcPr>
            <w:tcW w:w="30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Losses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Fair Value</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16,599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16,599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16,599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48,556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110,314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70,276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56,403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56,410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56,410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252,435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252,410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251,725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Deferred payment obligation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December 31, 2014</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Amortized</w:t>
            </w:r>
          </w:p>
        </w:tc>
        <w:tc>
          <w:tcPr>
            <w:tcW w:w="220" w:type="dxa"/>
            <w:vAlign w:val="bottom"/>
          </w:tcPr>
          <w:p>
            <w:pPr>
              <w:spacing w:after="0"/>
              <w:rPr>
                <w:sz w:val="20"/>
                <w:szCs w:val="20"/>
                <w:color w:val="auto"/>
              </w:rPr>
            </w:pPr>
          </w:p>
        </w:tc>
        <w:tc>
          <w:tcPr>
            <w:tcW w:w="1900" w:type="dxa"/>
            <w:vAlign w:val="bottom"/>
            <w:gridSpan w:val="3"/>
          </w:tcPr>
          <w:p>
            <w:pPr>
              <w:jc w:val="right"/>
              <w:ind w:right="551"/>
              <w:spacing w:after="0"/>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1"/>
              </w:rPr>
              <w:t>Estimated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Gains</w:t>
            </w:r>
          </w:p>
        </w:tc>
        <w:tc>
          <w:tcPr>
            <w:tcW w:w="30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Losses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Fair Value</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9,609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120,270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120,282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120,282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68,758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68,672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68,672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48,062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239,621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239,514</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The Company's short-term investments in Level 2 equity securities are classified as held-to-maturity with the remainder of the Company's short-term investments classified as available-for-sale. Available-for-sale and held-to-maturity securities are reported at fair value, with unrealized gains and losses, net of tax, included as a separate component of stockholders’ equity within accumulated other comprehensive income (loss). Realized gains and losses on these securities are included in other income, net in the Company’s condensed consolidated statements of operations and have not been material for all periods presented.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900" w:firstLine="446"/>
        <w:spacing w:after="0" w:line="342" w:lineRule="auto"/>
        <w:rPr>
          <w:sz w:val="20"/>
          <w:szCs w:val="20"/>
          <w:color w:val="auto"/>
        </w:rPr>
      </w:pPr>
      <w:r>
        <w:rPr>
          <w:rFonts w:ascii="Arial" w:cs="Arial" w:eastAsia="Arial" w:hAnsi="Arial"/>
          <w:sz w:val="16"/>
          <w:szCs w:val="16"/>
          <w:color w:val="auto"/>
        </w:rPr>
        <w:t>The weighted-average remaining maturity of the Company’s financial assets and liabilities was less than one year as of March 31, 2015 and December 31, 2014. As of March 31, 2015, no individual securities incurred continuous unrealized losses for greater than 12 months.</w:t>
      </w:r>
    </w:p>
    <w:p>
      <w:pPr>
        <w:spacing w:after="0" w:line="124" w:lineRule="exact"/>
        <w:rPr>
          <w:sz w:val="20"/>
          <w:szCs w:val="20"/>
          <w:color w:val="auto"/>
        </w:rPr>
      </w:pPr>
    </w:p>
    <w:p>
      <w:pPr>
        <w:ind w:right="260" w:firstLine="446"/>
        <w:spacing w:after="0" w:line="342" w:lineRule="auto"/>
        <w:rPr>
          <w:sz w:val="20"/>
          <w:szCs w:val="20"/>
          <w:color w:val="auto"/>
        </w:rPr>
      </w:pPr>
      <w:r>
        <w:rPr>
          <w:rFonts w:ascii="Arial" w:cs="Arial" w:eastAsia="Arial" w:hAnsi="Arial"/>
          <w:sz w:val="16"/>
          <w:szCs w:val="16"/>
          <w:color w:val="auto"/>
        </w:rPr>
        <w:t>In connection with the Rockstar Transaction (see Note 9, "Commitments and Contingencies"), the Company received funding of $6.3 million from a syndicate participant. At March 31, 2015, the fair value of the loan from the syndicate participant was $4.4 million and was categorized as Level 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 Valuation Techniques</w:t>
      </w:r>
    </w:p>
    <w:p>
      <w:pPr>
        <w:spacing w:after="0" w:line="63" w:lineRule="exact"/>
        <w:rPr>
          <w:sz w:val="20"/>
          <w:szCs w:val="20"/>
          <w:color w:val="auto"/>
        </w:rPr>
      </w:pPr>
    </w:p>
    <w:p>
      <w:pPr>
        <w:jc w:val="both"/>
        <w:ind w:right="340" w:firstLine="446"/>
        <w:spacing w:after="0" w:line="264" w:lineRule="auto"/>
        <w:rPr>
          <w:sz w:val="20"/>
          <w:szCs w:val="20"/>
          <w:color w:val="auto"/>
        </w:rPr>
      </w:pPr>
      <w:r>
        <w:rPr>
          <w:rFonts w:ascii="Arial" w:cs="Arial" w:eastAsia="Arial" w:hAnsi="Arial"/>
          <w:sz w:val="18"/>
          <w:szCs w:val="18"/>
          <w:color w:val="auto"/>
        </w:rPr>
        <w:t>Level 3 financial liabilities consist of repayment obligations to a third party for which determination of fair value requires significant judgment and estimation. Changes in fair value measurement categorized within Level 3 of the fair value hierarchy are analyzed each period for changes in estimates or assumptions and recorded as appropriate.</w:t>
      </w:r>
    </w:p>
    <w:p>
      <w:pPr>
        <w:spacing w:after="0" w:line="18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The Company uses the Black-Scholes option valuation model to value certain Level 3 financial liabilities at inception and subsequent valuation dates. This model incorporates assumptions about details such as the value of underlying securities,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daily returns over the estimated period of time to take to settle the liability. The expected term of the liability is determined by the estimated settlement date of the liability. Changes in the values are recorded in the Company's statement of operations. As of March 31, 2015, there were no transfers in or out of Level 3 from other levels of the fair value hierarchy.</w:t>
      </w:r>
    </w:p>
    <w:p>
      <w:pPr>
        <w:spacing w:after="0" w:line="13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8"/>
                <w:szCs w:val="18"/>
                <w:color w:val="auto"/>
              </w:rPr>
            </w:pPr>
          </w:p>
        </w:tc>
        <w:tc>
          <w:tcPr>
            <w:tcW w:w="1360" w:type="dxa"/>
            <w:vAlign w:val="bottom"/>
          </w:tcPr>
          <w:p>
            <w:pPr>
              <w:jc w:val="right"/>
              <w:ind w:right="333"/>
              <w:spacing w:after="0"/>
              <w:rPr>
                <w:sz w:val="20"/>
                <w:szCs w:val="20"/>
                <w:color w:val="auto"/>
              </w:rPr>
            </w:pPr>
            <w:r>
              <w:rPr>
                <w:rFonts w:ascii="Arial" w:cs="Arial" w:eastAsia="Arial" w:hAnsi="Arial"/>
                <w:sz w:val="16"/>
                <w:szCs w:val="16"/>
                <w:b w:val="1"/>
                <w:bCs w:val="1"/>
                <w:color w:val="auto"/>
                <w:w w:val="95"/>
              </w:rPr>
              <w:t>Dispositions</w:t>
            </w: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665,290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718,865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(461,967)</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236,349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256,898</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March 31, 2015, the estimated economic useful lives of the Company’s patent assets generally ranged from 24 to 60 months. As of March 31, 2015, the weighted-average estimated economic useful life at the time of acquisition of all patents acquired since the Company’s inception was 45 months.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rPr>
              <w:t>As of March 31, 2015,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93,531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96,032</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14,106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256,898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was $33.1 million and $27.6 million for the three months ended March 31, 2015 and 2014, respectively.</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December 22, 2014, the Company and RPX Clearinghouse LLC (a wholly-owned subsidiary of the Company) entered into an Asset Purchase Agreement by and among Rockstar Consortium US LP, Rockstar Consortium LLC, Bockstar Technologies LLC, Constellation Technologies LLC, MobileStar Technologies LLC, and NetStar Technologies LLC (the “Sellers”), for the purchase of substantially all of the patent assets owned or controlled by the Sellers (the “Rockstar Transaction”), as well as other ancillary agreements, including but not limited to an Escrow Agreement by and among the Sellers, Citibank, N.A., acting as escrow agent, RPX</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Clearinghouse LLC and the Company (the “Escrow Agreement”). Upon the closing of the Rockstar Transaction, syndicate participants received non-exclusive licenses to the patent assets included in the Rockstar Transaction, and RPX Clearinghouse made the patent assets available for license to all other interested companies under fair, reasonable, and non-discriminatory terms. RPX Clearinghouse LLC paid the Sellers $25.0 million as a non-refundable deposit on December 26, 2014 upon the execution of the Asset Purchase Agreement. The third-party funding commitments described below were derived pursuant with the Escrow Agreement and the remaining closing conditions under the Asset Purchase Agreement were met on January 28, 2015 on which date the Rockstar Transaction was consummated and the Sellers received an additional payment of $875.0 million from escrow.</w:t>
      </w:r>
    </w:p>
    <w:p>
      <w:pPr>
        <w:spacing w:after="0" w:line="16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RPX Clearinghouse LLC received funding commitments for the Rockstar Transaction from a syndicate of more than 30 companies. The Company evaluated the contributions from syndicate members to determine whether they should be recorded on a gross or net basis. As a result, the Company accounted for these third-party funding commitments on a net basis as it acted as an agent to acquire patent rights from the Sellers on behalf of the syndicate who paid for such rights separately from a subscription agreement. The Company contributed approximately $29.0 million which was recorded as a patent asset upon closing of the Rockstar Transaction and is amortized over its estimated economic useful life of 60 months.</w:t>
      </w:r>
    </w:p>
    <w:p>
      <w:pPr>
        <w:spacing w:after="0" w:line="12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5,358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1,221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(5,212)</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was $0.5 million for both three month periods ended March 31, 2015 and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7.</w:t>
            </w:r>
          </w:p>
        </w:tc>
        <w:tc>
          <w:tcPr>
            <w:tcW w:w="2920" w:type="dxa"/>
            <w:vAlign w:val="bottom"/>
          </w:tcPr>
          <w:p>
            <w:pPr>
              <w:ind w:left="8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84"/>
        </w:trPr>
        <w:tc>
          <w:tcPr>
            <w:tcW w:w="420" w:type="dxa"/>
            <w:vAlign w:val="bottom"/>
          </w:tcPr>
          <w:p>
            <w:pPr>
              <w:spacing w:after="0"/>
              <w:rPr>
                <w:sz w:val="24"/>
                <w:szCs w:val="24"/>
                <w:color w:val="auto"/>
              </w:rPr>
            </w:pPr>
          </w:p>
        </w:tc>
        <w:tc>
          <w:tcPr>
            <w:tcW w:w="5660" w:type="dxa"/>
            <w:vAlign w:val="bottom"/>
            <w:gridSpan w:val="7"/>
          </w:tcPr>
          <w:p>
            <w:pPr>
              <w:ind w:left="40"/>
              <w:spacing w:after="0"/>
              <w:rPr>
                <w:sz w:val="20"/>
                <w:szCs w:val="20"/>
                <w:color w:val="auto"/>
              </w:rPr>
            </w:pPr>
            <w:r>
              <w:rPr>
                <w:rFonts w:ascii="Arial" w:cs="Arial" w:eastAsia="Arial" w:hAnsi="Arial"/>
                <w:sz w:val="18"/>
                <w:szCs w:val="18"/>
                <w:color w:val="auto"/>
              </w:rPr>
              <w:t>Intangible assets, net, consisted of the following (in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2"/>
        </w:trPr>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2015</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December 31, 2014</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3"/>
        </w:trPr>
        <w:tc>
          <w:tcPr>
            <w:tcW w:w="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w w:val="97"/>
              </w:rPr>
              <w:t>Net Carrying</w:t>
            </w:r>
          </w:p>
        </w:tc>
      </w:tr>
      <w:tr>
        <w:trPr>
          <w:trHeight w:val="210"/>
        </w:trPr>
        <w:tc>
          <w:tcPr>
            <w:tcW w:w="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1120" w:type="dxa"/>
            <w:vAlign w:val="bottom"/>
            <w:gridSpan w:val="2"/>
          </w:tcPr>
          <w:p>
            <w:pPr>
              <w:jc w:val="right"/>
              <w:ind w:right="250"/>
              <w:spacing w:after="0"/>
              <w:rPr>
                <w:sz w:val="20"/>
                <w:szCs w:val="20"/>
                <w:color w:val="auto"/>
              </w:rPr>
            </w:pPr>
            <w:r>
              <w:rPr>
                <w:rFonts w:ascii="Arial" w:cs="Arial" w:eastAsia="Arial" w:hAnsi="Arial"/>
                <w:sz w:val="16"/>
                <w:szCs w:val="16"/>
                <w:b w:val="1"/>
                <w:bCs w:val="1"/>
                <w:color w:val="auto"/>
              </w:rPr>
              <w:t>Amount</w:t>
            </w:r>
          </w:p>
        </w:tc>
      </w:tr>
      <w:tr>
        <w:trPr>
          <w:trHeight w:val="33"/>
        </w:trPr>
        <w:tc>
          <w:tcPr>
            <w:tcW w:w="334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Proprietary data and models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981</w:t>
            </w:r>
          </w:p>
        </w:tc>
      </w:tr>
      <w:tr>
        <w:trPr>
          <w:trHeight w:val="27"/>
        </w:trPr>
        <w:tc>
          <w:tcPr>
            <w:tcW w:w="3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Covenant not to compete</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1,562</w:t>
            </w:r>
          </w:p>
        </w:tc>
      </w:tr>
      <w:tr>
        <w:trPr>
          <w:trHeight w:val="27"/>
        </w:trPr>
        <w:tc>
          <w:tcPr>
            <w:tcW w:w="4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4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3,526</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8520" w:type="dxa"/>
            <w:vAlign w:val="bottom"/>
            <w:gridSpan w:val="14"/>
          </w:tcPr>
          <w:p>
            <w:pPr>
              <w:ind w:left="40"/>
              <w:spacing w:after="0"/>
              <w:rPr>
                <w:sz w:val="20"/>
                <w:szCs w:val="20"/>
                <w:color w:val="auto"/>
              </w:rPr>
            </w:pPr>
            <w:r>
              <w:rPr>
                <w:rFonts w:ascii="Arial" w:cs="Arial" w:eastAsia="Arial" w:hAnsi="Arial"/>
                <w:sz w:val="18"/>
                <w:szCs w:val="18"/>
                <w:color w:val="auto"/>
                <w:w w:val="92"/>
              </w:rPr>
              <w:t>As of March 31, 2015, the Company expects amortization expense in future periods to be as follows (in thousands):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33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c>
          <w:tcPr>
            <w:tcW w:w="540" w:type="dxa"/>
            <w:vAlign w:val="bottom"/>
          </w:tcPr>
          <w:p>
            <w:pPr>
              <w:spacing w:after="0"/>
              <w:rPr>
                <w:sz w:val="21"/>
                <w:szCs w:val="2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2016</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1,288</w:t>
            </w:r>
          </w:p>
        </w:tc>
        <w:tc>
          <w:tcPr>
            <w:tcW w:w="54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2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540" w:type="dxa"/>
            <w:vAlign w:val="bottom"/>
          </w:tcPr>
          <w:p>
            <w:pPr>
              <w:spacing w:after="0"/>
              <w:rPr>
                <w:sz w:val="23"/>
                <w:szCs w:val="23"/>
                <w:color w:val="auto"/>
              </w:rPr>
            </w:pPr>
          </w:p>
        </w:tc>
      </w:tr>
      <w:tr>
        <w:trPr>
          <w:trHeight w:val="257"/>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89"/>
              </w:rPr>
              <w:t>Total estimated future amortization expense</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3,095</w:t>
            </w:r>
          </w:p>
        </w:tc>
        <w:tc>
          <w:tcPr>
            <w:tcW w:w="540" w:type="dxa"/>
            <w:vAlign w:val="bottom"/>
          </w:tcPr>
          <w:p>
            <w:pPr>
              <w:spacing w:after="0"/>
              <w:rPr>
                <w:sz w:val="22"/>
                <w:szCs w:val="22"/>
                <w:color w:val="auto"/>
              </w:rPr>
            </w:pPr>
          </w:p>
        </w:tc>
      </w:tr>
      <w:tr>
        <w:trPr>
          <w:trHeight w:val="20"/>
        </w:trPr>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was $0.4 million and $0.3 million for the three months ended March 31, 2015 and 2014, respectively.</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4,987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14,257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97" w:lineRule="auto"/>
        <w:tabs>
          <w:tab w:leader="none" w:pos="50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Company generally does not enter into long-term minimum purchase commitments. Its principal long-term commitments consist of obligations under operating leases for office space. There were no substantial changes to the Company’s contractual obligations or commitments during the three months ended March 31, 2015 as compared to those presented under the heading “Commitments and Contingencies” in Note 12 of the Notes to Consolidated Financial Statements in Part II, Item 8 of the Company’s Annual Report on Form 10-K filed with the SEC on March 2, 2015.</w:t>
      </w:r>
    </w:p>
    <w:p>
      <w:pPr>
        <w:spacing w:after="0" w:line="17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Rent expense related to non-cancelable operating leases was $0.9 million for each of the three months ended March 31, 2015 and 2014, net of sublease income of $0.2 million and $0.1 million,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Payment Obligations</w:t>
      </w:r>
    </w:p>
    <w:p>
      <w:pPr>
        <w:spacing w:after="0" w:line="77"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In connection with the Rockstar Transaction (see Note 5, "Patent Assets, Net"), the Company acquired certain common stock, convertible preferred stock, and redeemable convertible preferred stock investments held by the Seller. To fund the acquisition of these securities, the Company received funding of $6.3 million from a syndicate participant and seller financing of $5.9 million. These amounts are considered loans in the Company's condensed consolidated balance sheets and are recorded as current liabilities as they are expected to be repaid within 12 months. The loan received from the syndicate participant bears no interest and is repayable upon the sale of the common stock and convertible preferred stock securities. The amount repayable under this loan is limited to the proceeds received from the sale of the common and convertible preferred stock securities, up to a maximum amount of $6.3 million. The Company has elected to carry this loan at fair value and changes are reported in other income, net in the Company's condensed consolidated statements of operations. At March 31, 2015, the fair value of the loan was $4.4 million and was categorized as a Level 3 due to the significance of unobservable inputs developed using company-specific information. A gain of $0.1 million was recognized in the condensed consolidated statement of operations during the three months ended March 31, 2015 as a result of the changes in fair value of this loan and corresponding securities.</w:t>
      </w:r>
    </w:p>
    <w:p>
      <w:pPr>
        <w:spacing w:after="0" w:line="23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loan received from the Seller is carried at cost, bears no interest, and is repayable upon redemption or conversion of the redeemable convertible preferred stock. At March 31, 2015, the loan was recorded at $5.9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March 31, 2015 or December 31, 2014.</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9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March 2014, the Court entered an order staying the litigation pending the resolution of related litigation in the U.S. District Court for the Northern District of Illinois, and has subsequently continued the stay until July 2015. We are not currently able to determine whether there is a reasonable possibility that a loss has been incurred, nor can we estimate the potential loss or range of the potential loss that may result from this litigation.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March 31, 2015 or December 31, 2014.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2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August 2012, the Company began offering insurance to cover certain costs of litigation brought against its insured clients by NPEs. As of March 31, 2015, the Company had a total of 57 active policies and had recorded a reserve of $0.9 million for known and incurred but not reported claims that represent estimated claim costs and related expenses.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regularly reviews its loss reserves using a variety of actuarial techniques and updates them as its loss experience develops.</w:t>
      </w:r>
    </w:p>
    <w:p>
      <w:pPr>
        <w:spacing w:after="0" w:line="192" w:lineRule="exact"/>
        <w:rPr>
          <w:sz w:val="20"/>
          <w:szCs w:val="20"/>
          <w:color w:val="auto"/>
        </w:rPr>
      </w:pPr>
    </w:p>
    <w:p>
      <w:pPr>
        <w:ind w:left="500" w:right="9260" w:hanging="492"/>
        <w:spacing w:after="0" w:line="350" w:lineRule="auto"/>
        <w:tabs>
          <w:tab w:leader="none" w:pos="5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60"/>
              <w:spacing w:after="0"/>
              <w:rPr>
                <w:sz w:val="20"/>
                <w:szCs w:val="20"/>
                <w:color w:val="auto"/>
              </w:rPr>
            </w:pPr>
            <w:r>
              <w:rPr>
                <w:rFonts w:ascii="Arial" w:cs="Arial" w:eastAsia="Arial" w:hAnsi="Arial"/>
                <w:sz w:val="16"/>
                <w:szCs w:val="16"/>
                <w:b w:val="1"/>
                <w:bCs w:val="1"/>
                <w:color w:val="auto"/>
              </w:rPr>
              <w:t>Options Outstanding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Shares Available</w:t>
            </w: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Aggregate</w:t>
            </w:r>
          </w:p>
        </w:tc>
      </w:tr>
      <w:tr>
        <w:trPr>
          <w:trHeight w:val="210"/>
        </w:trPr>
        <w:tc>
          <w:tcPr>
            <w:tcW w:w="46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for Grant</w:t>
            </w: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Exercise Price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2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2014</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2"/>
        </w:trPr>
        <w:tc>
          <w:tcPr>
            <w:tcW w:w="4620" w:type="dxa"/>
            <w:vAlign w:val="bottom"/>
          </w:tcPr>
          <w:p>
            <w:pPr>
              <w:ind w:left="160"/>
              <w:spacing w:after="0"/>
              <w:rPr>
                <w:sz w:val="20"/>
                <w:szCs w:val="20"/>
                <w:color w:val="auto"/>
              </w:rPr>
            </w:pPr>
            <w:r>
              <w:rPr>
                <w:rFonts w:ascii="Arial" w:cs="Arial" w:eastAsia="Arial" w:hAnsi="Arial"/>
                <w:sz w:val="18"/>
                <w:szCs w:val="18"/>
                <w:color w:val="auto"/>
              </w:rPr>
              <w:t>Shares authorized</w:t>
            </w:r>
            <w:r>
              <w:rPr>
                <w:rFonts w:ascii="Arial" w:cs="Arial" w:eastAsia="Arial" w:hAnsi="Arial"/>
                <w:sz w:val="18"/>
                <w:szCs w:val="18"/>
                <w:color w:val="auto"/>
                <w:vertAlign w:val="superscript"/>
              </w:rPr>
              <w:t>(1)</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8"/>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 withheld related to net-share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 of restricted stock units</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 March 31, 2015</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14,240</w:t>
            </w:r>
          </w:p>
        </w:tc>
      </w:tr>
      <w:tr>
        <w:trPr>
          <w:trHeight w:val="25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 March 31, 2015</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11,077</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8"/>
                <w:szCs w:val="18"/>
                <w:color w:val="auto"/>
              </w:rPr>
              <w:t>Vested and expected to vest - March 31, 2015</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13,896</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4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 March 2015, the Company reserved an additional 1,000,000 shares of its common stock for future issuance under the 2011 Plan.</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The aggregate intrinsic value of stock options exercised during the three months ended March 31, 2015 and 2014 was $1.6 million and $1.7 million, respectively. The total fair value of stock options vested during the three months ended March 31, 2015 and 2014 was $0.9 million and $1.7 million,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summary of restricted stock unit activity, which includes performance-based restricted stock units with a market condition (“PBRSUs”), is as follows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2014</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March 31, 2015</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43,435</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total fair value of restricted stock units (“RSUs”) vested during the three months ended March 31, 2015 and 2014 was $2.3 million and $2.4 million, respectively.</w:t>
      </w:r>
    </w:p>
    <w:p>
      <w:pPr>
        <w:spacing w:after="0" w:line="1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three months ended March 31, 2015, the Company withheld issuing 60,742 shares of its common stock based on the value of the RSUs on their vesting dates as determined by the Company’s closing common stock price. Total payments for employees’ minimum tax obligations to taxing authorities were $0.9 million for the three months ended March 31, 2015,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PBRSUs contain both service and market conditions that affect the quantity of awards that will vest. During the three months ended March 31, 2015 and 2014, the Company granted nil and 200,000 PBRSUs, respectively. The Company estimates the grant date fair value of PBRSUs using the Monte Carlo simulation model. The weighted-average assumptions used to estimate the fair value of PBRSUs and the resulting fair values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3380" w:type="dxa"/>
            <w:vAlign w:val="bottom"/>
            <w:gridSpan w:val="4"/>
          </w:tcPr>
          <w:p>
            <w:pPr>
              <w:ind w:left="58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0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040" w:type="dxa"/>
            <w:vAlign w:val="bottom"/>
          </w:tcPr>
          <w:p>
            <w:pPr>
              <w:spacing w:after="0"/>
              <w:rPr>
                <w:sz w:val="20"/>
                <w:szCs w:val="20"/>
                <w:color w:val="auto"/>
              </w:rPr>
            </w:pPr>
          </w:p>
        </w:tc>
        <w:tc>
          <w:tcPr>
            <w:tcW w:w="1600" w:type="dxa"/>
            <w:vAlign w:val="bottom"/>
          </w:tcPr>
          <w:p>
            <w:pPr>
              <w:ind w:left="6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2"/>
              <w:spacing w:after="0"/>
              <w:rPr>
                <w:sz w:val="20"/>
                <w:szCs w:val="20"/>
                <w:color w:val="auto"/>
              </w:rPr>
            </w:pPr>
            <w:r>
              <w:rPr>
                <w:rFonts w:ascii="Arial" w:cs="Arial" w:eastAsia="Arial" w:hAnsi="Arial"/>
                <w:sz w:val="16"/>
                <w:szCs w:val="16"/>
                <w:b w:val="1"/>
                <w:bCs w:val="1"/>
                <w:color w:val="auto"/>
              </w:rPr>
              <w:t>2014</w:t>
            </w:r>
          </w:p>
        </w:tc>
      </w:tr>
      <w:tr>
        <w:trPr>
          <w:trHeight w:val="33"/>
        </w:trPr>
        <w:tc>
          <w:tcPr>
            <w:tcW w:w="80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7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7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17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7.47</w:t>
            </w:r>
          </w:p>
        </w:tc>
      </w:tr>
    </w:tbl>
    <w:p>
      <w:pPr>
        <w:spacing w:after="0" w:line="229"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Stock-based compensation expense related to stock options granted to employees and directors was $0.7 million and $1.5 million for the three months ended March 31, 2015 and 2014, respectively. Stock-based compensation expense related to RSUs granted to employees and directors was $3.0 million and $2.2 million for the three months ended March 31, 2015 and 2014, respectively. Stock-based compensation expense related to PBRSUs granted to employees was $0.1 million and $0.2 million for the three months ended March 31, 2015 and 2014, respectively.</w:t>
      </w:r>
    </w:p>
    <w:p>
      <w:pPr>
        <w:spacing w:after="0" w:line="17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As of March 31, 2015, there was $3.2 million and $36.2 million of unrecognized compensation cost related to stock options and RSUs, including PBRSUs, respectively, which is expected to be recognized over a weighted-average period of 1.2 years and 3.0 years, respectively. Future grants of equity awards will increase the amount of stock-based compensation expense to be recorded.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February 10, 2015, the Company announced that its Board of Directors has authorized a share repurchase program under which the Company is authorized to repurchase up to $75.0 million of its outstanding common stock with no expiration date from the date of authorization. As of March 31, 2015, $0.3 million of the $75.0 million had been utilized. Under the program, shares may be purchased in open market transactions, including through block purchases, through privately negotiated transactions, or pursuant to any trading plan that may be adopted in accordance with Rule 10b5-1 of the Securities Exchange Act of 1934, as amended, or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during the period presented as follows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840" w:type="dxa"/>
            <w:vAlign w:val="bottom"/>
          </w:tcPr>
          <w:p>
            <w:pPr>
              <w:ind w:left="380"/>
              <w:spacing w:after="0"/>
              <w:rPr>
                <w:sz w:val="20"/>
                <w:szCs w:val="20"/>
                <w:color w:val="auto"/>
              </w:rPr>
            </w:pPr>
            <w:r>
              <w:rPr>
                <w:rFonts w:ascii="Arial" w:cs="Arial" w:eastAsia="Arial" w:hAnsi="Arial"/>
                <w:sz w:val="16"/>
                <w:szCs w:val="16"/>
                <w:b w:val="1"/>
                <w:bCs w:val="1"/>
                <w:color w:val="auto"/>
                <w:w w:val="90"/>
              </w:rPr>
              <w:t>Shares Repurchased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 Price per Share</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Value of Shares Repurchased</w:t>
            </w:r>
          </w:p>
        </w:tc>
      </w:tr>
      <w:tr>
        <w:trPr>
          <w:trHeight w:val="33"/>
        </w:trPr>
        <w:tc>
          <w:tcPr>
            <w:tcW w:w="4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Repurchase of shares of common stock</w:t>
            </w:r>
          </w:p>
        </w:tc>
        <w:tc>
          <w:tcPr>
            <w:tcW w:w="340" w:type="dxa"/>
            <w:vAlign w:val="bottom"/>
          </w:tcPr>
          <w:p>
            <w:pPr>
              <w:ind w:left="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287.8</w:t>
            </w:r>
          </w:p>
        </w:tc>
      </w:tr>
      <w:tr>
        <w:trPr>
          <w:trHeight w:val="27"/>
        </w:trPr>
        <w:tc>
          <w:tcPr>
            <w:tcW w:w="4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2015</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38% for each three months ended March 31, 2015 and 2014, respectively.</w:t>
      </w:r>
    </w:p>
    <w:p>
      <w:pPr>
        <w:spacing w:after="0" w:line="18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Company’s 2010 tax year is currently under examination by the State of California Franchise Tax Board. The Company does not expect a material impact on its consolidated financial statements as a result of this examination. The 2011 through 2013 tax periods remain open to examination by the Internal Revenue Service and the 2010 through 2013 tax periods remain open to examination by most state tax authorities. For the Company's foreign jurisdictions, the 2009 through 2013 tax years remain open to examination by their respective tax authorities.</w:t>
      </w:r>
    </w:p>
    <w:p>
      <w:pPr>
        <w:spacing w:after="0" w:line="34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300" w:firstLine="446"/>
        <w:spacing w:after="0" w:line="257" w:lineRule="auto"/>
        <w:rPr>
          <w:sz w:val="20"/>
          <w:szCs w:val="20"/>
          <w:color w:val="auto"/>
        </w:rPr>
      </w:pPr>
      <w:r>
        <w:rPr>
          <w:rFonts w:ascii="Arial" w:cs="Arial" w:eastAsia="Arial" w:hAnsi="Arial"/>
          <w:sz w:val="18"/>
          <w:szCs w:val="18"/>
          <w:color w:val="auto"/>
        </w:rPr>
        <w:t>During the three months ended March 31, 2015, five members of the Company’s Board of Directors also served on the boards of directors of RPX clients. During the three months ended March 31, 2014, four members of the Company’s Board of Directors also served on the boards of directors of RPX clients. The Company recognized subscription revenue from these clients in the amount of $2.4 million and $1.4 million for the three months ended March 31, 2015 and 2014, respectively. As of December 31, 2014, there was $0.1 million of receivables due from these clients. There were no receivables due from these clients on March 31, 2015.</w:t>
      </w:r>
    </w:p>
    <w:p>
      <w:pPr>
        <w:spacing w:after="0" w:line="14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8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w w:val="95"/>
              </w:rPr>
              <w:t>Three Months Ended March 31,</w:t>
            </w:r>
          </w:p>
        </w:tc>
        <w:tc>
          <w:tcPr>
            <w:tcW w:w="98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980" w:type="dxa"/>
            <w:vAlign w:val="bottom"/>
          </w:tcPr>
          <w:p>
            <w:pPr>
              <w:spacing w:after="0"/>
              <w:rPr>
                <w:sz w:val="20"/>
                <w:szCs w:val="20"/>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55,185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Japan</w:t>
            </w: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9,556</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57"/>
        </w:trPr>
        <w:tc>
          <w:tcPr>
            <w:tcW w:w="66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83,287</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61,888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46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40" w:type="dxa"/>
            <w:vAlign w:val="bottom"/>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March 2, 2015.</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March 2, 2015.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36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0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During the three months ended March 31, 2015, our revenue grew to $83.3 million from $61.9 million for the three months ended March 31, 2014. Our client count increased by 20 clients during the three months ended March 31, 2015, bringing our total client network to 224 as of March 31, 2015. At March 31, 2015, we had deferred revenue of $158.4 million.</w:t>
      </w:r>
    </w:p>
    <w:p>
      <w:pPr>
        <w:spacing w:after="0" w:line="18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three months ended March 31, 2015, we completed 24 acquisitions of patent assets and our gross and net acquisition spend totaled $924.7 million and $53.6 million, respectively. From our inception through March 31, 2015, we have completed 251 acquisitions of patent assets with gross and net acquisition spend of $1,839.6 million and $722.9 million, respectively.</w:t>
      </w:r>
    </w:p>
    <w:p>
      <w:pPr>
        <w:spacing w:after="0" w:line="193"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to better manage and mitigate the risk of NPE patent litigation. As of March 31, 2015, we had a total of 57 active insurance policies. The effect of the insurance policies that have been issued was not material to our results of operations or financial condition for the three months ended March 31, 2015 or 2014. In connection with an evolution of the way that we will sell insurance policies, during March 2014 we formed a reinsurance company to assume some portion of the underwriting risk on insurance policies that the we issue on behalf of a Lloyd’s of London underwriting syndicate. We began issuing new policies under the reinsurance model in May 2014. As of, and for the three months ended March 31,</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2015, the effect of the insurance policies issued under the reinsurance model was not material to our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Subscription revenue includes membership subscription services and premiums earned from insurance policies and management fees.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started to recognize insurance premium revenue from the insurance policies that we underwrite. As the primary insurer we had been recognizing the full insurance premium as revenue. In May 2014, we began offering a new insurance product and as a result now recognize only the portion of the underwriting risk that we assume. In addition, we receive management fees for marketing, underwriting, and claims management services. Although we expect this revenue to increase as we sell more policies in the future, for the three months ended March 31, 2015 and 2014, insurance premium revenue was not material to our results of operations.</w:t>
      </w:r>
    </w:p>
    <w:p>
      <w:pPr>
        <w:spacing w:after="0" w:line="3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recognize revenue from the sale of licenses and advisory fee income in connection with syndicated acquisitions, which we collectively refer to as fee-related revenue.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Cost of revenue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are expenses incurred to maintain our patents, prosecute our patent applications, conduct inter partes reviews and prior art searches, and amortization expenses for acquired intangible assets and internally developed software. With the launch of our insurance offering in August 2012, cost of revenue began to include premiums ceded to reinsurers and loss reserves. We began to issue new policies under the reinsurance model in May 2014 and as a result we will no longer be ceding premiums. We expect our cost of revenue to increase in the future as we add additional patent assets to our existing portfolio to support our existing and future clients and as our insurance business grows. Our cost of revenue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 average of 45 months.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net primarily consists of interest income earned on our cash, cash equivalents and short-term investments.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 likely than not that our deferred tax assets will be fully realized. Accordingly, we have not applied a valuation allowance against our net deferred tax assets.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months ended March 31, 2015, as compared to the critical accounting policies and estimates presented under the heading “Critical Accounting Policies and Estimates” in Part II, Item 7 of the Company’s Annual Report on Form 10-K filed with the SEC on March 2,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2016 and early adoption is not permitted. The Company is currently evaluating the impact of the adoption of ASU 2014-12 on its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28,920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15,713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15,812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5,952</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9,860</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 of operations data as a percentage of revenue.</w:t>
      </w:r>
    </w:p>
    <w:p>
      <w:pPr>
        <w:spacing w:after="0" w:line="185"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37465</wp:posOffset>
            </wp:positionV>
            <wp:extent cx="2023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ind w:left="8840"/>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2014</w:t>
            </w:r>
          </w:p>
        </w:tc>
      </w:tr>
      <w:tr>
        <w:trPr>
          <w:trHeight w:val="33"/>
        </w:trPr>
        <w:tc>
          <w:tcPr>
            <w:tcW w:w="8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47</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revenue for the three months ended March 31, 2015 was $83.3 million compared to $61.9 million during the same period a year prior, an increase of $21.4 million, or 35%. Subscription revenue, which includes membership subscription services and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premiums earned from insurance policies and management fees, for the three months ended March 31, 2015 was $66.2 million compared to $60.8 million for the three months ended March 31, 2014. The increase in subscription revenue was primarily attributable to an increase in membership fees and insurance premiums, which was comprised of $4.5 million from new clients who joined our network subsequent to March 31, 2014 and $0.9 million from clients who joined our network prior to March 31, 2014. As of March 31, 2015, we had a total client network of 224 companies as compared to 178 as of March 31, 2014.</w:t>
      </w:r>
    </w:p>
    <w:p>
      <w:pPr>
        <w:spacing w:after="0" w:line="6"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Revenue for the three months ended March 31, 2015 and 2014 included fee-related revenue of $17.0 million and $1.1 million, respectively. The increase in fee-related revenue was primarily attributable to the success fee earned in relation to a particularly large syndicated acquisition as well as the sale of perpetual licenses to this portfolio.</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cost of revenue for the three months ended March 31, 2015 was $34.8 million compared to $28.9 million during the same period a year prior, an increase of $5.9 million, or 20%. The increase was primarily attributable to a $5.5 million increase in patent amortization expense as a result of an increase in our patent assets, $0.3 million increase in expenses incurred to maintain and prosecute patents and patent applications included in our portfolio, and a $0.1 million increase in expenses incurred to conduct inter partes reviews and prior art searches.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selling, general and administrative expenses for the three months ended March 31, 2015 were $19.5 million compared to $17.3 million during the same period a year ago, an increase of $2.2 million, or 13%. The increase was primarily due to a $1.5 million increase in personnel-related costs primarily attributable to increasing our headcount to 151 employees as of March 31, 2015 as we continued to expand the parts of our organization that support our clients. The remaining increase was due to increases in general corporate expenses.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Our provision for income taxes was $11.2 million and $6.0 million for the three months ended March 31, 2015 and 2014, respectively. Our effective tax rate, including the impact of discrete benefit items, was 38% for each of the three months ended March 31, 2015 and 2014,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We have financed substantially all of our operations and patent asset acquisitions through the sale of equity securities, subscription and other fees collected from our clients, and patent-seller financing. As of March 31, 2015, we had $118.9 million of cash and cash equivalents and $256.1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We expect our cash used in investing activities to increase in the future as we acquire additional patent assets. We expect our cash used in financing activities to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(47,759)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40,839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20,743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operating activities for the three months ended March 31, 2015 was $77.1 million, consisting of adjustments for non-cash items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$38.3 million, changes in working capital and non-current assets and liabilities of $20.8 million and net income of $18.0 million. Non-cash adjustments to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primarily consisted of $34.0 million of depreciation and amortization, $3.9 million of stock-based compensation, $1.4 million of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on investments, a reduction of $0.3 million due to excess tax benefit from stock-based compensation and a $0.7 million net increase in our deferred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taxes. The change in working capital and non-current assets and liabilities resulted primarily from a $9.4 million decrease in accounts receivable, $22.1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increase 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deferred revenue, a $1.3 million increase in accounts payable, partially offset by a $5.3 million increase in prepaid expenses and other assets and a $6.8 million decrease in our accrued and other liabilities. The decrease in accounts receivable was due to $104.6 million in cash collections, partially offset by billings to new and existing clients of $95.2 million. The increase in deferred revenue was due to revenue recognized during the period of $67.0 million, partially offset by $89.1 million in billings to new and existing clients. The amount of deferred revenue in any given period varies with the addition of new clients, the mix of payment terms that we offer and the timing of invoicing existing clients.</w:t>
      </w:r>
    </w:p>
    <w:p>
      <w:pPr>
        <w:spacing w:after="0" w:line="240"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Cash provided by operating activities for the three months ended March 31, 2014 was $68.1 million, consisting of adjustments for non-cash items of $31.7 million, changes in working capital and non-current assets and liabilities of $26.5 million and net income of $9.9 million. Non-cash adjustments to net income primarily consisted of $28.4 million of depreciation and amortization, $3.8 million of stock-based compensation, $1.6 million of amortization of premium on investments, a $0.9 million net decrease in our deferred tax liabilities and a reduction of $0.7 million due to excess tax benefit from stock-based compensation. The change in working capital and non-current assets and liabilities resulted primarily from a $25.4 million decrease in accounts receivable, a $2.8 million increase in deferred revenue, a $0.5 million decrease in prepaid expenses and other assets and a $0.5 million increase in accounts payable, partially offset by a $2.6 million decrease in our accrued and other liabilities. The decrease in accounts receivable was due to $89.2 million in cash collections and was partially offset by billings to new and existing clients of $63.8 million. The increase in deferred revenue was due to $63.8 million in billings to new and existing clients and was partially offset by revenue and other adjustments recognized during the period of $61.0 million. The amount of deferred revenue in any given period varies with the addition of new clients, the mix of payment terms that we offer and the timing of invoicing existing clients.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2015 was $42.5 million, of which $28.6 million was used to acquire patent assets, $13.1 million represented net purchases of short-term marketable securities, increase in restricted cash of $0.2 million, and $0.5 million was used to acquire property and equipment.</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2014 was $47.8 million, of which $56.2 million was used to acquire patent assets and $0.4 million was used to acquire property and equipment. This was partially offset by $8.8 million in proceeds from net maturities of short-term marketable securities.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Cash provided by financing activities for the three months ended March 31, 2015 was $6.3 million, of which $6.3 million was result of proceeds from deferred benefit obligations, $0.7 million was the result of proceeds from the exercise of stock options and other common stock issuances, and $0.3 million was due to excess tax benefit from stock-based compensation. This cash inflow was partially offset by $0.9 million in taxes paid related to net-share settlements of restricted stock units and $0.1 million used to repurchase our common stock under our share repurchase program.</w:t>
      </w:r>
    </w:p>
    <w:p>
      <w:pPr>
        <w:spacing w:after="0" w:line="23"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Cash provided by financing activities for the three months ended March 31, 2014 was $0.4 million, the result of excess tax benefit from stock-based compensation of $0.7 million and proceeds from the exercise of stock options and other common stock issuances of $0.6 million. This increase was partially offset by $0.9 million in taxes paid related to net-share settlements of restricted stock units.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7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generally do not enter into long-term minimum purchase commitments. Our principal long-term commitments consist of obligations under operating leases for office space. There were no substantial changes to our contractual obligations and commitments during the three months ended March 31, 2015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March 2, 2015.</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In February 2015, our Board of Directors authorized the repurchase of up to $75.0 million of our outstanding shares of common stock. As part of the share repurchase program, shares may be purchased in open market transactions, including through block purchases, through privately negotiated transactions, or pursuant to any trading plan that may be adopted in accordance with Rule 10b5-1 of the Securities Exchange Act of 1934, as amended, or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Act Rule 10b-18, which sets certain restrictions on the method, timing, price and volume of open market stock repurchases. As of March 31, 2015, we repurchased 20,000 shares of common stock in the open market for $0.3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At March 31, 2015,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 is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$374.9 million as of March 31, 2015.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As of March 31, 2015, our short-term investments of $256.1 million were primarily invested in municipal and corporate bonds maturing between 90 days and 12 months, U.S. government and agency securities, commercial paper, and equity securities. As of March 31, 2015, our investments were classified as available-for-sale and held-to-maturity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March 31, 2015, we had not recorded an impairment related to our investments in the condensed consolidated statement of operations.</w:t>
      </w:r>
    </w:p>
    <w:p>
      <w:pPr>
        <w:spacing w:after="0" w:line="17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If overall interest rates had changed by 10% during the three months ended March 31, 2015, the fair value of our investments would not have been materially affected.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results of operations for the three months ended March 31, 2015. There can be no assurance that future inflation will not have an adverse impact on our consolidated results of operations or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2015, our Chief Executive Officer and Chief Financial Officer concluded that, as of such date, the Company’s disclosure controls and procedures were effective at the reasonable assurance level.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2015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Refer to Note 9,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lower subscription fees from clients whose annual subscription fees decrease due to declining operating income or revenue of such clients;</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100" w:hanging="326"/>
        <w:spacing w:after="0" w:line="325"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78"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If the market for our solution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March 31, 2015 was 2.6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cards to the combined entity rather than to each entity separately. Any reduction in subscription fees could harm our business and operating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are investing management time and financial resources in the development of products designed to provide insurance against some of the costs resulting from NPE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8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22"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22"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For example, in August 2012 we formed a risk retention group which issues insurance policies to cover the costs of NPE patent claims, and in March 2014 we formed a reinsurance company to bear some underwriting risk on insurance policies that the Company issues on behalf of a Lloyd’s of London underwriting syndicate. We began placing new policies under the reinsurance model in May 2014.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65"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NPE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in June 2014 we acquired DCML Services Corporation, a provider of data, intelligence and consulting on NPEs.</w:t>
      </w:r>
    </w:p>
    <w:p>
      <w:pPr>
        <w:spacing w:after="0" w:line="187"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acquire or invest in other companies or technologies, which could divert our management’s attention, result in additional dilution to our stockholders and otherwise disrupt our operations and harm our operating results.</w:t>
      </w:r>
    </w:p>
    <w:p>
      <w:pPr>
        <w:spacing w:after="0" w:line="22"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67"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three months ended March 31, 2015, our 10 highest revenue-generating clients accounted for approximately 32%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8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22"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incur significant increased costs that may adversely affect our operating results and financial condition.</w:t>
      </w:r>
    </w:p>
    <w:p>
      <w:pPr>
        <w:spacing w:after="0" w:line="77"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 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or as executive officers.</w:t>
      </w:r>
    </w:p>
    <w:p>
      <w:pPr>
        <w:spacing w:after="0" w:line="167"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87"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520" w:firstLine="446"/>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NPE insurance product.</w:t>
      </w:r>
    </w:p>
    <w:p>
      <w:pPr>
        <w:spacing w:after="0" w:line="77"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In May 2014, we began offering an “A” rated NPE insurance product. If we are unable to maintain our relationship with one or more “A” rated insurance companies, we may be unable to continue offering an “A” rated NPE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right="240" w:firstLine="446"/>
        <w:spacing w:after="0" w:line="255" w:lineRule="auto"/>
        <w:rPr>
          <w:sz w:val="20"/>
          <w:szCs w:val="20"/>
          <w:color w:val="auto"/>
        </w:rPr>
      </w:pPr>
      <w:r>
        <w:rPr>
          <w:rFonts w:ascii="Arial" w:cs="Arial" w:eastAsia="Arial" w:hAnsi="Arial"/>
          <w:sz w:val="18"/>
          <w:szCs w:val="18"/>
          <w:color w:val="auto"/>
        </w:rPr>
        <w:t>As of December 31, 2014, we had secured quota share reinsurance from third party reinsurers for 50%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25"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80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2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As of March 31, 2015, some of our existing stockholders have demand and piggyback rights to require us to register with the SEC approximately 1,400,000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In February of 2015, our board of directors approved a share repurchase program of up to $75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2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939"/>
        </w:trPr>
        <w:tc>
          <w:tcPr>
            <w:tcW w:w="6440" w:type="dxa"/>
            <w:vAlign w:val="bottom"/>
            <w:gridSpan w:val="5"/>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4"/>
        </w:trPr>
        <w:tc>
          <w:tcPr>
            <w:tcW w:w="8140" w:type="dxa"/>
            <w:vAlign w:val="bottom"/>
            <w:gridSpan w:val="8"/>
          </w:tcPr>
          <w:p>
            <w:pPr>
              <w:ind w:left="500"/>
              <w:spacing w:after="0"/>
              <w:rPr>
                <w:sz w:val="20"/>
                <w:szCs w:val="20"/>
                <w:color w:val="auto"/>
              </w:rPr>
            </w:pPr>
            <w:r>
              <w:rPr>
                <w:rFonts w:ascii="Arial" w:cs="Arial" w:eastAsia="Arial" w:hAnsi="Arial"/>
                <w:sz w:val="18"/>
                <w:szCs w:val="18"/>
                <w:color w:val="auto"/>
              </w:rPr>
              <w:t>Stock repurchase activity during the three months ended March 31, 2015 was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27"/>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24"/>
                <w:szCs w:val="24"/>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Number of</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28, 2015</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7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74,712,200</w:t>
            </w:r>
          </w:p>
        </w:tc>
      </w:tr>
      <w:tr>
        <w:trPr>
          <w:trHeight w:val="237"/>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7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74,712,200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33" w:lineRule="exact"/>
        <w:rPr>
          <w:sz w:val="20"/>
          <w:szCs w:val="20"/>
          <w:color w:val="auto"/>
        </w:rPr>
      </w:pPr>
    </w:p>
    <w:p>
      <w:pPr>
        <w:ind w:right="200" w:firstLine="8"/>
        <w:spacing w:after="0" w:line="271" w:lineRule="auto"/>
        <w:tabs>
          <w:tab w:leader="none" w:pos="192"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On February 10, 2015, the Company announced that its Board of Directors has authorized a share repurchase program under which the Company is authorized to repurchase up to $75.0 million of its outstanding common stock with no expiration date from the date of authorization. As of March 31, 2015, $0.3 million of the $75.0 million had been utilized. Under the program, shares may be repurchased in privately negotiated and/or open market transactions, including under plans complying with Rule 10b5-1 under the Securities Exchange Act of 1934, as amended (the “Exchange Act”). The Company’s share repurchase program does not obligate it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-708025</wp:posOffset>
            </wp:positionV>
            <wp:extent cx="4339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3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8"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w:t>
            </w:r>
          </w:p>
        </w:tc>
        <w:tc>
          <w:tcPr>
            <w:tcW w:w="5040" w:type="dxa"/>
            <w:vAlign w:val="bottom"/>
          </w:tcPr>
          <w:p>
            <w:pPr>
              <w:ind w:left="40"/>
              <w:spacing w:after="0"/>
              <w:rPr>
                <w:sz w:val="20"/>
                <w:szCs w:val="20"/>
                <w:color w:val="auto"/>
              </w:rPr>
            </w:pPr>
            <w:r>
              <w:rPr>
                <w:rFonts w:ascii="Arial" w:cs="Arial" w:eastAsia="Arial" w:hAnsi="Arial"/>
                <w:sz w:val="14"/>
                <w:szCs w:val="14"/>
                <w:color w:val="auto"/>
                <w:w w:val="97"/>
              </w:rPr>
              <w:t>Asset Purchase Agreement (Redacted), dated December 22, 2014, by and among</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Rockstar Consortium US LP, Rockstar Consortium LLC, Bockstar Technologies</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LLC, Constellation Technologies LLC, MobileStar Technologies LLC, NetStar</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Technologies LLC, RPX Clearinghouse LLC, and the Registrant</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8-K/A</w:t>
            </w:r>
          </w:p>
        </w:tc>
        <w:tc>
          <w:tcPr>
            <w:tcW w:w="1020" w:type="dxa"/>
            <w:vAlign w:val="bottom"/>
          </w:tcPr>
          <w:p>
            <w:pPr>
              <w:ind w:left="20"/>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4/9/2015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194" w:lineRule="exact"/>
        <w:rPr>
          <w:sz w:val="20"/>
          <w:szCs w:val="20"/>
          <w:color w:val="auto"/>
        </w:rPr>
      </w:pPr>
    </w:p>
    <w:p>
      <w:pPr>
        <w:sectPr>
          <w:pgSz w:w="11900" w:h="16838" w:orient="portrait"/>
          <w:cols w:equalWidth="0" w:num="2">
            <w:col w:w="6200" w:space="120"/>
            <w:col w:w="5100"/>
          </w:cols>
          <w:pgMar w:left="240" w:top="125" w:right="239" w:bottom="1440" w:gutter="0" w:footer="0" w:header="0"/>
        </w:sectPr>
      </w:pPr>
    </w:p>
    <w:p>
      <w:pPr>
        <w:spacing w:after="0"/>
        <w:rPr>
          <w:sz w:val="20"/>
          <w:szCs w:val="20"/>
          <w:color w:val="auto"/>
        </w:rPr>
      </w:pPr>
      <w:r>
        <w:rPr>
          <w:rFonts w:ascii="Arial" w:cs="Arial" w:eastAsia="Arial" w:hAnsi="Arial"/>
          <w:sz w:val="11"/>
          <w:szCs w:val="11"/>
          <w:color w:val="auto"/>
        </w:rPr>
        <w:t>† Portions of this exhibit have been omitted and filed separately with the Securities and Exchange Commission pursuant to a request for confidential treatment.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920" w:type="dxa"/>
            <w:vAlign w:val="bottom"/>
            <w:gridSpan w:val="3"/>
          </w:tcPr>
          <w:p>
            <w:pPr>
              <w:ind w:left="1840"/>
              <w:spacing w:after="0"/>
              <w:rPr>
                <w:sz w:val="20"/>
                <w:szCs w:val="20"/>
                <w:color w:val="auto"/>
              </w:rPr>
            </w:pPr>
            <w:r>
              <w:rPr>
                <w:rFonts w:ascii="Arial" w:cs="Arial" w:eastAsia="Arial" w:hAnsi="Arial"/>
                <w:sz w:val="18"/>
                <w:szCs w:val="18"/>
                <w:color w:val="auto"/>
              </w:rPr>
              <w:t>RPX CORPORATION</w:t>
            </w:r>
          </w:p>
        </w:tc>
      </w:tr>
      <w:tr>
        <w:trPr>
          <w:trHeight w:val="270"/>
        </w:trPr>
        <w:tc>
          <w:tcPr>
            <w:tcW w:w="3280" w:type="dxa"/>
            <w:vAlign w:val="bottom"/>
          </w:tcPr>
          <w:p>
            <w:pPr>
              <w:spacing w:after="0"/>
              <w:rPr>
                <w:sz w:val="23"/>
                <w:szCs w:val="23"/>
                <w:color w:val="auto"/>
              </w:rPr>
            </w:pPr>
          </w:p>
        </w:tc>
        <w:tc>
          <w:tcPr>
            <w:tcW w:w="286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c>
          <w:tcPr>
            <w:tcW w:w="4060" w:type="dxa"/>
            <w:vAlign w:val="bottom"/>
          </w:tcPr>
          <w:p>
            <w:pPr>
              <w:spacing w:after="0"/>
              <w:rPr>
                <w:sz w:val="23"/>
                <w:szCs w:val="23"/>
                <w:color w:val="auto"/>
              </w:rPr>
            </w:pPr>
          </w:p>
        </w:tc>
      </w:tr>
      <w:tr>
        <w:trPr>
          <w:trHeight w:val="594"/>
        </w:trPr>
        <w:tc>
          <w:tcPr>
            <w:tcW w:w="3280" w:type="dxa"/>
            <w:vAlign w:val="bottom"/>
          </w:tcPr>
          <w:p>
            <w:pPr>
              <w:spacing w:after="0"/>
              <w:rPr>
                <w:sz w:val="20"/>
                <w:szCs w:val="20"/>
                <w:color w:val="auto"/>
              </w:rPr>
            </w:pPr>
            <w:r>
              <w:rPr>
                <w:rFonts w:ascii="Arial" w:cs="Arial" w:eastAsia="Arial" w:hAnsi="Arial"/>
                <w:sz w:val="18"/>
                <w:szCs w:val="18"/>
                <w:color w:val="auto"/>
              </w:rPr>
              <w:t>Date:  May 7, 2015</w:t>
            </w:r>
          </w:p>
        </w:tc>
        <w:tc>
          <w:tcPr>
            <w:tcW w:w="28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JOHN A. AMSTER</w:t>
            </w:r>
          </w:p>
        </w:tc>
      </w:tr>
      <w:tr>
        <w:trPr>
          <w:trHeight w:val="27"/>
        </w:trPr>
        <w:tc>
          <w:tcPr>
            <w:tcW w:w="3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John A. Amster</w:t>
            </w:r>
          </w:p>
        </w:tc>
      </w:tr>
      <w:tr>
        <w:trPr>
          <w:trHeight w:val="270"/>
        </w:trPr>
        <w:tc>
          <w:tcPr>
            <w:tcW w:w="32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2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280" w:type="dxa"/>
            <w:vAlign w:val="bottom"/>
          </w:tcPr>
          <w:p>
            <w:pPr>
              <w:spacing w:after="0"/>
              <w:rPr>
                <w:sz w:val="20"/>
                <w:szCs w:val="20"/>
                <w:color w:val="auto"/>
              </w:rPr>
            </w:pPr>
            <w:r>
              <w:rPr>
                <w:rFonts w:ascii="Arial" w:cs="Arial" w:eastAsia="Arial" w:hAnsi="Arial"/>
                <w:sz w:val="18"/>
                <w:szCs w:val="18"/>
                <w:color w:val="auto"/>
              </w:rPr>
              <w:t>Date:  May 7, 2015</w:t>
            </w:r>
          </w:p>
        </w:tc>
        <w:tc>
          <w:tcPr>
            <w:tcW w:w="28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ROBERT HEATH</w:t>
            </w:r>
          </w:p>
        </w:tc>
      </w:tr>
      <w:tr>
        <w:trPr>
          <w:trHeight w:val="27"/>
        </w:trPr>
        <w:tc>
          <w:tcPr>
            <w:tcW w:w="3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Robert Heath</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80"/>
          </w:cols>
          <w:pgMar w:left="240" w:top="125" w:right="8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Heath, certify that:</w:t>
      </w:r>
    </w:p>
    <w:p>
      <w:pPr>
        <w:spacing w:after="0" w:line="90" w:lineRule="exact"/>
        <w:rPr>
          <w:sz w:val="20"/>
          <w:szCs w:val="20"/>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March 31, 2015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March 31, 2015 of RPX Corporation, (the “Company”) as filed with the Securities and Exchange Commission on the date hereof (the “Report”), I, Robert Heath,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2019-12-29T16:14:25Z</dcterms:created>
  <dcterms:modified xsi:type="dcterms:W3CDTF">2019-12-29T16:14:25Z</dcterms:modified>
</cp:coreProperties>
</file>