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 xml:space="preserve">x </w:t>
      </w:r>
      <w:r>
        <w:rPr>
          <w:rFonts w:ascii="Times New Roman" w:cs="Times New Roman" w:eastAsia="Times New Roman" w:hAnsi="Times New Roman"/>
          <w:sz w:val="21"/>
          <w:szCs w:val="21"/>
          <w:b w:val="1"/>
          <w:bCs w:val="1"/>
          <w:color w:val="auto"/>
        </w:rPr>
        <w:t>ANNUAL REPORT PURSUANT TO SECTION 13 OR 15(d) OF THE SECURITIES EXCHANGE ACT OF 1934 FOR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FISCAL YEAR ENDED DECEMBER 31, 2016</w:t>
      </w:r>
    </w:p>
    <w:p>
      <w:pPr>
        <w:spacing w:after="0" w:line="1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5" w:lineRule="exact"/>
        <w:rPr>
          <w:sz w:val="24"/>
          <w:szCs w:val="24"/>
          <w:color w:val="auto"/>
        </w:rPr>
      </w:pPr>
    </w:p>
    <w:p>
      <w:pPr>
        <w:spacing w:after="0"/>
        <w:tabs>
          <w:tab w:leader="none" w:pos="468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2"/>
          <w:szCs w:val="22"/>
          <w:b w:val="1"/>
          <w:bCs w:val="1"/>
          <w:color w:val="auto"/>
        </w:rPr>
        <w:t>TO</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Commission File Number: 001-35146</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67310</wp:posOffset>
            </wp:positionV>
            <wp:extent cx="109791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RPX Corporation</w:t>
      </w:r>
    </w:p>
    <w:p>
      <w:pPr>
        <w:spacing w:after="0" w:line="1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1340"/>
          </w:cols>
          <w:pgMar w:left="240" w:top="229" w:right="319" w:bottom="1440" w:gutter="0" w:footer="0" w:header="0"/>
        </w:sectPr>
      </w:pPr>
    </w:p>
    <w:p>
      <w:pPr>
        <w:spacing w:after="0" w:line="14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26-2990113</w:t>
      </w:r>
    </w:p>
    <w:p>
      <w:pPr>
        <w:spacing w:after="0" w:line="24" w:lineRule="exact"/>
        <w:rPr>
          <w:sz w:val="24"/>
          <w:szCs w:val="24"/>
          <w:color w:val="auto"/>
        </w:rPr>
      </w:pPr>
    </w:p>
    <w:p>
      <w:pPr>
        <w:sectPr>
          <w:pgSz w:w="11900" w:h="16838" w:orient="portrait"/>
          <w:cols w:equalWidth="0" w:num="2">
            <w:col w:w="7420" w:space="720"/>
            <w:col w:w="3200"/>
          </w:cols>
          <w:pgMar w:left="240" w:top="229" w:right="31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6" w:lineRule="exact"/>
        <w:rPr>
          <w:sz w:val="24"/>
          <w:szCs w:val="24"/>
          <w:color w:val="auto"/>
        </w:rPr>
      </w:pPr>
    </w:p>
    <w:p>
      <w:pPr>
        <w:sectPr>
          <w:pgSz w:w="11900" w:h="16838" w:orient="portrait"/>
          <w:cols w:equalWidth="0" w:num="2">
            <w:col w:w="7280" w:space="720"/>
            <w:col w:w="3340"/>
          </w:cols>
          <w:pgMar w:left="240" w:top="229"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ONE MARKET PLAZA, SUITE 800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SAN FRANCISCO, CALIFORNIA 94105</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1340"/>
          </w:cols>
          <w:pgMar w:left="240" w:top="229" w:right="319" w:bottom="1440" w:gutter="0" w:footer="0" w:header="0"/>
          <w:type w:val="continuous"/>
        </w:sectPr>
      </w:pP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(866) 779-7641</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40"/>
          </w:cols>
          <w:pgMar w:left="240" w:top="229" w:right="31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2">
            <w:col w:w="6580" w:space="720"/>
            <w:col w:w="4040"/>
          </w:cols>
          <w:pgMar w:left="240" w:top="229" w:right="31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102" w:lineRule="exact"/>
        <w:rPr>
          <w:sz w:val="24"/>
          <w:szCs w:val="24"/>
          <w:color w:val="auto"/>
        </w:rPr>
      </w:pPr>
    </w:p>
    <w:p>
      <w:pPr>
        <w:sectPr>
          <w:pgSz w:w="11900" w:h="16838" w:orient="portrait"/>
          <w:cols w:equalWidth="0" w:num="2">
            <w:col w:w="6680" w:space="720"/>
            <w:col w:w="3940"/>
          </w:cols>
          <w:pgMar w:left="240" w:top="229"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1340"/>
          </w:cols>
          <w:pgMar w:left="240" w:top="229" w:right="31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 [ ]</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 [ x ]</w:t>
      </w:r>
    </w:p>
    <w:p>
      <w:pPr>
        <w:spacing w:after="0" w:line="59" w:lineRule="exact"/>
        <w:rPr>
          <w:sz w:val="24"/>
          <w:szCs w:val="24"/>
          <w:color w:val="auto"/>
        </w:rPr>
      </w:pPr>
    </w:p>
    <w:p>
      <w:pPr>
        <w:sectPr>
          <w:pgSz w:w="11900" w:h="16838" w:orient="portrait"/>
          <w:cols w:equalWidth="0" w:num="3">
            <w:col w:w="7620" w:space="160"/>
            <w:col w:w="520" w:space="220"/>
            <w:col w:w="2820"/>
          </w:cols>
          <w:pgMar w:left="240" w:top="22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 [ x ]</w:t>
      </w:r>
    </w:p>
    <w:p>
      <w:pPr>
        <w:spacing w:after="0" w:line="59" w:lineRule="exact"/>
        <w:rPr>
          <w:sz w:val="24"/>
          <w:szCs w:val="24"/>
          <w:color w:val="auto"/>
        </w:rPr>
      </w:pPr>
    </w:p>
    <w:p>
      <w:pPr>
        <w:sectPr>
          <w:pgSz w:w="11900" w:h="16838" w:orient="portrait"/>
          <w:cols w:equalWidth="0" w:num="3">
            <w:col w:w="7760" w:space="160"/>
            <w:col w:w="540" w:space="200"/>
            <w:col w:w="2680"/>
          </w:cols>
          <w:pgMar w:left="240" w:top="229" w:right="319" w:bottom="1440" w:gutter="0" w:footer="0" w:header="0"/>
          <w:type w:val="continuous"/>
        </w:sect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6"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x ] NO [ ]</w:t>
      </w:r>
    </w:p>
    <w:p>
      <w:pPr>
        <w:spacing w:after="0" w:line="16" w:lineRule="exact"/>
        <w:rPr>
          <w:sz w:val="24"/>
          <w:szCs w:val="24"/>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w:t>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1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21" w:right="299" w:bottom="1440" w:gutter="0" w:footer="0" w:header="0"/>
        </w:sectPr>
      </w:pP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 ]</w:t>
      </w:r>
    </w:p>
    <w:p>
      <w:pPr>
        <w:spacing w:after="0" w:line="200" w:lineRule="exact"/>
        <w:rPr>
          <w:sz w:val="20"/>
          <w:szCs w:val="20"/>
          <w:color w:val="auto"/>
        </w:rPr>
      </w:pPr>
    </w:p>
    <w:p>
      <w:pPr>
        <w:sectPr>
          <w:pgSz w:w="11900" w:h="16838" w:orient="portrait"/>
          <w:cols w:equalWidth="0" w:num="4">
            <w:col w:w="2200" w:space="720"/>
            <w:col w:w="3600" w:space="720"/>
            <w:col w:w="2780" w:space="720"/>
            <w:col w:w="620"/>
          </w:cols>
          <w:pgMar w:left="240" w:top="121" w:right="299" w:bottom="1440" w:gutter="0" w:footer="0" w:header="0"/>
          <w:type w:val="continuous"/>
        </w:sectPr>
      </w:pP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0" w:lineRule="exact"/>
        <w:rPr>
          <w:sz w:val="20"/>
          <w:szCs w:val="20"/>
          <w:color w:val="auto"/>
        </w:rPr>
      </w:pPr>
    </w:p>
    <w:p>
      <w:pPr>
        <w:sectPr>
          <w:pgSz w:w="11900" w:h="16838" w:orient="portrait"/>
          <w:cols w:equalWidth="0" w:num="5">
            <w:col w:w="2200" w:space="720"/>
            <w:col w:w="140" w:space="320"/>
            <w:col w:w="3140" w:space="720"/>
            <w:col w:w="2780" w:space="720"/>
            <w:col w:w="620"/>
          </w:cols>
          <w:pgMar w:left="240" w:top="121" w:right="29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8" w:lineRule="exact"/>
        <w:rPr>
          <w:sz w:val="20"/>
          <w:szCs w:val="20"/>
          <w:color w:val="auto"/>
        </w:rPr>
      </w:pPr>
    </w:p>
    <w:p>
      <w:pPr>
        <w:sectPr>
          <w:pgSz w:w="11900" w:h="16838" w:orient="portrait"/>
          <w:cols w:equalWidth="0" w:num="5">
            <w:col w:w="6700" w:space="140"/>
            <w:col w:w="320" w:space="80"/>
            <w:col w:w="140" w:space="160"/>
            <w:col w:w="240" w:space="80"/>
            <w:col w:w="3500"/>
          </w:cols>
          <w:pgMar w:left="240" w:top="121" w:right="299" w:bottom="1440" w:gutter="0" w:footer="0" w:header="0"/>
          <w:type w:val="continuous"/>
        </w:sect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$439.8 million as of June 30, 2016, which is the last business day of the registrant’s most recently completed second fiscal quarter, based upon the closing sale price on The NASDAQ Global Select Market reported for such date. Shares of common stock held by each officer and director and affiliates were excluded. This determination of affiliate status is not necessarily a conclusive determination for other purposes.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48,526,180 shares of the registrant’s common stock issued and outstanding as of February 17, 2017.</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Portions of the Definitive Proxy Statement for registrant’s 2017 Annual Meeting of Stockholders (the “2017 Proxy Statement”), are incorporated by reference in Part III of this Form 10-K to the extent stated herein. The 2017 Proxy Statement will be filed within 120 days of the registrant’s fiscal year ended December 31, 2016.</w:t>
      </w:r>
    </w:p>
    <w:p>
      <w:pPr>
        <w:sectPr>
          <w:pgSz w:w="11900" w:h="16838" w:orient="portrait"/>
          <w:cols w:equalWidth="0" w:num="1">
            <w:col w:w="11360"/>
          </w:cols>
          <w:pgMar w:left="240" w:top="121" w:right="29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70"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3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900" w:type="dxa"/>
            <w:vAlign w:val="bottom"/>
            <w:gridSpan w:val="21"/>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Risk Factors</w:t>
              </w:r>
            </w:hyperlink>
          </w:p>
        </w:tc>
        <w:tc>
          <w:tcPr>
            <w:tcW w:w="8640" w:type="dxa"/>
            <w:vAlign w:val="bottom"/>
            <w:gridSpan w:val="1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gridSpan w:val="2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Unresolved Staff Comments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1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Properties</w:t>
              </w:r>
            </w:hyperlink>
          </w:p>
        </w:tc>
        <w:tc>
          <w:tcPr>
            <w:tcW w:w="75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Legal Proceedings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Mine Safety Disclosures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Times New Roman" w:cs="Times New Roman" w:eastAsia="Times New Roman" w:hAnsi="Times New Roman"/>
                <w:sz w:val="18"/>
                <w:szCs w:val="18"/>
                <w:b w:val="1"/>
                <w:bCs w:val="1"/>
                <w:color w:val="0000EE"/>
                <w:w w:val="94"/>
              </w:rPr>
            </w:pPr>
            <w:hyperlink w:anchor="page27">
              <w:r>
                <w:rPr>
                  <w:rFonts w:ascii="Times New Roman" w:cs="Times New Roman" w:eastAsia="Times New Roman" w:hAnsi="Times New Roman"/>
                  <w:sz w:val="18"/>
                  <w:szCs w:val="18"/>
                  <w:b w:val="1"/>
                  <w:bCs w:val="1"/>
                  <w:color w:val="0000EE"/>
                  <w:w w:val="94"/>
                </w:rPr>
                <w:t>PART II</w:t>
              </w:r>
            </w:hyperlink>
          </w:p>
        </w:tc>
        <w:tc>
          <w:tcPr>
            <w:tcW w:w="380" w:type="dxa"/>
            <w:vAlign w:val="bottom"/>
            <w:gridSpan w:val="2"/>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80" w:type="dxa"/>
            <w:vAlign w:val="bottom"/>
            <w:gridSpan w:val="2"/>
          </w:tcPr>
          <w:p>
            <w:pPr>
              <w:spacing w:after="0"/>
              <w:rPr>
                <w:sz w:val="24"/>
                <w:szCs w:val="24"/>
                <w:color w:val="auto"/>
              </w:rPr>
            </w:pPr>
          </w:p>
        </w:tc>
        <w:tc>
          <w:tcPr>
            <w:tcW w:w="8080" w:type="dxa"/>
            <w:vAlign w:val="bottom"/>
            <w:gridSpan w:val="21"/>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2700" w:type="dxa"/>
            <w:vAlign w:val="bottom"/>
            <w:gridSpan w:val="11"/>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Selected Consolidated Financial Data</w:t>
              </w:r>
            </w:hyperlink>
          </w:p>
        </w:tc>
        <w:tc>
          <w:tcPr>
            <w:tcW w:w="5380" w:type="dxa"/>
            <w:vAlign w:val="bottom"/>
            <w:gridSpan w:val="10"/>
          </w:tcPr>
          <w:p>
            <w:pPr>
              <w:spacing w:after="0"/>
              <w:rPr>
                <w:sz w:val="21"/>
                <w:szCs w:val="21"/>
                <w:color w:val="auto"/>
              </w:rPr>
            </w:pPr>
          </w:p>
        </w:tc>
        <w:tc>
          <w:tcPr>
            <w:tcW w:w="14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27</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8"/>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18"/>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Quantitative and Qualitative Disclosures about Market Risk</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41</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4320" w:type="dxa"/>
            <w:vAlign w:val="bottom"/>
            <w:gridSpan w:val="16"/>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Consolidated Financial Statements and Supplementary Data</w:t>
              </w:r>
            </w:hyperlink>
          </w:p>
        </w:tc>
        <w:tc>
          <w:tcPr>
            <w:tcW w:w="522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19"/>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77</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19"/>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Controls and Procedures</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77</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Other Information</w:t>
              </w:r>
            </w:hyperlink>
          </w:p>
        </w:tc>
        <w:tc>
          <w:tcPr>
            <w:tcW w:w="778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78</w:t>
              </w:r>
            </w:hyperlink>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rPr>
                <w:rFonts w:ascii="Times New Roman" w:cs="Times New Roman" w:eastAsia="Times New Roman" w:hAnsi="Times New Roman"/>
                <w:sz w:val="18"/>
                <w:szCs w:val="18"/>
                <w:b w:val="1"/>
                <w:bCs w:val="1"/>
                <w:color w:val="0000EE"/>
                <w:w w:val="88"/>
              </w:rPr>
            </w:pPr>
            <w:hyperlink w:anchor="page83">
              <w:r>
                <w:rPr>
                  <w:rFonts w:ascii="Times New Roman" w:cs="Times New Roman" w:eastAsia="Times New Roman" w:hAnsi="Times New Roman"/>
                  <w:sz w:val="18"/>
                  <w:szCs w:val="18"/>
                  <w:b w:val="1"/>
                  <w:bCs w:val="1"/>
                  <w:color w:val="0000EE"/>
                  <w:w w:val="88"/>
                </w:rPr>
                <w:t>PART III</w:t>
              </w:r>
            </w:hyperlink>
          </w:p>
        </w:tc>
        <w:tc>
          <w:tcPr>
            <w:tcW w:w="34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79</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340" w:type="dxa"/>
            <w:vAlign w:val="bottom"/>
          </w:tcPr>
          <w:p>
            <w:pPr>
              <w:spacing w:after="0"/>
              <w:rPr>
                <w:sz w:val="24"/>
                <w:szCs w:val="24"/>
                <w:color w:val="auto"/>
              </w:rPr>
            </w:pPr>
          </w:p>
        </w:tc>
        <w:tc>
          <w:tcPr>
            <w:tcW w:w="9540" w:type="dxa"/>
            <w:vAlign w:val="bottom"/>
            <w:gridSpan w:val="22"/>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Directors, Executive Officers and Corporate Governance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79</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9"/>
          </w:tcPr>
          <w:p>
            <w:pPr>
              <w:spacing w:after="0"/>
              <w:rPr>
                <w:rFonts w:ascii="Times New Roman" w:cs="Times New Roman" w:eastAsia="Times New Roman" w:hAnsi="Times New Roman"/>
                <w:sz w:val="18"/>
                <w:szCs w:val="18"/>
                <w:color w:val="0000EE"/>
                <w:w w:val="98"/>
              </w:rPr>
            </w:pPr>
            <w:hyperlink w:anchor="page83">
              <w:r>
                <w:rPr>
                  <w:rFonts w:ascii="Times New Roman" w:cs="Times New Roman" w:eastAsia="Times New Roman" w:hAnsi="Times New Roman"/>
                  <w:sz w:val="18"/>
                  <w:szCs w:val="18"/>
                  <w:color w:val="0000EE"/>
                  <w:w w:val="98"/>
                </w:rPr>
                <w:t>Executive Compensation</w:t>
              </w:r>
            </w:hyperlink>
          </w:p>
        </w:tc>
        <w:tc>
          <w:tcPr>
            <w:tcW w:w="2280" w:type="dxa"/>
            <w:vAlign w:val="bottom"/>
            <w:gridSpan w:val="4"/>
          </w:tcPr>
          <w:p>
            <w:pPr>
              <w:spacing w:after="0"/>
              <w:rPr>
                <w:sz w:val="21"/>
                <w:szCs w:val="21"/>
                <w:color w:val="auto"/>
              </w:rPr>
            </w:pPr>
          </w:p>
        </w:tc>
        <w:tc>
          <w:tcPr>
            <w:tcW w:w="546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79</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9540" w:type="dxa"/>
            <w:vAlign w:val="bottom"/>
            <w:gridSpan w:val="22"/>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79</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0"/>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79</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7"/>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Principal Accounting Fees and Services</w:t>
              </w:r>
            </w:hyperlink>
          </w:p>
        </w:tc>
        <w:tc>
          <w:tcPr>
            <w:tcW w:w="41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79</w:t>
              </w:r>
            </w:hyperlink>
          </w:p>
        </w:tc>
        <w:tc>
          <w:tcPr>
            <w:tcW w:w="0" w:type="dxa"/>
            <w:vAlign w:val="bottom"/>
          </w:tcPr>
          <w:p>
            <w:pPr>
              <w:spacing w:after="0"/>
              <w:rPr>
                <w:sz w:val="1"/>
                <w:szCs w:val="1"/>
                <w:color w:val="auto"/>
              </w:rPr>
            </w:pPr>
          </w:p>
        </w:tc>
      </w:tr>
      <w:tr>
        <w:trPr>
          <w:trHeight w:val="20"/>
        </w:trPr>
        <w:tc>
          <w:tcPr>
            <w:tcW w:w="1040" w:type="dxa"/>
            <w:vAlign w:val="bottom"/>
            <w:gridSpan w:val="4"/>
            <w:vMerge w:val="restart"/>
          </w:tcPr>
          <w:p>
            <w:pPr>
              <w:spacing w:after="0"/>
              <w:rPr>
                <w:rFonts w:ascii="Times New Roman" w:cs="Times New Roman" w:eastAsia="Times New Roman" w:hAnsi="Times New Roman"/>
                <w:sz w:val="18"/>
                <w:szCs w:val="18"/>
                <w:b w:val="1"/>
                <w:bCs w:val="1"/>
                <w:color w:val="0000EE"/>
              </w:rPr>
            </w:pPr>
            <w:hyperlink w:anchor="page84">
              <w:r>
                <w:rPr>
                  <w:rFonts w:ascii="Times New Roman" w:cs="Times New Roman" w:eastAsia="Times New Roman" w:hAnsi="Times New Roman"/>
                  <w:sz w:val="18"/>
                  <w:szCs w:val="18"/>
                  <w:b w:val="1"/>
                  <w:bCs w:val="1"/>
                  <w:color w:val="0000EE"/>
                </w:rPr>
                <w:t>PART IV</w:t>
              </w:r>
            </w:hyperlink>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80</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40" w:type="dxa"/>
            <w:vAlign w:val="bottom"/>
          </w:tcPr>
          <w:p>
            <w:pPr>
              <w:spacing w:after="0"/>
              <w:rPr>
                <w:sz w:val="24"/>
                <w:szCs w:val="24"/>
                <w:color w:val="auto"/>
              </w:rPr>
            </w:pPr>
          </w:p>
        </w:tc>
        <w:tc>
          <w:tcPr>
            <w:tcW w:w="9540" w:type="dxa"/>
            <w:vAlign w:val="bottom"/>
            <w:gridSpan w:val="22"/>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Exhibits and Consolidated Financial Statement Schedules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80</w:t>
              </w:r>
            </w:hyperlink>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4140" w:type="dxa"/>
            <w:vAlign w:val="bottom"/>
            <w:gridSpan w:val="14"/>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Form 10-K Summary</w:t>
              </w:r>
            </w:hyperlink>
          </w:p>
        </w:tc>
        <w:tc>
          <w:tcPr>
            <w:tcW w:w="540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81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Times New Roman" w:cs="Times New Roman" w:eastAsia="Times New Roman" w:hAnsi="Times New Roman"/>
                <w:sz w:val="18"/>
                <w:szCs w:val="18"/>
                <w:b w:val="1"/>
                <w:bCs w:val="1"/>
                <w:color w:val="0000EE"/>
                <w:w w:val="97"/>
              </w:rPr>
            </w:pPr>
            <w:hyperlink w:anchor="page86">
              <w:r>
                <w:rPr>
                  <w:rFonts w:ascii="Times New Roman" w:cs="Times New Roman" w:eastAsia="Times New Roman" w:hAnsi="Times New Roman"/>
                  <w:sz w:val="18"/>
                  <w:szCs w:val="18"/>
                  <w:b w:val="1"/>
                  <w:bCs w:val="1"/>
                  <w:color w:val="0000EE"/>
                  <w:w w:val="97"/>
                </w:rPr>
                <w:t>SIGNATURES</w:t>
              </w:r>
            </w:hyperlink>
          </w:p>
        </w:tc>
        <w:tc>
          <w:tcPr>
            <w:tcW w:w="380" w:type="dxa"/>
            <w:vAlign w:val="bottom"/>
            <w:gridSpan w:val="2"/>
          </w:tcPr>
          <w:p>
            <w:pPr>
              <w:spacing w:after="0"/>
              <w:rPr>
                <w:sz w:val="21"/>
                <w:szCs w:val="21"/>
                <w:color w:val="auto"/>
              </w:rPr>
            </w:pPr>
          </w:p>
        </w:tc>
        <w:tc>
          <w:tcPr>
            <w:tcW w:w="80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82</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Times New Roman" w:cs="Times New Roman" w:eastAsia="Times New Roman" w:hAnsi="Times New Roman"/>
                <w:sz w:val="18"/>
                <w:szCs w:val="18"/>
                <w:b w:val="1"/>
                <w:bCs w:val="1"/>
                <w:color w:val="0000EE"/>
              </w:rPr>
            </w:pPr>
            <w:hyperlink w:anchor="page88">
              <w:r>
                <w:rPr>
                  <w:rFonts w:ascii="Times New Roman" w:cs="Times New Roman" w:eastAsia="Times New Roman" w:hAnsi="Times New Roman"/>
                  <w:sz w:val="18"/>
                  <w:szCs w:val="18"/>
                  <w:b w:val="1"/>
                  <w:bCs w:val="1"/>
                  <w:color w:val="0000EE"/>
                </w:rPr>
                <w:t>EXHIBITS</w:t>
              </w:r>
            </w:hyperlink>
          </w:p>
        </w:tc>
        <w:tc>
          <w:tcPr>
            <w:tcW w:w="838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of 1934, as amended.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our acquisition of Inventus Solutions, Inc. ("Inventus"), our patent acquisition spending, and our competitive position.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91"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RPX Corporation (together with its subsidiaries, “RPX”, “the Company”, “our”, “we” or “us”) was incorporated on July 15, 2008 in the state of Delaware. We help companies reduce patent litigation risk and corporate legal expense through two primary service offerings: our patent risk management services and our discovery services.</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patent risk management services reduce transaction costs incurred by owners of patents and prospective licensees of those patents compared to transactions driven by actual or threatened litigation. The core of this service is defensive patent aggregation, in which we acquire patents or licenses to patents that are being or may be asserted by patent owners against our clients. We refer to acquired patents, licenses to patents, covenants not to sue, and other patent rights collectively as "patent assets." When we acquire patent assets, we generally provide to our clients non-exclusive sub-licenses to those patent assets. We believe our patent risk management efforts allow clients to mitigate patent risk at a lower cost than they would be able to achieve through other approaches. As part of our services, we also provide our clients with access to proprietary patent market intelligence and data.</w:t>
      </w:r>
    </w:p>
    <w:p>
      <w:pPr>
        <w:spacing w:after="0" w:line="18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Insuring defendants against the cost of patent litigation is a natural extension of our defensive patent aggregation services. We offer patent litigation insurance that covers certain costs associated with patent infringement lawsuits, and we assume a portion of the underwriting risk on these insurance policies that we issue on behalf of a Lloyd's of London underwriting syndicate. Our insurance product helps policyholders manage and cap their risk of patent litigation. We are responsible for claims management and provide pre-litigation support to our policyholders based on our proprietary patent market data, which helps them manage their patent risk efficiently.</w:t>
      </w:r>
    </w:p>
    <w:p>
      <w:pPr>
        <w:spacing w:after="0" w:line="18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discovery services offering helps clients manage the costs and risks related to the legal discovery process through the use of technology and a comprehensive managed services model. Our approach is designed to streamline the administration of litigation matters, internal and external investigations, regulatory compliance, and other matters by offering a wide range of technology-enabled services including document collection and processing, document review, document production, and project management. Our discovery services clients include corporations and law firms.</w:t>
      </w:r>
    </w:p>
    <w:p>
      <w:pPr>
        <w:spacing w:after="0" w:line="18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Revenue from our patent risk management services constituted 80%, 100%, and 100% of our total revenue for the years ended December 31, 2016, 2015 and 2014, respectively. Revenue from our discovery services constituted 20%, 0%, and 0% of our total revenue for the years ended December 31, 2016, 2015 and 2014, respectively, as we began offering these services in 2016 as a result of our acquisition of Inventus Solutions, Inc.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Risk Management Market</w:t>
      </w:r>
    </w:p>
    <w:p>
      <w:pPr>
        <w:spacing w:after="0" w:line="7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United States Constitution empowers Congress “to promote the progress of science and the useful arts by securing for limited times to authors and inventors the exclusive right to their respective writings and discoveries” through the grant of patents.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Patent rights are a key component of a knowledge-based economy and are assets that can be bought, sold or licensed. We refer to the market in which participants exchange value — whether through the sale or licensing of patents — as the “patent market.”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Monetization of Patents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Historically, the following fundamental attributes of patents have enabled patent monetization:</w:t>
      </w:r>
    </w:p>
    <w:p>
      <w:pPr>
        <w:spacing w:after="0" w:line="75" w:lineRule="exact"/>
        <w:rPr>
          <w:sz w:val="20"/>
          <w:szCs w:val="20"/>
          <w:color w:val="auto"/>
        </w:rPr>
      </w:pPr>
    </w:p>
    <w:p>
      <w:pPr>
        <w:ind w:left="820" w:right="140" w:hanging="326"/>
        <w:spacing w:after="0" w:line="284"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Provide a Limited Monopoly </w:t>
      </w:r>
      <w:r>
        <w:rPr>
          <w:rFonts w:ascii="Times New Roman" w:cs="Times New Roman" w:eastAsia="Times New Roman" w:hAnsi="Times New Roman"/>
          <w:sz w:val="18"/>
          <w:szCs w:val="18"/>
          <w:color w:val="auto"/>
        </w:rPr>
        <w:t>– In exchange for public disclosure of an invention, a patent owner is granted a monopoly over the use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patented invention for a specified period, typically 20 years from the filing of the patent application.</w:t>
      </w:r>
    </w:p>
    <w:p>
      <w:pPr>
        <w:spacing w:after="0" w:line="9" w:lineRule="exact"/>
        <w:rPr>
          <w:rFonts w:ascii="Times New Roman" w:cs="Times New Roman" w:eastAsia="Times New Roman" w:hAnsi="Times New Roman"/>
          <w:sz w:val="18"/>
          <w:szCs w:val="18"/>
          <w:color w:val="auto"/>
        </w:rPr>
      </w:pPr>
    </w:p>
    <w:p>
      <w:pPr>
        <w:ind w:left="820" w:right="60" w:hanging="326"/>
        <w:spacing w:after="0" w:line="259"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Confer Negative Rights </w:t>
      </w:r>
      <w:r>
        <w:rPr>
          <w:rFonts w:ascii="Times New Roman" w:cs="Times New Roman" w:eastAsia="Times New Roman" w:hAnsi="Times New Roman"/>
          <w:sz w:val="18"/>
          <w:szCs w:val="18"/>
          <w:color w:val="auto"/>
        </w:rPr>
        <w:t>– Patent rights are negative rights, meaning that they generally enable a patent owner to exclude others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exploitation of a patented invention, regardless of whether the patent owner has the resources to manufacture or commercialize the invention. As the owner of a negative right, a patent owner has recourse through litigation to prevent others from using, making, offering for sale or selling the patented invention. Even when the patented invention is only a component of a broader product or service, the negative right can be enforced against any product or service that practices the claims of the patented invention.</w:t>
      </w:r>
    </w:p>
    <w:p>
      <w:pPr>
        <w:spacing w:after="0" w:line="31" w:lineRule="exact"/>
        <w:rPr>
          <w:rFonts w:ascii="Times New Roman" w:cs="Times New Roman" w:eastAsia="Times New Roman" w:hAnsi="Times New Roman"/>
          <w:sz w:val="18"/>
          <w:szCs w:val="18"/>
          <w:color w:val="auto"/>
        </w:rPr>
      </w:pPr>
    </w:p>
    <w:p>
      <w:pPr>
        <w:ind w:left="820" w:right="340" w:hanging="326"/>
        <w:spacing w:after="0" w:line="306" w:lineRule="auto"/>
        <w:tabs>
          <w:tab w:leader="none" w:pos="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Patents May Be Licensed and are Infinitely Divisible </w:t>
      </w:r>
      <w:r>
        <w:rPr>
          <w:rFonts w:ascii="Times New Roman" w:cs="Times New Roman" w:eastAsia="Times New Roman" w:hAnsi="Times New Roman"/>
          <w:sz w:val="17"/>
          <w:szCs w:val="17"/>
          <w:color w:val="auto"/>
        </w:rPr>
        <w:t>– A patent owner can authorize the use of the patented invention by one or more parties,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typically in exchange for licensing fees. There is no legal limit to the amount of licenses a patent owner can provide to market participants.</w:t>
      </w:r>
    </w:p>
    <w:p>
      <w:pPr>
        <w:spacing w:after="0" w:line="1" w:lineRule="exact"/>
        <w:rPr>
          <w:rFonts w:ascii="Times New Roman" w:cs="Times New Roman" w:eastAsia="Times New Roman" w:hAnsi="Times New Roman"/>
          <w:sz w:val="17"/>
          <w:szCs w:val="17"/>
          <w:color w:val="auto"/>
        </w:rPr>
      </w:pPr>
    </w:p>
    <w:p>
      <w:pPr>
        <w:ind w:left="820" w:right="200" w:hanging="326"/>
        <w:spacing w:after="0" w:line="267"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Are Assets That Can Be Transferred </w:t>
      </w:r>
      <w:r>
        <w:rPr>
          <w:rFonts w:ascii="Times New Roman" w:cs="Times New Roman" w:eastAsia="Times New Roman" w:hAnsi="Times New Roman"/>
          <w:sz w:val="18"/>
          <w:szCs w:val="18"/>
          <w:color w:val="auto"/>
        </w:rPr>
        <w:t>– A patent can be sold, in which case the negative right and monopoly associated with the patented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invention are transferred to the buyer. When a patent is sold, the buyer’s negative rights may be constrained by licenses granted by previous owners.</w:t>
      </w:r>
    </w:p>
    <w:p>
      <w:pPr>
        <w:spacing w:after="0" w:line="176"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More recently, several developments have increased opportunities for patent monetization and created an environment that is more favorable to investing in patents for the purpose of generating financial returns. These developments include:</w:t>
      </w:r>
    </w:p>
    <w:p>
      <w:pPr>
        <w:spacing w:after="0" w:line="11" w:lineRule="exact"/>
        <w:rPr>
          <w:sz w:val="20"/>
          <w:szCs w:val="20"/>
          <w:color w:val="auto"/>
        </w:rPr>
      </w:pPr>
    </w:p>
    <w:p>
      <w:pPr>
        <w:ind w:left="820" w:hanging="326"/>
        <w:spacing w:after="0" w:line="267"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Improved Search Capabilities </w:t>
      </w:r>
      <w:r>
        <w:rPr>
          <w:rFonts w:ascii="Times New Roman" w:cs="Times New Roman" w:eastAsia="Times New Roman" w:hAnsi="Times New Roman"/>
          <w:sz w:val="18"/>
          <w:szCs w:val="18"/>
          <w:color w:val="auto"/>
        </w:rPr>
        <w:t>– The entire database of United States patents is searchable on the Internet, enabling patent investors to quickly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patents and their owners. The Internet also makes it much easier for patent owners to identify and research products and services that may practice the claims of their patented inventions.</w:t>
      </w:r>
    </w:p>
    <w:p>
      <w:pPr>
        <w:spacing w:after="0" w:line="24" w:lineRule="exact"/>
        <w:rPr>
          <w:rFonts w:ascii="Times New Roman" w:cs="Times New Roman" w:eastAsia="Times New Roman" w:hAnsi="Times New Roman"/>
          <w:sz w:val="18"/>
          <w:szCs w:val="18"/>
          <w:color w:val="auto"/>
        </w:rPr>
      </w:pPr>
    </w:p>
    <w:p>
      <w:pPr>
        <w:ind w:left="820" w:right="100" w:hanging="326"/>
        <w:spacing w:after="0" w:line="284"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Rate of Issuance of Technology Patents </w:t>
      </w:r>
      <w:r>
        <w:rPr>
          <w:rFonts w:ascii="Times New Roman" w:cs="Times New Roman" w:eastAsia="Times New Roman" w:hAnsi="Times New Roman"/>
          <w:sz w:val="18"/>
          <w:szCs w:val="18"/>
          <w:color w:val="auto"/>
        </w:rPr>
        <w:t>– Patents issued with class code identifiers that we classify as technology-related patents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nearly doubled in the past 10 years.</w:t>
      </w:r>
    </w:p>
    <w:p>
      <w:pPr>
        <w:spacing w:after="0" w:line="9" w:lineRule="exact"/>
        <w:rPr>
          <w:rFonts w:ascii="Times New Roman" w:cs="Times New Roman" w:eastAsia="Times New Roman" w:hAnsi="Times New Roman"/>
          <w:sz w:val="18"/>
          <w:szCs w:val="18"/>
          <w:color w:val="auto"/>
        </w:rPr>
      </w:pPr>
    </w:p>
    <w:p>
      <w:pPr>
        <w:ind w:left="820" w:hanging="326"/>
        <w:spacing w:after="0" w:line="25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Overlap of Technology Patents </w:t>
      </w:r>
      <w:r>
        <w:rPr>
          <w:rFonts w:ascii="Times New Roman" w:cs="Times New Roman" w:eastAsia="Times New Roman" w:hAnsi="Times New Roman"/>
          <w:sz w:val="18"/>
          <w:szCs w:val="18"/>
          <w:color w:val="auto"/>
        </w:rPr>
        <w:t>– Because inventors can patent incremental improvements to existing inventions, multiple patents can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components of a product or service. Consequently, multiple patent owners may seek to extract license fees related to a single product or service. One example of this overlap of patents is semiconductor technology known as DRAM. Today, there are several thousand issued United States patents with “DRAM” specifically listed as a claim element. These DRAM patents span design, fabrication, testing and component technology including dies, capacitors, memory cells, transistors, integrated circuits, substrates and packaging. Each of those aspects may be covered by multiple patents that could be infringed by a DRAM semiconductor device or downstream product. Potential infringement of these patents could occur by anyone who designs, makes, uses or sells a product using this technology.</w:t>
      </w:r>
    </w:p>
    <w:p>
      <w:pPr>
        <w:spacing w:after="0" w:line="34" w:lineRule="exact"/>
        <w:rPr>
          <w:rFonts w:ascii="Times New Roman" w:cs="Times New Roman" w:eastAsia="Times New Roman" w:hAnsi="Times New Roman"/>
          <w:sz w:val="18"/>
          <w:szCs w:val="18"/>
          <w:color w:val="auto"/>
        </w:rPr>
      </w:pPr>
    </w:p>
    <w:p>
      <w:pPr>
        <w:ind w:left="820" w:right="100" w:hanging="326"/>
        <w:spacing w:after="0" w:line="267"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Convergence </w:t>
      </w:r>
      <w:r>
        <w:rPr>
          <w:rFonts w:ascii="Times New Roman" w:cs="Times New Roman" w:eastAsia="Times New Roman" w:hAnsi="Times New Roman"/>
          <w:sz w:val="18"/>
          <w:szCs w:val="18"/>
          <w:color w:val="auto"/>
        </w:rPr>
        <w:t>– Complex products, such as smartphones, incorporate numerous technology components, and a constantly expanding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of features and services, including touchscreens, Internet access, streaming video, media playback, app downloads, and Wi-Fi, Bluetooth, and other connectivity options. The addition of features and services often exposes these products to additional claims of patent infringement.</w:t>
      </w:r>
    </w:p>
    <w:p>
      <w:pPr>
        <w:spacing w:after="0" w:line="24" w:lineRule="exact"/>
        <w:rPr>
          <w:rFonts w:ascii="Times New Roman" w:cs="Times New Roman" w:eastAsia="Times New Roman" w:hAnsi="Times New Roman"/>
          <w:sz w:val="18"/>
          <w:szCs w:val="18"/>
          <w:color w:val="auto"/>
        </w:rPr>
      </w:pPr>
    </w:p>
    <w:p>
      <w:pPr>
        <w:ind w:left="820" w:hanging="326"/>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Diffusion </w:t>
      </w:r>
      <w:r>
        <w:rPr>
          <w:rFonts w:ascii="Times New Roman" w:cs="Times New Roman" w:eastAsia="Times New Roman" w:hAnsi="Times New Roman"/>
          <w:sz w:val="18"/>
          <w:szCs w:val="18"/>
          <w:color w:val="auto"/>
        </w:rPr>
        <w:t>– As the costs of certain technologies decline — especially computing and communications technologies —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are often integrated into previously discrete products. For example, it is increasingly common to find Internet connectivity embedded into devices such as thermostats, security cameras, and garage door openers. The diffusion of new, patented technologies into these products may expose these products to claims of patent infringement.</w:t>
      </w:r>
    </w:p>
    <w:p>
      <w:pPr>
        <w:spacing w:after="0" w:line="31" w:lineRule="exact"/>
        <w:rPr>
          <w:rFonts w:ascii="Times New Roman" w:cs="Times New Roman" w:eastAsia="Times New Roman" w:hAnsi="Times New Roman"/>
          <w:sz w:val="18"/>
          <w:szCs w:val="18"/>
          <w:color w:val="auto"/>
        </w:rPr>
      </w:pPr>
    </w:p>
    <w:p>
      <w:pPr>
        <w:ind w:left="820" w:hanging="326"/>
        <w:spacing w:after="0" w:line="267"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More Companies Employing Patented Technologies </w:t>
      </w:r>
      <w:r>
        <w:rPr>
          <w:rFonts w:ascii="Times New Roman" w:cs="Times New Roman" w:eastAsia="Times New Roman" w:hAnsi="Times New Roman"/>
          <w:sz w:val="18"/>
          <w:szCs w:val="18"/>
          <w:color w:val="auto"/>
        </w:rPr>
        <w:t>– A growing number of companies, including non-technology companies, make, use and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or services that utilize patented inventions. For example, consumer banks now offer online and mobile banking and bill pay as a standard feature, which rely on numerous complex technologies that may be subject to many patents.</w:t>
      </w:r>
    </w:p>
    <w:p>
      <w:pPr>
        <w:spacing w:after="0" w:line="24" w:lineRule="exact"/>
        <w:rPr>
          <w:rFonts w:ascii="Times New Roman" w:cs="Times New Roman" w:eastAsia="Times New Roman" w:hAnsi="Times New Roman"/>
          <w:sz w:val="18"/>
          <w:szCs w:val="18"/>
          <w:color w:val="auto"/>
        </w:rPr>
      </w:pPr>
    </w:p>
    <w:p>
      <w:pPr>
        <w:ind w:left="820" w:hanging="326"/>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Specialized Appellate Court for Patent Cases </w:t>
      </w:r>
      <w:r>
        <w:rPr>
          <w:rFonts w:ascii="Times New Roman" w:cs="Times New Roman" w:eastAsia="Times New Roman" w:hAnsi="Times New Roman"/>
          <w:sz w:val="18"/>
          <w:szCs w:val="18"/>
          <w:color w:val="auto"/>
        </w:rPr>
        <w:t>– The United States Court of Appeals for the Federal Circuit was created in 1982 to serve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central appellate venue for patent-related cases. We believe this centralization of patent-related appeals has resulted in a more uniform application of patent law. In addition, various federal district courts have adopted patent-specific rules of procedure to facilitate patent litigation. These factors have created a more attractive environment for patent assertions.</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121" w:right="2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developments have caused significant capital to flow to companies specifically formed to acquire and monetize patent assets.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Emergence and Growth of Non-practicing Entities ("NPEs")</w:t>
      </w:r>
    </w:p>
    <w:p>
      <w:pPr>
        <w:spacing w:after="0" w:line="81" w:lineRule="exact"/>
        <w:rPr>
          <w:sz w:val="20"/>
          <w:szCs w:val="20"/>
          <w:color w:val="auto"/>
        </w:rPr>
      </w:pPr>
    </w:p>
    <w:p>
      <w:pPr>
        <w:ind w:right="360" w:firstLine="486"/>
        <w:spacing w:after="0" w:line="289" w:lineRule="auto"/>
        <w:rPr>
          <w:sz w:val="20"/>
          <w:szCs w:val="20"/>
          <w:color w:val="auto"/>
        </w:rPr>
      </w:pPr>
      <w:r>
        <w:rPr>
          <w:rFonts w:ascii="Times New Roman" w:cs="Times New Roman" w:eastAsia="Times New Roman" w:hAnsi="Times New Roman"/>
          <w:sz w:val="17"/>
          <w:szCs w:val="17"/>
          <w:color w:val="auto"/>
        </w:rPr>
        <w:t>NPEs do not create or sell products or services that "practice" the claims of their patented inventions, but instead monetize patents through sale, licensing agreements, or the pursuit of litigation settlements. Some NPEs obtain patents through their own research and development efforts, while others accumulate patents through acquisitions. NPEs have become a major factor in the patent market and an important source of liquidity for patent owners.</w:t>
      </w:r>
    </w:p>
    <w:p>
      <w:pPr>
        <w:spacing w:after="0" w:line="15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Operating companies can incur significant costs to defend themselves against patent assertions by NPEs. At a minimum, companies faced with an assertion letter typically respond to the assertion letter and evaluate the patents being asserted. If the assertion proceeds to litigation, costs grow substantially. Because NPEs generally do not create or sell their own products or services, they are not susceptible to counter-assertion, a common defensive strategy in patent disputes between operating companies.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the amount of capital raised by NPEs is currently in the billions of dollars. Some of the large awards and settlements received by NPEs have resulted in extensive media coverage, contributing to a significant influx of capital into the patent market. NPE activity has declined somewhat over the past year, partially due to the impact of Patent Trial and Appeal Board challenges and the Supreme Court's 2014 decision in </w:t>
      </w:r>
      <w:r>
        <w:rPr>
          <w:rFonts w:ascii="Times New Roman" w:cs="Times New Roman" w:eastAsia="Times New Roman" w:hAnsi="Times New Roman"/>
          <w:sz w:val="18"/>
          <w:szCs w:val="18"/>
          <w:i w:val="1"/>
          <w:iCs w:val="1"/>
          <w:color w:val="auto"/>
        </w:rPr>
        <w:t>Alice Corp. v. CLS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However, as of December 31, 2016, more than 4,700 NPEs have been identified by RPX as active either in patent infringement litigation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transactions leading to patent litigation since 2005. In addition, many individual inventors and universities are also using litigation or threat of litigation to monetize patents.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Discovery Services Market</w:t>
      </w:r>
    </w:p>
    <w:p>
      <w:pPr>
        <w:spacing w:after="0" w:line="79"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Organizations across the world spend billions of dollars each year on the legal discovery process through internal discovery service resources or through outsourced options such as law firms or businesses that offer distinct discovery support services.</w:t>
      </w:r>
    </w:p>
    <w:p>
      <w:pPr>
        <w:spacing w:after="0" w:line="16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proliferation of documents generated through electronic communications and office software products as well as increasing regulations and changes in discovery protocols around the world is accelerating growth in the discovery services. Additionally, we believe the evolution of other jurisdictions towards the United States discovery model will translate into increased growth in the international discovery services industry. We expect a majority of this expected growth to come from corporations as the buying decision for discovery services continues to shift toward the principal or litigant as opposed to external legal counsel.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 and Benefits to Our Clients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Risk Management Services</w:t>
      </w:r>
    </w:p>
    <w:p>
      <w:pPr>
        <w:spacing w:after="0" w:line="79" w:lineRule="exact"/>
        <w:rPr>
          <w:sz w:val="20"/>
          <w:szCs w:val="20"/>
          <w:color w:val="auto"/>
        </w:rPr>
      </w:pPr>
    </w:p>
    <w:p>
      <w:pPr>
        <w:ind w:right="280" w:firstLine="486"/>
        <w:spacing w:after="0" w:line="255" w:lineRule="auto"/>
        <w:rPr>
          <w:sz w:val="20"/>
          <w:szCs w:val="20"/>
          <w:color w:val="auto"/>
        </w:rPr>
      </w:pPr>
      <w:r>
        <w:rPr>
          <w:rFonts w:ascii="Times New Roman" w:cs="Times New Roman" w:eastAsia="Times New Roman" w:hAnsi="Times New Roman"/>
          <w:sz w:val="18"/>
          <w:szCs w:val="18"/>
          <w:color w:val="auto"/>
        </w:rPr>
        <w:t>We have pioneered an approach to help operating companies mitigate patent risk and expense by serving as an intermediary through which they can participate more efficiently in the patent market. Clients that join our network and subscribe to our membership pay an annual subscription fee and gain access to our patent risk management services. The subscription fee is typically based on a rate card that is itself based on a client’s revenue or operating income and remains generally in place over the term of a membership, with adjustments for changes in the Consumer Price Index and other factors. By offering a predictable annual fee that does not change based on our patent asset acquisitions, we divorce the amount of fees charged from the value of our patent assets. We believe our pricing structure creates an alignment of interests with our clients, allowing us to be a trusted intermediary for operating companies in the patent market.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Defensive Patent Aggregation</w:t>
      </w:r>
    </w:p>
    <w:p>
      <w:pPr>
        <w:spacing w:after="0" w:line="8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core of our patent risk management services is defensive patent aggregation, in which we acquire patent assets that are being or may be asserted against our current and prospective clients. When we acquire patent assets, we generally provide to our clients non-exclusive sub-licenses to those patent assets. We acquire patent assets from multiple parties, including operating companies, individual inventors, NPEs, universities, and bankruptcy trustees. We also acquire patent assets in different contexts, including when they are made available for sale or license by their owners or to resolve threatened or pending litigation against our clients or prospective clients.</w:t>
      </w:r>
    </w:p>
    <w:p>
      <w:pPr>
        <w:spacing w:after="0" w:line="18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addition, because we have minimal risk from infringement claims, we are able to engage in more transparent discussions regarding the value of patent assets with patent owners. Our ability to engage in transparent discussions with both operating companies and patent owners allows us to act as an effective intermediary between participants in the patent market. As a result, we provide a conduit through which value can flow between market participants at lower transaction costs than is typically the case when patents are monetized through litigation or the threat of litigation.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a part of our patent risk management services, we provide extensive patent market intelligence and data to our clients. Clients can access this market intelligence and data through our proprietary web portal and through discussions with our client relations team. This market intelligence and data helps our clients better understand past and potential patent acquisition transactions, relevant litigation activity and key participants and trends in the patent market. In a market with limited publicly available data on pricing and terms of licenses and litigation settlement, we believe our data and market intelligence is a valuable resource for our clients and prospects.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8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patent infringement litigation expense insurance service is designed to give businesses greater control of the unpredictable financial impact of patent litigation. We believe that our access to historical data on patent transactions, litigations, and settlements uniquely enables us to assess and price the insurance based on a company’s risk profile. We assume a portion of the underwriting risk on insurance policies that we issue on behalf of Lloyd's of London underwriting syndicate. The insurance product enables policyholders to better manage and mitigate the risk of patent litigation. Pricing is based on an actuarial model that calculates an individual client’s insurance premium based on its projected annual frequency (i.e., number of claims during the policy term) and severity (i.e., the expenses it might incur to resolve a claim).</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Benefits to Our Patent Risk Management Clients</w:t>
      </w:r>
    </w:p>
    <w:p>
      <w:pPr>
        <w:spacing w:after="0" w:line="8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general, operating companies join our network to reduce their risk of patent litigation and the expected costs associated with patent risk management. In exchange for an annual subscription fee, which in some instances has been less than the costs associated with a single patent assertion, our clients gain access to the following benefits:</w:t>
      </w:r>
    </w:p>
    <w:p>
      <w:pPr>
        <w:spacing w:after="0" w:line="26" w:lineRule="exact"/>
        <w:rPr>
          <w:sz w:val="20"/>
          <w:szCs w:val="20"/>
          <w:color w:val="auto"/>
        </w:rPr>
      </w:pPr>
    </w:p>
    <w:p>
      <w:pPr>
        <w:ind w:left="820" w:right="60" w:hanging="326"/>
        <w:spacing w:after="0" w:line="267"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Risk of Patent Litigation </w:t>
      </w:r>
      <w:r>
        <w:rPr>
          <w:rFonts w:ascii="Times New Roman" w:cs="Times New Roman" w:eastAsia="Times New Roman" w:hAnsi="Times New Roman"/>
          <w:sz w:val="18"/>
          <w:szCs w:val="18"/>
          <w:color w:val="auto"/>
        </w:rPr>
        <w:t>– Clients reduce their exposure to patent litigation because we continuously assess patent assets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license and acquire many that are being or may be asserted against our clients or potential clients. Our clients have no litigation risk related to the patents that we own.</w:t>
      </w:r>
    </w:p>
    <w:p>
      <w:pPr>
        <w:spacing w:after="0" w:line="24" w:lineRule="exact"/>
        <w:rPr>
          <w:rFonts w:ascii="Times New Roman" w:cs="Times New Roman" w:eastAsia="Times New Roman" w:hAnsi="Times New Roman"/>
          <w:sz w:val="18"/>
          <w:szCs w:val="18"/>
          <w:color w:val="auto"/>
        </w:rPr>
      </w:pPr>
    </w:p>
    <w:p>
      <w:pPr>
        <w:ind w:left="820" w:right="120" w:hanging="326"/>
        <w:spacing w:after="0" w:line="259"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Cost-Effective Licenses </w:t>
      </w:r>
      <w:r>
        <w:rPr>
          <w:rFonts w:ascii="Times New Roman" w:cs="Times New Roman" w:eastAsia="Times New Roman" w:hAnsi="Times New Roman"/>
          <w:sz w:val="18"/>
          <w:szCs w:val="18"/>
          <w:color w:val="auto"/>
        </w:rPr>
        <w:t>– Our annual subscription fee is typically based on a client’s historical financial results, which provides predictability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our clients. We believe our approach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1" w:lineRule="exact"/>
        <w:rPr>
          <w:rFonts w:ascii="Times New Roman" w:cs="Times New Roman" w:eastAsia="Times New Roman" w:hAnsi="Times New Roman"/>
          <w:sz w:val="18"/>
          <w:szCs w:val="18"/>
          <w:color w:val="auto"/>
        </w:rPr>
      </w:pPr>
    </w:p>
    <w:p>
      <w:pPr>
        <w:ind w:left="820" w:right="40" w:hanging="326"/>
        <w:spacing w:after="0" w:line="257"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Patent Risk Management Costs </w:t>
      </w:r>
      <w:r>
        <w:rPr>
          <w:rFonts w:ascii="Times New Roman" w:cs="Times New Roman" w:eastAsia="Times New Roman" w:hAnsi="Times New Roman"/>
          <w:sz w:val="18"/>
          <w:szCs w:val="18"/>
          <w:color w:val="auto"/>
        </w:rPr>
        <w:t>– Clients can reduce their ongoing patent risk management costs by supplementing their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relations team.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Discovery Services</w:t>
      </w:r>
    </w:p>
    <w:p>
      <w:pPr>
        <w:spacing w:after="0" w:line="7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Our managed services model helps our clients effectively minimize operational burden, risk, and the overall cost of the legal discovery process. Our technology allows us to host millions of documents for review across multiple geographies. We offer our clients any or all of the following services:</w:t>
      </w:r>
    </w:p>
    <w:p>
      <w:pPr>
        <w:spacing w:after="0" w:line="11" w:lineRule="exact"/>
        <w:rPr>
          <w:sz w:val="20"/>
          <w:szCs w:val="20"/>
          <w:color w:val="auto"/>
        </w:rPr>
      </w:pPr>
    </w:p>
    <w:p>
      <w:pPr>
        <w:ind w:left="820" w:right="180" w:hanging="326"/>
        <w:spacing w:after="0" w:line="267" w:lineRule="auto"/>
        <w:tabs>
          <w:tab w:leader="none" w:pos="8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Data Collection and Forensics - </w:t>
      </w:r>
      <w:r>
        <w:rPr>
          <w:rFonts w:ascii="Times New Roman" w:cs="Times New Roman" w:eastAsia="Times New Roman" w:hAnsi="Times New Roman"/>
          <w:sz w:val="18"/>
          <w:szCs w:val="18"/>
          <w:color w:val="auto"/>
        </w:rPr>
        <w:t>We offer multiple collection platforms and techniques aimed at harvesting potentially relevant data in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effective ways. We have trained internal experts and partners available to perform data collection in conformance with country-specific data protection laws.</w:t>
      </w:r>
    </w:p>
    <w:p>
      <w:pPr>
        <w:spacing w:after="0" w:line="24" w:lineRule="exact"/>
        <w:rPr>
          <w:rFonts w:ascii="Times New Roman" w:cs="Times New Roman" w:eastAsia="Times New Roman" w:hAnsi="Times New Roman"/>
          <w:sz w:val="18"/>
          <w:szCs w:val="18"/>
          <w:i w:val="1"/>
          <w:iCs w:val="1"/>
          <w:color w:val="auto"/>
        </w:rPr>
      </w:pPr>
    </w:p>
    <w:p>
      <w:pPr>
        <w:ind w:left="820" w:right="540" w:hanging="326"/>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Processing and Analytics - </w:t>
      </w:r>
      <w:r>
        <w:rPr>
          <w:rFonts w:ascii="Times New Roman" w:cs="Times New Roman" w:eastAsia="Times New Roman" w:hAnsi="Times New Roman"/>
          <w:sz w:val="18"/>
          <w:szCs w:val="18"/>
          <w:color w:val="auto"/>
        </w:rPr>
        <w:t>We offer advanced data filtering techniques and processing services using various sophisticated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data analytics, and technology assisted review.</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Hosting - </w:t>
      </w:r>
      <w:r>
        <w:rPr>
          <w:rFonts w:ascii="Times New Roman" w:cs="Times New Roman" w:eastAsia="Times New Roman" w:hAnsi="Times New Roman"/>
          <w:sz w:val="18"/>
          <w:szCs w:val="18"/>
          <w:color w:val="auto"/>
        </w:rPr>
        <w:t>Clients have access to technology-enabled document review software.</w:t>
      </w:r>
    </w:p>
    <w:p>
      <w:pPr>
        <w:spacing w:after="0" w:line="76" w:lineRule="exact"/>
        <w:rPr>
          <w:rFonts w:ascii="Times New Roman" w:cs="Times New Roman" w:eastAsia="Times New Roman" w:hAnsi="Times New Roman"/>
          <w:sz w:val="18"/>
          <w:szCs w:val="18"/>
          <w:color w:val="auto"/>
        </w:rPr>
      </w:pPr>
    </w:p>
    <w:p>
      <w:pPr>
        <w:ind w:left="820" w:hanging="326"/>
        <w:spacing w:after="0" w:line="26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Project Management - </w:t>
      </w:r>
      <w:r>
        <w:rPr>
          <w:rFonts w:ascii="Times New Roman" w:cs="Times New Roman" w:eastAsia="Times New Roman" w:hAnsi="Times New Roman"/>
          <w:sz w:val="18"/>
          <w:szCs w:val="18"/>
          <w:color w:val="auto"/>
        </w:rPr>
        <w:t>Internal subject matter experts trained in discovery procedures and protocols are available to assist clients with project setup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configuration, and to help clients navigate and utilize industry best practices. Our project management experts have a unique combination of legal acumen and technical expertise to deliver the most efficient services to our clients.</w:t>
      </w:r>
    </w:p>
    <w:p>
      <w:pPr>
        <w:spacing w:after="0" w:line="2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Production - </w:t>
      </w:r>
      <w:r>
        <w:rPr>
          <w:rFonts w:ascii="Times New Roman" w:cs="Times New Roman" w:eastAsia="Times New Roman" w:hAnsi="Times New Roman"/>
          <w:sz w:val="18"/>
          <w:szCs w:val="18"/>
          <w:color w:val="auto"/>
        </w:rPr>
        <w:t>We offer high volume data production capacity and printing, copying, and scanning services.</w:t>
      </w:r>
    </w:p>
    <w:p>
      <w:pPr>
        <w:spacing w:after="0" w:line="76" w:lineRule="exact"/>
        <w:rPr>
          <w:rFonts w:ascii="Times New Roman" w:cs="Times New Roman" w:eastAsia="Times New Roman" w:hAnsi="Times New Roman"/>
          <w:sz w:val="18"/>
          <w:szCs w:val="18"/>
          <w:color w:val="auto"/>
        </w:rPr>
      </w:pPr>
    </w:p>
    <w:p>
      <w:pPr>
        <w:ind w:left="820" w:right="800" w:hanging="326"/>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Document Review Services - </w:t>
      </w:r>
      <w:r>
        <w:rPr>
          <w:rFonts w:ascii="Times New Roman" w:cs="Times New Roman" w:eastAsia="Times New Roman" w:hAnsi="Times New Roman"/>
          <w:sz w:val="18"/>
          <w:szCs w:val="18"/>
          <w:color w:val="auto"/>
        </w:rPr>
        <w:t>We utilize a variable workforce model to manage and staff the activities required to review large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in legal matters. These tasks include sourcing qualified legal professionals for project-based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left="820" w:right="160"/>
        <w:spacing w:after="0" w:line="329" w:lineRule="auto"/>
        <w:rPr>
          <w:sz w:val="20"/>
          <w:szCs w:val="20"/>
          <w:color w:val="auto"/>
        </w:rPr>
      </w:pPr>
      <w:r>
        <w:rPr>
          <w:rFonts w:ascii="Times New Roman" w:cs="Times New Roman" w:eastAsia="Times New Roman" w:hAnsi="Times New Roman"/>
          <w:sz w:val="18"/>
          <w:szCs w:val="18"/>
          <w:color w:val="auto"/>
        </w:rPr>
        <w:t>work, developing appropriate review protocols and quality control procedures, and providing guidance to outside counsel throughout the various stages of the complex discovery process.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w:t>
      </w:r>
    </w:p>
    <w:p>
      <w:pPr>
        <w:spacing w:after="0" w:line="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software and technology infrastructure allow us to provide secure, high-reliability capabilities to our clients such as high volume data intake, data hosting, and data review platforms. Our network infrastructure is a key component of our technology footprint since our review services offering is within our private hosted environment where we manage significant volumes of client data across thousands of client matters. Client matters may entail millions of documents, terabytes of data and complex structured data from databases as well as unstructured data from email archives. We operate data centers domestically and internationally that provide secure access to our software environment and client databases. Information security is critically important given the sensitive nature of the data provided by our clients.</w:t>
      </w:r>
    </w:p>
    <w:p>
      <w:pPr>
        <w:spacing w:after="0" w:line="2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Benefits to Our Discovery Services Clients</w:t>
      </w:r>
    </w:p>
    <w:p>
      <w:pPr>
        <w:spacing w:after="0" w:line="81" w:lineRule="exact"/>
        <w:rPr>
          <w:sz w:val="20"/>
          <w:szCs w:val="20"/>
          <w:color w:val="auto"/>
        </w:rPr>
      </w:pPr>
    </w:p>
    <w:p>
      <w:pPr>
        <w:jc w:val="both"/>
        <w:ind w:right="460" w:firstLine="486"/>
        <w:spacing w:after="0" w:line="282" w:lineRule="auto"/>
        <w:rPr>
          <w:sz w:val="20"/>
          <w:szCs w:val="20"/>
          <w:color w:val="auto"/>
        </w:rPr>
      </w:pPr>
      <w:r>
        <w:rPr>
          <w:rFonts w:ascii="Times New Roman" w:cs="Times New Roman" w:eastAsia="Times New Roman" w:hAnsi="Times New Roman"/>
          <w:sz w:val="18"/>
          <w:szCs w:val="18"/>
          <w:color w:val="auto"/>
        </w:rPr>
        <w:t>Corporations and law firms seek our discovery services to organize responsive data for various types of legal and compliance matters in a legally defensible manner, thereby reducing both litigation risk and cost. In exchange for our discovery services fees, our clients receive the following benefits:</w:t>
      </w:r>
    </w:p>
    <w:p>
      <w:pPr>
        <w:spacing w:after="0" w:line="11" w:lineRule="exact"/>
        <w:rPr>
          <w:sz w:val="20"/>
          <w:szCs w:val="20"/>
          <w:color w:val="auto"/>
        </w:rPr>
      </w:pPr>
    </w:p>
    <w:p>
      <w:pPr>
        <w:ind w:left="820" w:right="120" w:hanging="326"/>
        <w:spacing w:after="0" w:line="261"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Cost of Litigation </w:t>
      </w:r>
      <w:r>
        <w:rPr>
          <w:rFonts w:ascii="Times New Roman" w:cs="Times New Roman" w:eastAsia="Times New Roman" w:hAnsi="Times New Roman"/>
          <w:sz w:val="18"/>
          <w:szCs w:val="18"/>
          <w:color w:val="auto"/>
        </w:rPr>
        <w:t>– Clients reduce their litigation costs by using our technology-enabled services to eliminate redundant data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it in a manner that reduces the number of responsive documents that need to be reviewed by attorneys, which is typically the single largest cost of most legal matters. In addition, our technology allows the client to repurpose previously processed data from individual custodians that may be responsive to multiple matters, thereby compounding cost savings and administration time.</w:t>
      </w:r>
    </w:p>
    <w:p>
      <w:pPr>
        <w:spacing w:after="0" w:line="31" w:lineRule="exact"/>
        <w:rPr>
          <w:rFonts w:ascii="Times New Roman" w:cs="Times New Roman" w:eastAsia="Times New Roman" w:hAnsi="Times New Roman"/>
          <w:sz w:val="18"/>
          <w:szCs w:val="18"/>
          <w:color w:val="auto"/>
        </w:rPr>
      </w:pPr>
    </w:p>
    <w:p>
      <w:pPr>
        <w:ind w:left="820" w:right="80" w:hanging="326"/>
        <w:spacing w:after="0" w:line="26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Visibility into the Discovery Process </w:t>
      </w:r>
      <w:r>
        <w:rPr>
          <w:rFonts w:ascii="Times New Roman" w:cs="Times New Roman" w:eastAsia="Times New Roman" w:hAnsi="Times New Roman"/>
          <w:sz w:val="18"/>
          <w:szCs w:val="18"/>
          <w:color w:val="auto"/>
        </w:rPr>
        <w:t>– We use a managed service model to offer our proprietary discovery services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which adds clarity, visibility, and efficiency to our clients' litigation discovery process. Seamless integration with industry-leading third-party applications helps our clients focus on critical information early in the litigation life cycle through efficient access to important data.</w:t>
      </w:r>
    </w:p>
    <w:p>
      <w:pPr>
        <w:spacing w:after="0" w:line="24" w:lineRule="exact"/>
        <w:rPr>
          <w:rFonts w:ascii="Times New Roman" w:cs="Times New Roman" w:eastAsia="Times New Roman" w:hAnsi="Times New Roman"/>
          <w:sz w:val="18"/>
          <w:szCs w:val="18"/>
          <w:color w:val="auto"/>
        </w:rPr>
      </w:pPr>
    </w:p>
    <w:p>
      <w:pPr>
        <w:ind w:left="820" w:right="480" w:hanging="326"/>
        <w:spacing w:after="0" w:line="284" w:lineRule="auto"/>
        <w:tabs>
          <w:tab w:leader="none" w:pos="8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Secure Hosting of Data </w:t>
      </w:r>
      <w:r>
        <w:rPr>
          <w:rFonts w:ascii="Times New Roman" w:cs="Times New Roman" w:eastAsia="Times New Roman" w:hAnsi="Times New Roman"/>
          <w:sz w:val="18"/>
          <w:szCs w:val="18"/>
          <w:color w:val="auto"/>
        </w:rPr>
        <w:t>– Our clients' electronic data is stored in a secure, monitored environment. We maintain strict security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to protect our clients' sensitive, and often confidential, information.</w:t>
      </w:r>
    </w:p>
    <w:p>
      <w:pPr>
        <w:spacing w:after="0" w:line="9" w:lineRule="exact"/>
        <w:rPr>
          <w:rFonts w:ascii="Times New Roman" w:cs="Times New Roman" w:eastAsia="Times New Roman" w:hAnsi="Times New Roman"/>
          <w:sz w:val="18"/>
          <w:szCs w:val="18"/>
          <w:i w:val="1"/>
          <w:iCs w:val="1"/>
          <w:color w:val="auto"/>
        </w:rPr>
      </w:pPr>
    </w:p>
    <w:p>
      <w:pPr>
        <w:ind w:left="820" w:right="20" w:hanging="326"/>
        <w:spacing w:after="0" w:line="315" w:lineRule="auto"/>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to Support Services </w:t>
      </w:r>
      <w:r>
        <w:rPr>
          <w:rFonts w:ascii="Times New Roman" w:cs="Times New Roman" w:eastAsia="Times New Roman" w:hAnsi="Times New Roman"/>
          <w:sz w:val="17"/>
          <w:szCs w:val="17"/>
          <w:color w:val="auto"/>
        </w:rPr>
        <w:t>– Our global network of trained experts help our clients maximize their use of our software tools. We have experienced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in major markets across the country and internationally in order to provide localized support that is responsive to our clients' needs.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8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mission is to reduce risk and cost for corporate legal departments through data-driven decision-making, technology, and market-based solutions. A significant part of that mission is to transform the patent market by establishing RPX as the essential intermediary between patent owners and operating companies and by providing complementary technology-focused discovery services. Our strategy includes the following:</w:t>
      </w:r>
    </w:p>
    <w:p>
      <w:pPr>
        <w:spacing w:after="0" w:line="26" w:lineRule="exact"/>
        <w:rPr>
          <w:sz w:val="20"/>
          <w:szCs w:val="20"/>
          <w:color w:val="auto"/>
        </w:rPr>
      </w:pPr>
    </w:p>
    <w:p>
      <w:pPr>
        <w:ind w:left="820" w:right="280" w:hanging="326"/>
        <w:spacing w:after="0" w:line="284"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Growing Our Client Network </w:t>
      </w:r>
      <w:r>
        <w:rPr>
          <w:rFonts w:ascii="Times New Roman" w:cs="Times New Roman" w:eastAsia="Times New Roman" w:hAnsi="Times New Roman"/>
          <w:sz w:val="18"/>
          <w:szCs w:val="18"/>
          <w:color w:val="auto"/>
        </w:rPr>
        <w:t>– We intend to grow our client network by developing relationships with companies that have experienced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often initiated by NPEs, or the need for discovery services, and continuing to demonstrate the value of our services.</w:t>
      </w:r>
    </w:p>
    <w:p>
      <w:pPr>
        <w:spacing w:after="0" w:line="9" w:lineRule="exact"/>
        <w:rPr>
          <w:rFonts w:ascii="Times New Roman" w:cs="Times New Roman" w:eastAsia="Times New Roman" w:hAnsi="Times New Roman"/>
          <w:sz w:val="18"/>
          <w:szCs w:val="18"/>
          <w:color w:val="auto"/>
        </w:rPr>
      </w:pPr>
    </w:p>
    <w:p>
      <w:pPr>
        <w:ind w:left="820" w:right="20" w:hanging="326"/>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Acquiring Additional Patent Assets </w:t>
      </w:r>
      <w:r>
        <w:rPr>
          <w:rFonts w:ascii="Times New Roman" w:cs="Times New Roman" w:eastAsia="Times New Roman" w:hAnsi="Times New Roman"/>
          <w:sz w:val="18"/>
          <w:szCs w:val="18"/>
          <w:color w:val="auto"/>
        </w:rPr>
        <w:t>– We intend to continue to acquire patent assets that are being or may be asserted against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prospective clients and to increase our role and expertise in the patent market. We believe our disciplined approach to valuing and acquiring patent assets will allow us to continue to deploy our capital in an efficient and effective manner to maximize the patent risk management benefits to our clients.</w:t>
      </w:r>
    </w:p>
    <w:p>
      <w:pPr>
        <w:spacing w:after="0" w:line="31" w:lineRule="exact"/>
        <w:rPr>
          <w:rFonts w:ascii="Times New Roman" w:cs="Times New Roman" w:eastAsia="Times New Roman" w:hAnsi="Times New Roman"/>
          <w:sz w:val="18"/>
          <w:szCs w:val="18"/>
          <w:color w:val="auto"/>
        </w:rPr>
      </w:pPr>
    </w:p>
    <w:p>
      <w:pPr>
        <w:ind w:left="820" w:right="800" w:hanging="326"/>
        <w:spacing w:after="0" w:line="284"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Focusing on Client Relations </w:t>
      </w:r>
      <w:r>
        <w:rPr>
          <w:rFonts w:ascii="Times New Roman" w:cs="Times New Roman" w:eastAsia="Times New Roman" w:hAnsi="Times New Roman"/>
          <w:sz w:val="18"/>
          <w:szCs w:val="18"/>
          <w:color w:val="auto"/>
        </w:rPr>
        <w:t>– We intend to deliver the highest levels of service and support to our clients to build and maintain trusted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high levels of client retention.</w:t>
      </w:r>
    </w:p>
    <w:p>
      <w:pPr>
        <w:spacing w:after="0" w:line="9" w:lineRule="exact"/>
        <w:rPr>
          <w:rFonts w:ascii="Times New Roman" w:cs="Times New Roman" w:eastAsia="Times New Roman" w:hAnsi="Times New Roman"/>
          <w:sz w:val="18"/>
          <w:szCs w:val="18"/>
          <w:color w:val="auto"/>
        </w:rPr>
      </w:pPr>
    </w:p>
    <w:p>
      <w:pPr>
        <w:ind w:left="820" w:right="100" w:hanging="326"/>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Developing Proprietary Technology Services for Our Clients </w:t>
      </w:r>
      <w:r>
        <w:rPr>
          <w:rFonts w:ascii="Times New Roman" w:cs="Times New Roman" w:eastAsia="Times New Roman" w:hAnsi="Times New Roman"/>
          <w:sz w:val="18"/>
          <w:szCs w:val="18"/>
          <w:color w:val="auto"/>
        </w:rPr>
        <w:t>– We intend to continue to enhance our proprietary web portal to provide our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most current intelligence and data on patent acquisition opportunities, relevant litigation activity and key market participants and trends that affect their patent risk exposure. We also continually improve our discovery services to maximize throughput and improve analytical capabilities.</w:t>
      </w:r>
    </w:p>
    <w:p>
      <w:pPr>
        <w:spacing w:after="0" w:line="31" w:lineRule="exact"/>
        <w:rPr>
          <w:rFonts w:ascii="Times New Roman" w:cs="Times New Roman" w:eastAsia="Times New Roman" w:hAnsi="Times New Roman"/>
          <w:sz w:val="18"/>
          <w:szCs w:val="18"/>
          <w:color w:val="auto"/>
        </w:rPr>
      </w:pPr>
    </w:p>
    <w:p>
      <w:pPr>
        <w:ind w:left="820" w:hanging="326"/>
        <w:spacing w:after="0" w:line="259"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Syndicated Transactions </w:t>
      </w:r>
      <w:r>
        <w:rPr>
          <w:rFonts w:ascii="Times New Roman" w:cs="Times New Roman" w:eastAsia="Times New Roman" w:hAnsi="Times New Roman"/>
          <w:sz w:val="18"/>
          <w:szCs w:val="18"/>
          <w:color w:val="auto"/>
        </w:rPr>
        <w:t>– On certain occasions, clients ask us to acquire patent assets that we would not otherwise purchase using our capital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size or limited applicability of the portfolio). In these instances, we facilitate syndicated transactions that include contributions from participating clients in addition to their annual subscription fees. Similar to other acquisitions, these syndicated deals are designed to efficiently share resources and collectively reduce litigation risk. Transaction participants often pay a fee to RPX for structuring, negotiating and executing the transactions.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18" w:lineRule="exact"/>
        <w:rPr>
          <w:sz w:val="20"/>
          <w:szCs w:val="20"/>
          <w:color w:val="auto"/>
        </w:rPr>
      </w:pPr>
    </w:p>
    <w:p>
      <w:pPr>
        <w:ind w:left="820" w:right="44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Offering Patent Infringement Litigation Insurance </w:t>
      </w:r>
      <w:r>
        <w:rPr>
          <w:rFonts w:ascii="Times New Roman" w:cs="Times New Roman" w:eastAsia="Times New Roman" w:hAnsi="Times New Roman"/>
          <w:sz w:val="18"/>
          <w:szCs w:val="18"/>
          <w:color w:val="auto"/>
        </w:rPr>
        <w:t>– We offer insurance policies for businesses interested in management of their exposure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infringement claims.</w:t>
      </w:r>
    </w:p>
    <w:p>
      <w:pPr>
        <w:spacing w:after="0" w:line="9" w:lineRule="exact"/>
        <w:rPr>
          <w:rFonts w:ascii="Times New Roman" w:cs="Times New Roman" w:eastAsia="Times New Roman" w:hAnsi="Times New Roman"/>
          <w:sz w:val="18"/>
          <w:szCs w:val="18"/>
          <w:color w:val="auto"/>
        </w:rPr>
      </w:pPr>
    </w:p>
    <w:p>
      <w:pPr>
        <w:ind w:left="820" w:right="6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Deterring Abusive Patent Assertion Practices </w:t>
      </w:r>
      <w:r>
        <w:rPr>
          <w:rFonts w:ascii="Times New Roman" w:cs="Times New Roman" w:eastAsia="Times New Roman" w:hAnsi="Times New Roman"/>
          <w:sz w:val="18"/>
          <w:szCs w:val="18"/>
          <w:color w:val="auto"/>
        </w:rPr>
        <w:t>- We believe we can improve the efficiency of the patent market, lower unnecessary costs, and deter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abusive patent assertion practices by performing systematic, high quality prior art searches on asserted patents, challenging the validity of low quality patents at the United States Patent and Trademark Office, and performing other activities to improve patent quality.</w:t>
      </w:r>
    </w:p>
    <w:p>
      <w:pPr>
        <w:spacing w:after="0" w:line="24" w:lineRule="exact"/>
        <w:rPr>
          <w:rFonts w:ascii="Times New Roman" w:cs="Times New Roman" w:eastAsia="Times New Roman" w:hAnsi="Times New Roman"/>
          <w:sz w:val="18"/>
          <w:szCs w:val="18"/>
          <w:color w:val="auto"/>
        </w:rPr>
      </w:pPr>
    </w:p>
    <w:p>
      <w:pPr>
        <w:ind w:left="820" w:right="68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Our Capabilities Through Complementary Acquisitions </w:t>
      </w:r>
      <w:r>
        <w:rPr>
          <w:rFonts w:ascii="Times New Roman" w:cs="Times New Roman" w:eastAsia="Times New Roman" w:hAnsi="Times New Roman"/>
          <w:sz w:val="18"/>
          <w:szCs w:val="18"/>
          <w:color w:val="auto"/>
        </w:rPr>
        <w:t>– We occasionally evaluate the potential acquisition of businesses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in adjacent markets that can enhance our capabilities and offerings to our clients.</w:t>
      </w:r>
    </w:p>
    <w:p>
      <w:pPr>
        <w:spacing w:after="0" w:line="9" w:lineRule="exact"/>
        <w:rPr>
          <w:rFonts w:ascii="Times New Roman" w:cs="Times New Roman" w:eastAsia="Times New Roman" w:hAnsi="Times New Roman"/>
          <w:sz w:val="18"/>
          <w:szCs w:val="18"/>
          <w:color w:val="auto"/>
        </w:rPr>
      </w:pPr>
    </w:p>
    <w:p>
      <w:pPr>
        <w:ind w:left="820" w:right="58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International Operations </w:t>
      </w:r>
      <w:r>
        <w:rPr>
          <w:rFonts w:ascii="Times New Roman" w:cs="Times New Roman" w:eastAsia="Times New Roman" w:hAnsi="Times New Roman"/>
          <w:sz w:val="18"/>
          <w:szCs w:val="18"/>
          <w:color w:val="auto"/>
        </w:rPr>
        <w:t>– We will continue to investigate expansionary efforts for our patent risk management and discovery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allow us to help our current and future clients manage litigation risks and legal costs internationally.</w:t>
      </w:r>
    </w:p>
    <w:p>
      <w:pPr>
        <w:spacing w:after="0" w:line="9" w:lineRule="exact"/>
        <w:rPr>
          <w:rFonts w:ascii="Times New Roman" w:cs="Times New Roman" w:eastAsia="Times New Roman" w:hAnsi="Times New Roman"/>
          <w:sz w:val="18"/>
          <w:szCs w:val="18"/>
          <w:color w:val="auto"/>
        </w:rPr>
      </w:pPr>
    </w:p>
    <w:p>
      <w:pPr>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Synergizing Our Client Base </w:t>
      </w:r>
      <w:r>
        <w:rPr>
          <w:rFonts w:ascii="Times New Roman" w:cs="Times New Roman" w:eastAsia="Times New Roman" w:hAnsi="Times New Roman"/>
          <w:sz w:val="18"/>
          <w:szCs w:val="18"/>
          <w:color w:val="auto"/>
        </w:rPr>
        <w:t>– We intend to leverage our relationships to cross-sell our discovery services and our patent risk management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client network. We believe we have a unique opportunity to expand our footprint through our existing client base while simultaneously helping clients reduce legal spend and mitigate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 Network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Risk Management Client Network</w:t>
      </w:r>
    </w:p>
    <w:p>
      <w:pPr>
        <w:spacing w:after="0" w:line="7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have built a network of clients that includes some of the world’s most prominent technology companies, as well as many smaller and emerging companies. As of December 31, 2016, we had 348 clients.</w:t>
      </w:r>
    </w:p>
    <w:p>
      <w:pPr>
        <w:spacing w:after="0" w:line="162" w:lineRule="exact"/>
        <w:rPr>
          <w:sz w:val="20"/>
          <w:szCs w:val="20"/>
          <w:color w:val="auto"/>
        </w:rPr>
      </w:pPr>
    </w:p>
    <w:p>
      <w:pPr>
        <w:jc w:val="both"/>
        <w:ind w:right="100" w:firstLine="486"/>
        <w:spacing w:after="0" w:line="289" w:lineRule="auto"/>
        <w:rPr>
          <w:sz w:val="20"/>
          <w:szCs w:val="20"/>
          <w:color w:val="auto"/>
        </w:rPr>
      </w:pPr>
      <w:r>
        <w:rPr>
          <w:rFonts w:ascii="Times New Roman" w:cs="Times New Roman" w:eastAsia="Times New Roman" w:hAnsi="Times New Roman"/>
          <w:sz w:val="17"/>
          <w:szCs w:val="17"/>
          <w:color w:val="auto"/>
        </w:rPr>
        <w:t>We believe our patent risk management services are broadly applicable to companies that design, make or sell technology-based products and services as well as to companies that use technology in their businesses. Our clients are active in a broad range of industries including consumer electronics, personal computers, e-commerce, financial services, software, media content and distribution, mobile communications and handsets, networking and semiconductors.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New Client Acquisitions</w:t>
      </w:r>
    </w:p>
    <w:p>
      <w:pPr>
        <w:spacing w:after="0" w:line="8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client development team identifies potential clients by prioritizing operating companies that have been subject to patent infringement claims initiated by NPEs. The membership team is responsible for educating potential clients on the benefits of our patent risk management services and explaining how these services mitigate patent risk and reduces expense. After we have communicated our business model to a prospective client, we invest considerable resources researching the company’s business, providing information about the patent market and developing a relationship of trust with the executives responsible for patent-related matters. We also proactively monitor litigation activity related to each of our clients and certain prospective clients to help us direct our patent asset acquisition and membership sales efforts. In addition, we conduct a variety of marketing efforts to establish ourselves as a leading source of information in the patent market, including industry conferences and seminars, public relations and industry research.</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Client Retention and Client Relations</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After a company has become a client, the maintenance of the relationship is handled by our client relations team. One of the primary responsibilities of our client relations team is to maintain frequent dialogue with senior executives of our clients so we can better understand their patent risk profiles. Our continued success and our ability to retain clients depend on our ability to demonstrate that our patent risk management services reduce their costs in patent matters.</w:t>
      </w:r>
    </w:p>
    <w:p>
      <w:pPr>
        <w:spacing w:after="0" w:line="180"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Our client relations team also provides clients with patent market intelligence and updates on our patent asset acquisitions over the term of their memberships. We provide this information through direct discussions with our clients and also share information with them through our proprietary web portal. We believe our frequent interactions allow us to optimize our patent asset acquisition decisions, thus supporting our client retention efforts.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 Asset Portfolio and Patent Asset Acquisition</w:t>
      </w:r>
    </w:p>
    <w:p>
      <w:pPr>
        <w:spacing w:after="0" w:line="8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acquire patent assets that are being or may be asserted against current or prospective clients. As of December 31, 2016, we had deployed over $2.2 billion of our capital and the capital of our clients to acquire patent assets. Of this amount, deployment of our capital totaled approximately $947 million. Since inception, approximately two-thirds of our $947 million patent acquisition capital has been deployed for the purchase of patent rights and the balance deployed for the purchase of patents. Acquisitions of patent rights generally benefit only those operating companies that are clients at the time of the acquisition, whereas acquisitions of patents benefit both current and future clients. Our patent asset acquisition efforts have been broadly diversified across the following market sectors: consumer electronics, personal computers, e-commerce, financial services, software, media content and distribution, mobile communications and handsets, networking and semiconductors.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substantial majority of our 385 acquisitions through December 31, 2016 involved patent assets that we believed were relevant to multiple clients and/or prospective clients and were funded with our own capital resources. 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We refer to such transactions as syndicated acquisitions. These syndicated acquisitions may secure rights just for those clients who elect to participate in the transaction or, if we contribute capital, may secure rights for all of our clients.</w:t>
      </w:r>
    </w:p>
    <w:p>
      <w:pPr>
        <w:spacing w:after="0" w:line="18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apply a disciplined and proprietary methodology to valuing patents that is based primarily on our judgment regarding the costs our clients might incur from potential assertions of those patents if we were not to acquire them. A number of factors are involved in our valuation methodology, including the degree to which patent claims may describe technologies incorporated in clients’ products or services, pricing expectations that we obtain from open market activities, the revenues our clients generate from products or services potentially affected by the patents, the extent to which the patents would be attractive to NPEs, and the legal quality of the patents and their likely validity. As part of our approach, we also consider the degree to which we have already acquired patent assets in similar market sectors that were being or may be asserted against each of our clients. We also closely monitor new case law and new legislation that can affect the underlying patent value.</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Because each acquisition of a patent asset may create value for more than one client, we believe our acquisitions of patent assets create a network effect: expanding our portfolio of patent assets results in greater patent risk mitigation for our clients, which we believe leads to greater opportunities to retain and grow our membership base.</w:t>
      </w:r>
    </w:p>
    <w:p>
      <w:pPr>
        <w:spacing w:after="0" w:line="176"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Our patent analysts, our acquisitions team, and our acquisitions approval committee employ a rigorous and disciplined approach to evaluating acquisition opportunities.</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situations where patents are already being asserted or litigated against our current or prospective clients, the evaluation process begins with a detailed review of the patents. Depending on the value of the transaction, the complexity of the evaluation process, the number of patent assets in the portfolio and the quality of the information provided by the seller or plaintiff, the patent acquisition process can range from as short as several weeks to more than six months.</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position as a leading acquirer of patent assets gives us extensive access and visibility into the patent market. We closely track patent assets that become available on the market and, as of December 31, 2016, we had reviewed more than 8,500 patent portfolios since our inception. We believe our position in the market gives us direct access to a diverse group of patent sources, including brokers, individuals, companies, universities and law firms, all of which are familiar with our approach and acquisition criteria. We believe this familiarity provides us early notice of patent portfolios that are entering the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Discovery Services Client Network</w:t>
      </w:r>
    </w:p>
    <w:p>
      <w:pPr>
        <w:spacing w:after="0" w:line="7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Historically, in-house corporate legal departments of major corporations and top-tier law firms have demonstrated the most significant need for our discovery services. We have key relationships with Fortune 500 and other large domestic and multinational corporations in a variety of industries including financial services, energy and utilities, healthcare and pharmaceuticals, technology, telecommunications, retailers, and others. We also provide services to Am Law 100 firms domestically, Magic Circle firms in the United Kingdom, and leading regional and specialty law firms domestically and internationally. As of December 31, 2016, we had over 1,000 discovery services clients.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Risk Management</w:t>
      </w:r>
    </w:p>
    <w:p>
      <w:pPr>
        <w:spacing w:after="0" w:line="7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our efforts to attract new clients and retain existing clients, our patent risk management services compete primarily against established patent risk management strategies within those companies. Companies employ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services and the value and cost savings they provide.</w:t>
      </w:r>
    </w:p>
    <w:p>
      <w:pPr>
        <w:spacing w:after="0" w:line="184"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competing for new clients, we also compete to acquire patent assets. Our primary competitors in the market for patent assets are other entities that seek to accumulate patent assets, including NPEs such as Wi-LAN, Acacia Research, and PanOptis. We also face competition for patent assets from operating companies, including current or potential clients that seek to acquire patents or license patent assets in connection with new or existing product offerings.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we compete favorably with other patent risk management services based on a number of factors:</w:t>
      </w:r>
    </w:p>
    <w:p>
      <w:pPr>
        <w:spacing w:after="0" w:line="77" w:lineRule="exact"/>
        <w:rPr>
          <w:sz w:val="20"/>
          <w:szCs w:val="20"/>
          <w:color w:val="auto"/>
        </w:rPr>
      </w:pPr>
    </w:p>
    <w:p>
      <w:pPr>
        <w:ind w:left="820" w:right="38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alignment of interest and strong relationships with our clients resulting from our pricing structure and guarantee never to assert our patent assets against our clients;</w:t>
      </w:r>
    </w:p>
    <w:p>
      <w:pPr>
        <w:spacing w:after="0" w:line="13"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the costs associated with patent market transactions by engaging in more transparent negotiations based on the economic value of patent assets rather than discussions involving litigation or the threat of litigation;</w:t>
      </w:r>
    </w:p>
    <w:p>
      <w:pPr>
        <w:spacing w:after="0" w:line="1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efficiency and expand our role in the patent market as our client network and capital available for patent asset acquisitions grows;</w:t>
      </w:r>
    </w:p>
    <w:p>
      <w:pPr>
        <w:spacing w:after="0" w:line="1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data regarding our analysis of the patent market and patent litigation; and</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extensive patent market expertise, relationships and transaction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Discovery Services</w:t>
      </w:r>
    </w:p>
    <w:p>
      <w:pPr>
        <w:spacing w:after="0" w:line="7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discovery services market is highly fragmented, extremely competitive, and continually changing as technology and the legal and regulatory environments evolve around the world. Our competitors include larger businesses that offer a distinct discovery service offering such as DTI Global, KrolLDiscovery, Consilio, and FTI Consulting. We also compete with smaller regional discovery services businesses as well as discovery services practices inside large and mid-sized law firms and professional services firms. Competition is primarily based on quality of service, level of data security, geographic reach, technology innovation, and pricing. We believe we generally compete favorably with other discovery services in these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rely primarily on a combination of confidentiality, license and other contractual provisions and trademark, trade secret and copyright law to protect our proprietary intellectual property rights. Despite our efforts to protect our proprietary rights, unauthorized parties may attempt to copy or obtain and use our technology. We rely on a dedicated internal team as well as third-party vendors and advisors to assist with the maintenance and prosecution of the patent assets and applications that we acquire.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2016, we had 298 employees. Of the total employees, 108 are engaged in discovery services operations, 92 in sales, marketing and corporate development, 52 in legal, finance, and administration, 28 in patent acquisition and research, and 18 in system development and information technology. Of these employees, approximately 90% were employed in the United States and approximately 10% were employed internationally. None of our employees is represented by a labor union, and we consider current employee relations to be good.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81"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July 2008. Our principal executive offices are located at One Market Plaza, Suite 800, San Francisco, California 94105. Our telephone number is (866) 779-7641. Our website address is www.rpxcorp.com. The information on, or that can be accessed through, our website is not part of this Annual Report on Form 10-K.</w:t>
      </w:r>
    </w:p>
    <w:p>
      <w:pPr>
        <w:spacing w:after="0" w:line="176" w:lineRule="exact"/>
        <w:rPr>
          <w:sz w:val="20"/>
          <w:szCs w:val="20"/>
          <w:color w:val="auto"/>
        </w:rPr>
      </w:pPr>
    </w:p>
    <w:p>
      <w:pPr>
        <w:ind w:right="100" w:firstLine="486"/>
        <w:spacing w:after="0" w:line="218" w:lineRule="auto"/>
        <w:rPr>
          <w:sz w:val="20"/>
          <w:szCs w:val="20"/>
          <w:color w:val="auto"/>
        </w:rPr>
      </w:pPr>
      <w:r>
        <w:rPr>
          <w:rFonts w:ascii="Times New Roman" w:cs="Times New Roman" w:eastAsia="Times New Roman" w:hAnsi="Times New Roman"/>
          <w:sz w:val="18"/>
          <w:szCs w:val="18"/>
          <w:color w:val="auto"/>
        </w:rPr>
        <w:t xml:space="preserve">RPX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Rational Patent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are registered trademarks of RPX Corporation. Any other trademarks appearing in this Annual Report on Form 10-K are the property of their respective holders.</w:t>
      </w:r>
    </w:p>
    <w:p>
      <w:pPr>
        <w:spacing w:after="0" w:line="19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have two operating segments: patent risk management and discovery services. A summary of our financial information by geographic location is found in Note 17, “Segment Reporting,” in the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reports filed pursuant to Sections 13(a) and 15(d) of the Securities Exchange Act of 1934, as amended, are available free of charge on the Investor Relations section of our Web site at www.rpxcorp.com as soon as reasonably practicable after we file such material with the Securities and Exchange Commission (“SEC”). The public may read and copy any materials filed with the SEC at the SEC's Public Reference Room at 100 F Street, NE, Room 1580,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at www.sec.gov. The other information posted on our website is not incorporated into this Annual Report on Form 10-K.</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79" w:lineRule="exact"/>
        <w:rPr>
          <w:sz w:val="20"/>
          <w:szCs w:val="20"/>
          <w:color w:val="auto"/>
        </w:rPr>
      </w:pPr>
    </w:p>
    <w:p>
      <w:pPr>
        <w:jc w:val="both"/>
        <w:ind w:right="100" w:firstLine="446"/>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7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10"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right="44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lengthy and unpredictable membership sales cycle, including delays in potential clients’ decisions whether to subscribe to our patent risk management services;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subscription fee rates or changes in our own pricing and discounting policies or those of our competitors;</w:t>
      </w:r>
    </w:p>
    <w:p>
      <w:pPr>
        <w:spacing w:after="0" w:line="63" w:lineRule="exact"/>
        <w:rPr>
          <w:rFonts w:ascii="Times New Roman" w:cs="Times New Roman" w:eastAsia="Times New Roman" w:hAnsi="Times New Roman"/>
          <w:sz w:val="18"/>
          <w:szCs w:val="18"/>
          <w:color w:val="auto"/>
        </w:rPr>
      </w:pPr>
    </w:p>
    <w:p>
      <w:pPr>
        <w:ind w:left="820" w:right="18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subscription fees from clients whose annual subscription fees decrease due to declining operating income or revenue of such clients or the effects of changes in foreign exchange rates;</w:t>
      </w:r>
    </w:p>
    <w:p>
      <w:pPr>
        <w:spacing w:after="0" w:line="1" w:lineRule="exact"/>
        <w:rPr>
          <w:rFonts w:ascii="Times New Roman" w:cs="Times New Roman" w:eastAsia="Times New Roman" w:hAnsi="Times New Roman"/>
          <w:sz w:val="18"/>
          <w:szCs w:val="18"/>
          <w:color w:val="auto"/>
        </w:rPr>
      </w:pPr>
    </w:p>
    <w:p>
      <w:pPr>
        <w:ind w:left="820" w:right="8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and regulations and other legislation, as well as United States Patent and Trademark Office procedures or court rulings, that reduce the value of our services to our existing and potential clients;</w:t>
      </w:r>
    </w:p>
    <w:p>
      <w:pPr>
        <w:spacing w:after="0" w:line="1" w:lineRule="exact"/>
        <w:rPr>
          <w:rFonts w:ascii="Times New Roman" w:cs="Times New Roman" w:eastAsia="Times New Roman" w:hAnsi="Times New Roman"/>
          <w:sz w:val="18"/>
          <w:szCs w:val="18"/>
          <w:color w:val="auto"/>
        </w:rPr>
      </w:pPr>
    </w:p>
    <w:p>
      <w:pPr>
        <w:ind w:left="820" w:right="6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discovery services clients and projects which are difficult to predict and may result in material changes in quarterly revenue and costs;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clients’ and prospective clients’ costs of litigating patent infringement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incurred as a result of claims made on insurance policies underwritten or assumed by us;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non-renewals from existing clients for any reason;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clients, including through acquisitions or consolidations;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w:t>
      </w:r>
    </w:p>
    <w:p>
      <w:pPr>
        <w:spacing w:after="0" w:line="63" w:lineRule="exact"/>
        <w:rPr>
          <w:rFonts w:ascii="Times New Roman" w:cs="Times New Roman" w:eastAsia="Times New Roman" w:hAnsi="Times New Roman"/>
          <w:sz w:val="18"/>
          <w:szCs w:val="18"/>
          <w:color w:val="auto"/>
        </w:rPr>
      </w:pPr>
    </w:p>
    <w:p>
      <w:pPr>
        <w:ind w:left="820" w:right="22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acquire patent assets that are being asserted or may be asserted against our clients due to lack of availability, unfavorable pricing terms or otherwise;</w:t>
      </w:r>
    </w:p>
    <w:p>
      <w:pPr>
        <w:spacing w:after="0" w:line="1" w:lineRule="exact"/>
        <w:rPr>
          <w:rFonts w:ascii="Times New Roman" w:cs="Times New Roman" w:eastAsia="Times New Roman" w:hAnsi="Times New Roman"/>
          <w:sz w:val="18"/>
          <w:szCs w:val="18"/>
          <w:color w:val="auto"/>
        </w:rPr>
      </w:pPr>
    </w:p>
    <w:p>
      <w:pPr>
        <w:ind w:left="820" w:right="14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treatment associated with our acquisitions of patent assets, how we amortize those patent assets and how we recognize revenue under subscription agreements;</w:t>
      </w:r>
    </w:p>
    <w:p>
      <w:pPr>
        <w:spacing w:after="0" w:line="1" w:lineRule="exact"/>
        <w:rPr>
          <w:rFonts w:ascii="Times New Roman" w:cs="Times New Roman" w:eastAsia="Times New Roman" w:hAnsi="Times New Roman"/>
          <w:sz w:val="18"/>
          <w:szCs w:val="18"/>
          <w:color w:val="auto"/>
        </w:rPr>
      </w:pPr>
    </w:p>
    <w:p>
      <w:pPr>
        <w:ind w:left="82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patent assets with a shorter estimated useful life that increases our near-term patent asset amortization expense and decreases our earnings;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develop and implement new services that meet client requirements in a timely manner;</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we need to pay to acquire patent assets;</w:t>
      </w:r>
    </w:p>
    <w:p>
      <w:pPr>
        <w:spacing w:after="0" w:line="63" w:lineRule="exact"/>
        <w:rPr>
          <w:rFonts w:ascii="Times New Roman" w:cs="Times New Roman" w:eastAsia="Times New Roman" w:hAnsi="Times New Roman"/>
          <w:sz w:val="18"/>
          <w:szCs w:val="18"/>
          <w:color w:val="auto"/>
        </w:rPr>
      </w:pPr>
    </w:p>
    <w:p>
      <w:pPr>
        <w:ind w:left="820" w:right="20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including those attributable to additional headcount, the costs of new business initiatives, and our acquisition of Inventus;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related to our acquisition of Inventus and the expansion of our business into discovery services;</w:t>
      </w:r>
    </w:p>
    <w:p>
      <w:pPr>
        <w:spacing w:after="0" w:line="63" w:lineRule="exact"/>
        <w:rPr>
          <w:rFonts w:ascii="Times New Roman" w:cs="Times New Roman" w:eastAsia="Times New Roman" w:hAnsi="Times New Roman"/>
          <w:sz w:val="18"/>
          <w:szCs w:val="18"/>
          <w:color w:val="auto"/>
        </w:rPr>
      </w:pPr>
    </w:p>
    <w:p>
      <w:pPr>
        <w:ind w:left="820" w:right="48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in the competitive dynamics of our market, including new competitors or substantial discounting of services that are viewed by our target market as competitive to ours;</w:t>
      </w:r>
    </w:p>
    <w:p>
      <w:pPr>
        <w:spacing w:after="0" w:line="1" w:lineRule="exact"/>
        <w:rPr>
          <w:rFonts w:ascii="Times New Roman" w:cs="Times New Roman" w:eastAsia="Times New Roman" w:hAnsi="Times New Roman"/>
          <w:sz w:val="18"/>
          <w:szCs w:val="18"/>
          <w:color w:val="auto"/>
        </w:rPr>
      </w:pPr>
    </w:p>
    <w:p>
      <w:pPr>
        <w:ind w:left="820" w:right="80" w:hanging="326"/>
        <w:spacing w:after="0" w:line="28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debt service obligations and repayment thereof;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820" w:right="14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 the industries that we serve, particularly as they affect the intellectual property risk management and/or litigation budgets of our existing or potential clients.</w:t>
      </w:r>
    </w:p>
    <w:p>
      <w:pPr>
        <w:spacing w:after="0" w:line="162" w:lineRule="exact"/>
        <w:rPr>
          <w:sz w:val="20"/>
          <w:szCs w:val="20"/>
          <w:color w:val="auto"/>
        </w:rPr>
      </w:pPr>
    </w:p>
    <w:p>
      <w:pPr>
        <w:ind w:right="380" w:firstLine="446"/>
        <w:spacing w:after="0" w:line="282" w:lineRule="auto"/>
        <w:rPr>
          <w:sz w:val="20"/>
          <w:szCs w:val="20"/>
          <w:color w:val="auto"/>
        </w:rPr>
      </w:pPr>
      <w:r>
        <w:rPr>
          <w:rFonts w:ascii="Times New Roman" w:cs="Times New Roman" w:eastAsia="Times New Roman" w:hAnsi="Times New Roman"/>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patent risk management services is evolving, and if these services are not widely accepted or is accepted more slowly than we expect, our operating results will be adversely affected.</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have derived substantially all of our revenue from the sale of memberships to our patent risk management services and we expect this will continue for the foreseeable future. As a result, widespread acceptance of these services is critical to our future success. The market for patent risk management services is evolving and it is uncertain whether these services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services, then wide market adoption of our patent risk management services will not develop, or it may develop more slowly than we expect. Either scenario would adversely affect our operating results in a significant way. Factors that may negatively affect wide market acceptance of these services, as well as our ability to obtain new clients and renew existing clients, include:</w:t>
      </w:r>
    </w:p>
    <w:p>
      <w:pPr>
        <w:spacing w:after="0" w:line="27"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assertions from non-practicing entities ("NPEs") or decreased patent licensing fees owed to NPEs;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NPEs to bring patent claims or limitations on the potential damages recoverable from such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cost to our clients of defending patent assertion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our ability to significantly reduce patent litigation costs for a particular company;</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perceived relevance and value in our existing patent asset portfolio by existing or potential clients;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by existing or potential clients about our future ability to obtain rights to patent assets that are being or may be asserted against them;</w:t>
      </w:r>
    </w:p>
    <w:p>
      <w:pPr>
        <w:spacing w:after="0" w:line="63" w:lineRule="exact"/>
        <w:rPr>
          <w:rFonts w:ascii="Times New Roman" w:cs="Times New Roman" w:eastAsia="Times New Roman" w:hAnsi="Times New Roman"/>
          <w:sz w:val="18"/>
          <w:szCs w:val="18"/>
          <w:color w:val="auto"/>
        </w:rPr>
      </w:pPr>
    </w:p>
    <w:p>
      <w:pPr>
        <w:ind w:left="820" w:right="100" w:hanging="326"/>
        <w:spacing w:after="0" w:line="28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incentives to renew memberships if clients have vested into perpetual licenses in all patent assets that they believe are materially relevant to their businesses;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interest by mid- and small-size companies in our patent risk management or insurance offerings;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 for companies to become clients because we do not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we might change our current business model and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limitations for existing or potential clients;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adequate coverage for the risks and expenses we attempt to reduce is available from alternative products or services.</w:t>
      </w:r>
    </w:p>
    <w:p>
      <w:pPr>
        <w:spacing w:after="0" w:line="22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services, our business and operating results will be adversely affected.</w:t>
      </w:r>
    </w:p>
    <w:p>
      <w:pPr>
        <w:spacing w:after="0" w:line="26"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acquired our first patent assets in September 2008, sold our first membership in October 2008, and sold our first insurance policy in August 2012. In addition, we acquired Inventus and its litigation discovery services business in January 2016. The litigation discovery services business is a new business for us. Therefore, we have not only a limited operating history, but also a limited track record in executing our business model. Our future success depends on acceptance of our services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85"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If the market for our services develops more slowly than we anticipate, or if competitors introduce new solutions that compete with our services,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for our subscription business in the future, it may be more difficult for us to attract new clients. In order to attract new clients and retain existing clients, in certain cases we have previously offered, and may in the future offer, discounts or other contractual incentives to clients.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10"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76"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0"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Because we operate in a relatively new and unproven market, our membership sales efforts involve educating potential clients about the benefit of our services,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0"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Our clients have no obligation to renew their subscriptions after the expiration of their initial membership period. We have limited historical data with respect to rates of subscription renewals, so we cannot accurately predict renewal rates. As of December 31, 2016 the weighted-average term of our subscription agreements with our current clients since the inception of those agreements was 2.4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has decreased and may continue to decrease further. If our clients do not renew their subscriptions or renew for shorter terms or if we allow them to renew at reduced subscription fees, our revenue may decline and our business may be adversely affected.</w:t>
      </w:r>
    </w:p>
    <w:p>
      <w:pPr>
        <w:spacing w:after="0" w:line="185"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services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services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Inventus security measures are breached, our discovery services may be perceived as not being secure, clients may curtail or stop using our discovery services, and we may incur significant legal and financial exposure.</w:t>
      </w:r>
    </w:p>
    <w:p>
      <w:pPr>
        <w:spacing w:after="0" w:line="1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process, store, and transmit large amounts of data, including personal information, for our discovery services clients, and a material security breach would expose us to a risk of loss of this information, litigation, and potential liability. Because the techniques used to obtain unauthorized access, disable or degrade service, or sabotage systems change frequently and often are not recognized until launched against a target, we may be unable to anticipate these techniques or to implement adequate preventative measures.</w:t>
      </w:r>
    </w:p>
    <w:p>
      <w:pPr>
        <w:spacing w:after="0" w:line="24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10" w:lineRule="exact"/>
        <w:rPr>
          <w:sz w:val="20"/>
          <w:szCs w:val="20"/>
          <w:color w:val="auto"/>
        </w:rPr>
      </w:pPr>
    </w:p>
    <w:p>
      <w:pPr>
        <w:ind w:right="200" w:firstLine="446"/>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Our chief executive officer recently resigned his employment with us and we are currently searching for a new chief executive officer. We do not maintain key person life insurance policies on any of our employees. The loss of one or more of our key employees, including the recent loss of our chief executive officer, could seriously harm our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identify, attract, train, integrate and retain highly qualified employees would harm our business.</w:t>
      </w:r>
    </w:p>
    <w:p>
      <w:pPr>
        <w:spacing w:after="0" w:line="81"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25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13"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23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services of the type we offer compared to large companies. Furthermore, small and mid-size companies are generally not subject to as much patent litigation as large companies and, therefore, may not perceive that the benefits of our services justify their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8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investing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19"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We are investing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recently acquired Inventus,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13"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products or technologies that we believe could complement or expand our services,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may not achieve the anticipated benefits from the Inventus or another acquisition due to a number of factors, including:</w:t>
      </w:r>
    </w:p>
    <w:p>
      <w:pPr>
        <w:spacing w:after="0" w:line="333"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services and personnel;</w:t>
      </w:r>
    </w:p>
    <w:p>
      <w:pPr>
        <w:spacing w:after="0" w:line="63" w:lineRule="exact"/>
        <w:rPr>
          <w:rFonts w:ascii="Times New Roman" w:cs="Times New Roman" w:eastAsia="Times New Roman" w:hAnsi="Times New Roman"/>
          <w:sz w:val="18"/>
          <w:szCs w:val="18"/>
          <w:color w:val="auto"/>
        </w:rPr>
      </w:pPr>
    </w:p>
    <w:p>
      <w:pPr>
        <w:ind w:left="820" w:right="20" w:hanging="326"/>
        <w:spacing w:after="0" w:line="28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spacing w:after="0" w:line="1" w:lineRule="exact"/>
        <w:rPr>
          <w:rFonts w:ascii="Times New Roman" w:cs="Times New Roman" w:eastAsia="Times New Roman" w:hAnsi="Times New Roman"/>
          <w:sz w:val="18"/>
          <w:szCs w:val="18"/>
          <w:color w:val="auto"/>
        </w:rPr>
      </w:pPr>
    </w:p>
    <w:p>
      <w:pPr>
        <w:ind w:left="820" w:right="240" w:hanging="326"/>
        <w:spacing w:after="0" w:line="266"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14" w:lineRule="exact"/>
        <w:rPr>
          <w:rFonts w:ascii="Times New Roman" w:cs="Times New Roman" w:eastAsia="Times New Roman" w:hAnsi="Times New Roman"/>
          <w:sz w:val="18"/>
          <w:szCs w:val="18"/>
          <w:color w:val="auto"/>
        </w:rPr>
      </w:pPr>
    </w:p>
    <w:p>
      <w:pPr>
        <w:jc w:val="both"/>
        <w:ind w:left="820" w:right="120" w:hanging="326"/>
        <w:spacing w:after="0" w:line="266"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14" w:lineRule="exact"/>
        <w:rPr>
          <w:rFonts w:ascii="Times New Roman" w:cs="Times New Roman" w:eastAsia="Times New Roman" w:hAnsi="Times New Roman"/>
          <w:sz w:val="18"/>
          <w:szCs w:val="18"/>
          <w:color w:val="auto"/>
        </w:rPr>
      </w:pPr>
    </w:p>
    <w:p>
      <w:pPr>
        <w:ind w:left="820" w:right="720" w:hanging="326"/>
        <w:spacing w:after="0" w:line="28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customers, vendors, and other business partners of the companies we acquire following the announcement of our transaction plans;</w:t>
      </w:r>
    </w:p>
    <w:p>
      <w:pPr>
        <w:spacing w:after="0" w:line="1" w:lineRule="exact"/>
        <w:rPr>
          <w:rFonts w:ascii="Times New Roman" w:cs="Times New Roman" w:eastAsia="Times New Roman" w:hAnsi="Times New Roman"/>
          <w:sz w:val="18"/>
          <w:szCs w:val="18"/>
          <w:color w:val="auto"/>
        </w:rPr>
      </w:pPr>
    </w:p>
    <w:p>
      <w:pPr>
        <w:ind w:left="820" w:hanging="326"/>
        <w:spacing w:after="0" w:line="28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inefficiencies and lack of control that may result if such integration is delayed or not implemented, and unforeseen difficulties and expenditures that may arise as a result;</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lawsuits resulting from the acquisition;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expansion into new international markets;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financial and accounting challenges and complexities in areas such as tax planning and cash management;</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282" w:lineRule="auto"/>
        <w:rPr>
          <w:sz w:val="20"/>
          <w:szCs w:val="20"/>
          <w:color w:val="auto"/>
        </w:rPr>
      </w:pPr>
      <w:r>
        <w:rPr>
          <w:rFonts w:ascii="Times New Roman" w:cs="Times New Roman" w:eastAsia="Times New Roman" w:hAnsi="Times New Roman"/>
          <w:sz w:val="18"/>
          <w:szCs w:val="18"/>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5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3"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76" w:lineRule="exact"/>
        <w:rPr>
          <w:sz w:val="20"/>
          <w:szCs w:val="20"/>
          <w:color w:val="auto"/>
        </w:rPr>
      </w:pPr>
    </w:p>
    <w:p>
      <w:pPr>
        <w:jc w:val="both"/>
        <w:ind w:right="100" w:firstLine="446"/>
        <w:spacing w:after="0" w:line="261" w:lineRule="auto"/>
        <w:rPr>
          <w:sz w:val="20"/>
          <w:szCs w:val="20"/>
          <w:color w:val="auto"/>
        </w:rPr>
      </w:pPr>
      <w:r>
        <w:rPr>
          <w:rFonts w:ascii="Times New Roman" w:cs="Times New Roman" w:eastAsia="Times New Roman" w:hAnsi="Times New Roman"/>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76"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discovery services engagement agreements, including those related to our largest clients, can be terminated by our clients with little or no notice and without penalty, which may cause our operating results to be unpredictable.</w:t>
      </w:r>
    </w:p>
    <w:p>
      <w:pPr>
        <w:spacing w:after="0" w:line="10"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discovery services clients typically retain us on an engagement-by-engagement basis, rather than under fixed-term contracts; the volume of work performed for any particular client is likely to vary from month to month and year to year, and a major client in one fiscal period may not require or may decide not to use our services in any subsequent fiscal period. Almost all of our discovery services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When discovery services engagements are terminated or reduced, we lose the associated future revenues, and we may not be able to recover associated costs or redeploy the affected employees in a timely manner to minimize the negative impact. In addition, our discovery services clients’ ability to terminate engagements with little or no notice and without penalty makes it difficult to predict our operating results for the discovery services segment in any particular fiscal period.</w:t>
      </w:r>
    </w:p>
    <w:p>
      <w:pPr>
        <w:spacing w:after="0" w:line="181"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very limited flexibility to change the pricing of our services for existing clients and may not be able to respond effectively to changes in our market. This limited flexibility could have an adverse effect on our operating results.</w:t>
      </w: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8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Releases of new software products or upgrades to our existing software products or licensed third-party software may have undetected errors, or may not operate as intended or achieve our client's desired objectives, which could cause litigation claims against us, damage to our reputation, or loss of business.</w:t>
      </w:r>
    </w:p>
    <w:p>
      <w:pPr>
        <w:spacing w:after="0" w:line="2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Certain of our discovery services utilize software developed by us or third parties for the needs of our clients. Complex software products, such as those we utilize, can contain undetected errors when first introduced or as new versions are released, or may fail to operate as intended or achieve the client’s desired objectives. Any introduction of new software products or upgrade to existing software products has a risk of undetected errors. These undetected errors may be discovered only after a product has been installed and used either in our internal processing or by our clients. Likewise, the software products we acquire in business acquisitions have a risk of undetected errors. Any undetected errors, difficulties in installing and maintaining our software products or upgrade releases, or the failure to achieve the client's desired objectives, may result in a delay or loss of revenue, diversion of development resources, damage to our reputation, the loss of that client, loss of future business, increased service costs, potential litigation claims against us, or impaired market acceptance of our products.</w:t>
      </w:r>
    </w:p>
    <w:p>
      <w:pPr>
        <w:spacing w:after="0" w:line="181"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others in our patent risk management or legal discovery services businesses. Any failure to compete effectively could harm our business and results of operations.</w:t>
      </w: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services and the value and cost savings they provide.</w:t>
      </w:r>
    </w:p>
    <w:p>
      <w:pPr>
        <w:spacing w:after="0" w:line="184"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In addition to competing for new clients, we also compete to acquire patent assets. Our primary competitors in the market for patent assets are varied and include other entities that seek to accumulate patent assets, including NPEs such as Wi-LAN, Acacia Research, and PanOptis. Many of our current or potential competitors have longer operating histories and significantly greater financial resources than we have. In addition, many NPEs that compete with us to acquire patent assets have complicated corporate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80" w:lineRule="exact"/>
        <w:rPr>
          <w:sz w:val="20"/>
          <w:szCs w:val="20"/>
          <w:color w:val="auto"/>
        </w:rPr>
      </w:pPr>
    </w:p>
    <w:p>
      <w:pPr>
        <w:ind w:right="280" w:firstLine="446"/>
        <w:spacing w:after="0" w:line="256" w:lineRule="auto"/>
        <w:rPr>
          <w:sz w:val="20"/>
          <w:szCs w:val="20"/>
          <w:color w:val="auto"/>
        </w:rPr>
      </w:pPr>
      <w:r>
        <w:rPr>
          <w:rFonts w:ascii="Times New Roman" w:cs="Times New Roman" w:eastAsia="Times New Roman" w:hAnsi="Times New Roman"/>
          <w:sz w:val="18"/>
          <w:szCs w:val="18"/>
          <w:color w:val="auto"/>
        </w:rPr>
        <w:t>In addition, the discovery services market is highly fragmented, extremely competitive, and continually changing as technology and the legal and regulatory environments evolve around the world. Our competitors include larger businesses that offer a distinct discovery service offering such as DTI Global, KrolLDiscovery, Consilio, and FTI Consulting. We also compete with smaller regional discovery services businesses as well as discovery services practices inside large and mid-sized law firms and professional services firms. Many of our competitors in this market have a greater national and international presence, as well as have a significantly greater number of personnel, financial, technical, and marketing resources. In addition, these competitors may generate greater revenues and have greater name recognition than we do.</w:t>
      </w:r>
    </w:p>
    <w:p>
      <w:pPr>
        <w:spacing w:after="0" w:line="188"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We expect to face more direct competition in the future in both our patent risk management business and litigation discovery services business from other established and emerging companies. In addition, as a relatively new company in the patent risk management market and litigation discovery services market, we have limited insight into trends that may develop and affect our businesses. As a result, we may make errors in predicting and reacting to relevant business trends, making us unable to compete effectively against others.</w:t>
      </w:r>
    </w:p>
    <w:p>
      <w:pPr>
        <w:spacing w:after="0" w:line="180"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Our current or potential competitors in both our patent risk management business and litigation discovery services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acquisitions of patent assets are time consuming, complex and costly, which could adversely affect our operating results.</w:t>
      </w:r>
    </w:p>
    <w:p>
      <w:pPr>
        <w:spacing w:after="0" w:line="67" w:lineRule="exact"/>
        <w:rPr>
          <w:sz w:val="20"/>
          <w:szCs w:val="20"/>
          <w:color w:val="auto"/>
        </w:rPr>
      </w:pPr>
    </w:p>
    <w:p>
      <w:pPr>
        <w:ind w:right="120" w:firstLine="446"/>
        <w:spacing w:after="0" w:line="255" w:lineRule="auto"/>
        <w:rPr>
          <w:sz w:val="20"/>
          <w:szCs w:val="20"/>
          <w:color w:val="auto"/>
        </w:rPr>
      </w:pPr>
      <w:r>
        <w:rPr>
          <w:rFonts w:ascii="Times New Roman" w:cs="Times New Roman" w:eastAsia="Times New Roman" w:hAnsi="Times New Roman"/>
          <w:sz w:val="18"/>
          <w:szCs w:val="18"/>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89" w:lineRule="exact"/>
        <w:rPr>
          <w:sz w:val="20"/>
          <w:szCs w:val="20"/>
          <w:color w:val="auto"/>
        </w:rPr>
      </w:pPr>
    </w:p>
    <w:p>
      <w:pPr>
        <w:ind w:right="140" w:firstLine="446"/>
        <w:spacing w:after="0" w:line="256" w:lineRule="auto"/>
        <w:rPr>
          <w:sz w:val="20"/>
          <w:szCs w:val="20"/>
          <w:color w:val="auto"/>
        </w:rPr>
      </w:pPr>
      <w:r>
        <w:rPr>
          <w:rFonts w:ascii="Times New Roman" w:cs="Times New Roman" w:eastAsia="Times New Roman" w:hAnsi="Times New Roman"/>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highly visible.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8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New legislation, regulations or court rulings related to enforcing patents could reduce the value of our services to clients or potential clients and harm our business and operating results.</w:t>
      </w:r>
    </w:p>
    <w:p>
      <w:pPr>
        <w:ind w:firstLine="446"/>
        <w:spacing w:after="0" w:line="254" w:lineRule="auto"/>
        <w:rPr>
          <w:sz w:val="20"/>
          <w:szCs w:val="20"/>
          <w:color w:val="auto"/>
        </w:rPr>
      </w:pPr>
      <w:r>
        <w:rPr>
          <w:rFonts w:ascii="Times New Roman" w:cs="Times New Roman" w:eastAsia="Times New Roman" w:hAnsi="Times New Roman"/>
          <w:sz w:val="18"/>
          <w:szCs w:val="18"/>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services to our current and potential clients. For example, limitations on the ability to bring patent enforcement claims or the venue for those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services or renew their memberships. Furthermore, even if companies are interested in subscribing to our services or maintaining their memberships, companies may be unwilling to pay the subscription fees that we propose. Any of these events could result in a material adverse effect on our business and operating results.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In addition, future laws and regulations, or judicial interpretations thereof, could adversely affect our discovery services clients and thus indirectly affect our business. For example, changes to the Federal Rules of Civil Procedure regarding discovery of "electronically stored information" could result in a decreased need for discovery services. Any of these events could result in a material adverse effect on our business and operating results.</w:t>
      </w:r>
    </w:p>
    <w:p>
      <w:pPr>
        <w:spacing w:after="0" w:line="226"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ind w:right="280" w:firstLine="446"/>
        <w:spacing w:after="0" w:line="261" w:lineRule="auto"/>
        <w:rPr>
          <w:sz w:val="20"/>
          <w:szCs w:val="20"/>
          <w:color w:val="auto"/>
        </w:rPr>
      </w:pPr>
      <w:r>
        <w:rPr>
          <w:rFonts w:ascii="Times New Roman" w:cs="Times New Roman" w:eastAsia="Times New Roman" w:hAnsi="Times New Roman"/>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unavailability of third-party technology could adversely impact our revenue and results of operations.</w:t>
      </w:r>
    </w:p>
    <w:p>
      <w:pPr>
        <w:spacing w:after="0" w:line="121" w:lineRule="exact"/>
        <w:rPr>
          <w:sz w:val="20"/>
          <w:szCs w:val="20"/>
          <w:color w:val="auto"/>
        </w:rPr>
      </w:pPr>
    </w:p>
    <w:p>
      <w:pPr>
        <w:ind w:right="20" w:firstLine="486"/>
        <w:spacing w:after="0" w:line="319" w:lineRule="auto"/>
        <w:rPr>
          <w:sz w:val="20"/>
          <w:szCs w:val="20"/>
          <w:color w:val="auto"/>
        </w:rPr>
      </w:pPr>
      <w:r>
        <w:rPr>
          <w:rFonts w:ascii="Times New Roman" w:cs="Times New Roman" w:eastAsia="Times New Roman" w:hAnsi="Times New Roman"/>
          <w:sz w:val="18"/>
          <w:szCs w:val="18"/>
          <w:color w:val="auto"/>
        </w:rPr>
        <w:t>We license certain discovery-related software from third parties and incorporate such software into our discovery services. Most of our third-party software license contracts expire within one year and may be renewed only by mutual consent. There is no assurance that we will be able to renew these contracts as they expire or that such renewals will be on the same or substantially similar terms or on conditions that are commercially reasonable to us. If we fail to renew these contracts as they expire, our discovery services offerings may be reduced. In addition, our third-party software licenses are non-exclusive, and therefore, our competitors may obtain the right to license certain of the technology covered by these agreements to compete directly with us. In certain situations, our third party software licensors are themselves also our competitors in the discovery services market.</w:t>
      </w:r>
    </w:p>
    <w:p>
      <w:pPr>
        <w:spacing w:after="0" w:line="15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If certain of our third-party licensors were to change product offerings, cease actively supporting the technologies, fail to update and enhance the technologies to keep pace with changing industry standards, encounter technical difficulties in the continuing development of these technologies, significantly increase prices, terminate our licenses, suffer significant capacity or supply chain constraints or suffer significant disruptions, we would need to seek alternative suppliers and incur additional internal or external development costs to ensure continued performance of our discovery services. Such alternatives may not be available on attractive terms, or may not be as widely accepted or as effective as the current licenses provided by our existing suppliers. If the cost of licensing or maintaining the third party intellectual property significantly increases, our operating earnings could significantly decrease. In addition, interruption in functionality of our services and products as a result of changes in or with third party licensors could adversely affect our commitments to clients, future sales, and negatively affect our revenue and operating earnings.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 at the data centers we utilize for discovery services could impair the delivery of our service and harm our business.</w:t>
      </w:r>
    </w:p>
    <w:p>
      <w:pPr>
        <w:spacing w:after="0" w:line="8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provide services through computer hardware that is located in co-location data centers operated by unrelated third parties. Although we do own that computer hardware, we do not control the operation of these colocation facilities, which increases our vulnerability to problems with the services they provide. The data centers are subject to damage or interruption from earthquakes, floods, fires, power loss, terrorist attacks, telecommunications failures and similar events. These facilities are also subject to break-ins, sabotage, intentional acts of vandalism and similar misconduct. The occurrence of any of these events or other unanticipated problems at a facility could result in interruptions in certain of our services, although we have established backup recovery data centers to try to minimize this risk. In addition, the failure by our vendor to provide our required data communications capacity could result in poor service or interruptions in our service. Any damage to, or failure of, our systems or services could reduce our revenue, cause us to issue credits or pay penalties, cause clients to terminate their agreements with us and adversely affect our ability to secure business in the future. Our business will be harmed if our clients and potential clients believe our services are unreliable.</w:t>
      </w:r>
    </w:p>
    <w:p>
      <w:pPr>
        <w:spacing w:after="0" w:line="185"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requires estimates and judgments by our management. Our estimates and judgments are subject to changes that could adversely affect our operating results.</w:t>
      </w: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enhance our current services or to develop or acquire new services to provide additional value to our clients and potential clients, we may not be able to maintain our growth, and our business may be harmed.</w:t>
      </w: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In order to attract new clients and retain existing clients, we need to enhance and improve our existing service offering and introduce new services that meet the needs of our clients. We have in the past, and may in the future, seek to acquire or invest in businesses, products or technologies that we believe could complement or expand our services, enhance our technical capabilities or otherwise offer growth opportunities. For example, in June 2014 we acquired DCML Services Corporation, a provider of data, intelligence and consulting on NPEs.</w:t>
      </w:r>
    </w:p>
    <w:p>
      <w:pPr>
        <w:spacing w:after="0" w:line="180"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services, particularly our legal discovery services, will continue to require substantial time and resources, as well as require us to operate businesses that would be new to our organization. These or any other new services may not be introduced in a timely manner or at all. If we do introduce these or any other services, we may be unable to implement such services in a cost-effective manner, achieve wide market acceptance, meet client expectations or generate revenue sufficient to recoup the cost of developing such services. Any new services we introduce may expose us to additional laws, regulations and risks. If we are unable to develop these or other services successfully and enhance our existing services to meet client requirements or expectations, we may not be able to attract or retain clients, and our business may be harmed.</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launch of insurance products for patent infringement claims, we now face the risks associated with operating an insurance business. If we fail to manage these risks, our results of operations and financial condition may be adversely affected.</w:t>
      </w:r>
    </w:p>
    <w:p>
      <w:pPr>
        <w:spacing w:after="0" w:line="10"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In August 2012, we began to offer insurance products for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patent or other litigation proceedings related to our clients. Our involvement could cause us to expend significant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could also require us to disclose information related to our clients, which could cause such clients not to renew their subscriptions with us.</w:t>
      </w:r>
    </w:p>
    <w:p>
      <w:pPr>
        <w:spacing w:after="0" w:line="58"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Interpretations of current laws and the passage of future laws could harm our business and operating results.</w:t>
      </w:r>
    </w:p>
    <w:p>
      <w:pPr>
        <w:spacing w:after="0" w:line="67" w:lineRule="exact"/>
        <w:rPr>
          <w:sz w:val="20"/>
          <w:szCs w:val="20"/>
          <w:color w:val="auto"/>
        </w:rPr>
      </w:pPr>
    </w:p>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Because of our presence in an emerging industry, the application to us of existing United States and foreign laws is unclear. Many laws do not contemplate or address the specific issues associated with our patent risk management services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9"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Additionally, we face risks from laws that could be passed or changed in the future, including in the United Kingdom as a result of Brexit or in the United States as a result of the recent Presidential election. Since a significant portion of the regulatory framework in the United Kingdom is derived from EU directives and regulations, Brexit could materially affect the regulatory regime in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United Kingdom. Changes in laws and regulations regarding data protection, privacy, network security, or encryption may affect our discovery services.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our revenues from a limited number of clients, and if we are not able to obtain membership renewals or continued engagements from these clients, our revenue may decrease substantially.</w:t>
      </w:r>
    </w:p>
    <w:p>
      <w:pPr>
        <w:spacing w:after="0" w:line="10"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We receive a significant amount of our revenue from a limited number of clients. For example, during the year ended December 31, 2016, our 10 highest revenue-generating clients accounted for approximately 29% of our total revenue. We expect that a significant portion of our revenue will continue to come from a relatively small number of clients for the foreseeable future. If any of these clients chooses not to remain a client, or if our fees from one of these clients decline, our revenue may correspondingly decrease and our operating results may be adversely affected.</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10"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we may not attract new clients and our business and operating results may suffer.</w:t>
      </w:r>
    </w:p>
    <w:p>
      <w:pPr>
        <w:spacing w:after="0" w:line="81"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acceptance of our services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10"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If we are unable to effectively remediate control deficiencies which are identified or are otherwise unable to maintain adequate internal controls over our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8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 may adversely affect demand for our services or fees payable under our subscription agreements, which could adversely affect our financial condition and operating results.</w:t>
      </w:r>
    </w:p>
    <w:p>
      <w:pPr>
        <w:jc w:val="both"/>
        <w:ind w:firstLine="446"/>
        <w:spacing w:after="0" w:line="257" w:lineRule="auto"/>
        <w:rPr>
          <w:sz w:val="20"/>
          <w:szCs w:val="20"/>
          <w:color w:val="auto"/>
        </w:rPr>
      </w:pPr>
      <w:r>
        <w:rPr>
          <w:rFonts w:ascii="Times New Roman" w:cs="Times New Roman" w:eastAsia="Times New Roman" w:hAnsi="Times New Roman"/>
          <w:sz w:val="18"/>
          <w:szCs w:val="18"/>
          <w:color w:val="auto"/>
        </w:rPr>
        <w:t>Our operations and performance depend significantly on worldwide economic conditions, and the United States and world economies have recently and may continue to experience weak economic conditions. In particular, the economics of countries in Europe have been experiencing weakness associated with high sovereign debt levels, weakness in the banking sector, and uncertainty over the future of the Euro zone, including instability surrounding Brexit.</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Uncertainty about global economic conditions poses a risk as businesses may postpone spending in response to tighter credit, negative financial news and declines in income or asset values. This response could have a material negative effect on the demand for our services. Furthermore, if our clients experience reduced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7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ind w:right="40" w:firstLine="270"/>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87"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6"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acquire patent assets, develop new services or enhance our existing service offering,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taken on significant debt, which will decrease our business flexibility and increase our interest expense.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26, 2016, we entered into the Credit Agreement (defined below) which provided for the Term Facility and the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the total balance outstanding on the Term Facility is $96.3 million, and the Revolving Credit Facility remains undrawn.</w:t>
      </w:r>
    </w:p>
    <w:p>
      <w:pPr>
        <w:spacing w:after="0" w:line="58" w:lineRule="exact"/>
        <w:rPr>
          <w:sz w:val="20"/>
          <w:szCs w:val="20"/>
          <w:color w:val="auto"/>
        </w:rPr>
      </w:pPr>
    </w:p>
    <w:p>
      <w:pPr>
        <w:ind w:right="40" w:firstLine="446"/>
        <w:spacing w:after="0" w:line="254" w:lineRule="auto"/>
        <w:rPr>
          <w:sz w:val="20"/>
          <w:szCs w:val="20"/>
          <w:color w:val="auto"/>
        </w:rPr>
      </w:pPr>
      <w:r>
        <w:rPr>
          <w:rFonts w:ascii="Times New Roman" w:cs="Times New Roman" w:eastAsia="Times New Roman" w:hAnsi="Times New Roman"/>
          <w:sz w:val="18"/>
          <w:szCs w:val="18"/>
          <w:color w:val="auto"/>
        </w:rPr>
        <w:t>This debt, together with certain covenants imposed on us in connection with incurring this debt, among other things, limits how we conduct our business, reduces our flexibility to respond to changing business and economic conditions and increases our interest expense.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 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In addition, the covenants in our debt limit our ability to, among other things, obtain additional financing, make acquisitions or other investments, repurchase our stock or pay dividends, or dispose of patent assets. These limitations could adversely affect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vary as a result of the methods, estimates and judgments we use in applying our accounting policies.</w:t>
      </w:r>
    </w:p>
    <w:p>
      <w:pPr>
        <w:spacing w:after="0" w:line="8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offering an “A” rated insurance product.</w:t>
      </w:r>
    </w:p>
    <w:p>
      <w:pPr>
        <w:spacing w:after="0" w:line="8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coverage may not be available to us in the future at commercially reasonable rates or at all.</w:t>
      </w:r>
    </w:p>
    <w:p>
      <w:pPr>
        <w:spacing w:after="0" w:line="81"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10" w:lineRule="exact"/>
        <w:rPr>
          <w:sz w:val="20"/>
          <w:szCs w:val="20"/>
          <w:color w:val="auto"/>
        </w:rPr>
      </w:pPr>
    </w:p>
    <w:p>
      <w:pPr>
        <w:ind w:right="140" w:firstLine="446"/>
        <w:spacing w:after="0" w:line="256" w:lineRule="auto"/>
        <w:rPr>
          <w:sz w:val="20"/>
          <w:szCs w:val="20"/>
          <w:color w:val="auto"/>
        </w:rPr>
      </w:pPr>
      <w:r>
        <w:rPr>
          <w:rFonts w:ascii="Times New Roman" w:cs="Times New Roman" w:eastAsia="Times New Roman" w:hAnsi="Times New Roman"/>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10"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18"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condition and operating results;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results or changes in recommendations by any securities analysts that elect to follow our common stock;</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clients;</w:t>
      </w:r>
    </w:p>
    <w:p>
      <w:pPr>
        <w:spacing w:after="0" w:line="63" w:lineRule="exact"/>
        <w:rPr>
          <w:rFonts w:ascii="Times New Roman" w:cs="Times New Roman" w:eastAsia="Times New Roman" w:hAnsi="Times New Roman"/>
          <w:sz w:val="18"/>
          <w:szCs w:val="18"/>
          <w:color w:val="auto"/>
        </w:rPr>
      </w:pPr>
    </w:p>
    <w:p>
      <w:pPr>
        <w:ind w:left="820" w:right="820" w:hanging="326"/>
        <w:spacing w:after="0" w:line="281"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or modification of laws, regulations, policies, procedures or programs applicable to our business, including those related to the enforcement of patent claims;</w:t>
      </w:r>
    </w:p>
    <w:p>
      <w:pPr>
        <w:spacing w:after="0" w:line="1" w:lineRule="exact"/>
        <w:rPr>
          <w:rFonts w:ascii="Times New Roman" w:cs="Times New Roman" w:eastAsia="Times New Roman" w:hAnsi="Times New Roman"/>
          <w:sz w:val="18"/>
          <w:szCs w:val="18"/>
          <w:color w:val="auto"/>
        </w:rPr>
      </w:pPr>
    </w:p>
    <w:p>
      <w:pPr>
        <w:ind w:left="820" w:right="80" w:hanging="326"/>
        <w:spacing w:after="0" w:line="281"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products and services, acquisitions, strategic alliances or significant agreements by us or by our competitors;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members of our Board of Directors, management team or other key personnel;</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63" w:lineRule="exact"/>
        <w:rPr>
          <w:rFonts w:ascii="Times New Roman" w:cs="Times New Roman" w:eastAsia="Times New Roman" w:hAnsi="Times New Roman"/>
          <w:sz w:val="18"/>
          <w:szCs w:val="18"/>
          <w:color w:val="auto"/>
        </w:rPr>
      </w:pPr>
    </w:p>
    <w:p>
      <w:pPr>
        <w:ind w:left="820" w:right="200" w:hanging="326"/>
        <w:spacing w:after="0" w:line="281"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market, and political factors and trends, including in light of Brexit, the outcome of the United States Presidential election, and other recent political developments;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or resulting from inconsistent trading volume levels of our shares;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our stock repurchase program;</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debt service obligations and repayment thereof;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or closing of our employee trading window.</w:t>
      </w:r>
    </w:p>
    <w:p>
      <w:pPr>
        <w:spacing w:after="0" w:line="225" w:lineRule="exact"/>
        <w:rPr>
          <w:sz w:val="20"/>
          <w:szCs w:val="20"/>
          <w:color w:val="auto"/>
        </w:rPr>
      </w:pPr>
    </w:p>
    <w:p>
      <w:pPr>
        <w:ind w:right="180" w:firstLine="446"/>
        <w:spacing w:after="0" w:line="266" w:lineRule="auto"/>
        <w:rPr>
          <w:sz w:val="20"/>
          <w:szCs w:val="20"/>
          <w:color w:val="auto"/>
        </w:rPr>
      </w:pPr>
      <w:r>
        <w:rPr>
          <w:rFonts w:ascii="Times New Roman" w:cs="Times New Roman" w:eastAsia="Times New Roman" w:hAnsi="Times New Roman"/>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10"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62"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62" w:lineRule="exact"/>
        <w:rPr>
          <w:sz w:val="20"/>
          <w:szCs w:val="20"/>
          <w:color w:val="auto"/>
        </w:rPr>
      </w:pPr>
    </w:p>
    <w:p>
      <w:pPr>
        <w:ind w:right="340" w:firstLine="446"/>
        <w:spacing w:after="0" w:line="282" w:lineRule="auto"/>
        <w:rPr>
          <w:sz w:val="20"/>
          <w:szCs w:val="20"/>
          <w:color w:val="auto"/>
        </w:rPr>
      </w:pPr>
      <w:r>
        <w:rPr>
          <w:rFonts w:ascii="Times New Roman" w:cs="Times New Roman" w:eastAsia="Times New Roman" w:hAnsi="Times New Roman"/>
          <w:sz w:val="18"/>
          <w:szCs w:val="18"/>
          <w:color w:val="auto"/>
        </w:rPr>
        <w:t>If any of these additional shares described are sold, or if it is perceived that they will be sold, in the public market, the trading price of our common stock could decline.</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2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0" w:lineRule="exact"/>
        <w:rPr>
          <w:sz w:val="20"/>
          <w:szCs w:val="20"/>
          <w:color w:val="auto"/>
        </w:rPr>
      </w:pPr>
    </w:p>
    <w:p>
      <w:pPr>
        <w:ind w:right="140" w:firstLine="446"/>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22"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majority stockholder vote;</w:t>
      </w:r>
    </w:p>
    <w:p>
      <w:pPr>
        <w:spacing w:after="0" w:line="63" w:lineRule="exact"/>
        <w:rPr>
          <w:rFonts w:ascii="Times New Roman" w:cs="Times New Roman" w:eastAsia="Times New Roman" w:hAnsi="Times New Roman"/>
          <w:sz w:val="18"/>
          <w:szCs w:val="18"/>
          <w:color w:val="auto"/>
        </w:rPr>
      </w:pPr>
    </w:p>
    <w:p>
      <w:pPr>
        <w:ind w:left="820" w:right="100" w:hanging="326"/>
        <w:spacing w:after="0" w:line="281"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newly created directorships, may be filled only by a majority vote of directors then in office;</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special meetings of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stockholders with the ability to cumulate their votes;</w:t>
      </w:r>
    </w:p>
    <w:p>
      <w:pPr>
        <w:spacing w:after="0" w:line="63" w:lineRule="exact"/>
        <w:rPr>
          <w:rFonts w:ascii="Times New Roman" w:cs="Times New Roman" w:eastAsia="Times New Roman" w:hAnsi="Times New Roman"/>
          <w:sz w:val="18"/>
          <w:szCs w:val="18"/>
          <w:color w:val="auto"/>
        </w:rPr>
      </w:pPr>
    </w:p>
    <w:p>
      <w:pPr>
        <w:ind w:left="820" w:right="160" w:hanging="326"/>
        <w:spacing w:after="0" w:line="281"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stockholder voting to effect certain amendments to our amended and restated certificate of incorporation and amended and restated bylaws; and</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notification of stockholder nominations and proposals.</w:t>
      </w:r>
    </w:p>
    <w:p>
      <w:pPr>
        <w:spacing w:after="0" w:line="2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10"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In February 2015, our Board of Directors approved a share repurchase program of up to $75 million. In March 2016 and May 2016, our Board of Directors further increased the amount authorized to repurchase by $25 million and $50 million, respectively, to an aggregate authorized amount of $150 million. The timing and actual number of shares repurchased will depend on a variety of factors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8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10" w:lineRule="exact"/>
        <w:rPr>
          <w:sz w:val="20"/>
          <w:szCs w:val="20"/>
          <w:color w:val="auto"/>
        </w:rPr>
      </w:pPr>
    </w:p>
    <w:p>
      <w:pPr>
        <w:jc w:val="both"/>
        <w:ind w:right="140" w:firstLine="446"/>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8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properties consist of leased office facilities for sales, support, administrative, and other functions. We currently lease approximately 67,000 square feet of office space for our corporate headquarters in one location in San Francisco, California pursuant to a lease agreement that expires in October 2019. We also lease other facilities for current use consisting of approximately 60,000 square feet in the United States and abroad. Less than 20% of our total leased space is sublet. We believe that our current facilities are suitable and adequate to meet our current needs. We believe that suitable additional or substitute space will be available as needed to accommodate any potential expansion of our operations.</w:t>
      </w:r>
    </w:p>
    <w:p>
      <w:pPr>
        <w:spacing w:after="0" w:line="1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8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a party to various litigation claims in the normal course of business. Legal fees and other costs associated with such actions are expensed as incurred. We assess,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December 31, 2016.</w:t>
      </w:r>
    </w:p>
    <w:p>
      <w:pPr>
        <w:spacing w:after="0" w:line="18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April 2016, Sourceprose Corporation filed a complaint in the U.S. District Court for the Western District of Texas against us alleging breach of an agreement with the plaintiff to purchase certain patent assets and breach of a non-disclosure agreement with plaintiff. In July 2016, the Court transferred the litigation to the U.S. District Court for the Northern District of California. On November 2, 2016, we moved to dismiss the claims of breach of an assignment of patents. On January 26, 2017, the U.S. District Court for the Northern District of California dismissed the claims of breach of a patent assignment without prejudice, and allowed the plaintiff to file an amended complaint. The plaintiff filed an amended complaint on February 9, 2017, alleging breach of a non-disclosure agreement, breach of an agreement to assign patents and a breach of a settlement agreement. The plaintiff seeks monetary damages and specific enforcement of the alleged purchase agreement. We are not currently able to determine whether there is a reasonable possibility that a loss has been incurred, nor can we estimate the potential loss or range of the potential loss that may result from this litigation.</w:t>
      </w:r>
    </w:p>
    <w:p>
      <w:pPr>
        <w:spacing w:after="0" w:line="18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June 2013, Kevin O’Halloran, as Trustee of the Liquidating Trust of Teltronics, Inc. (the “Debtor”), filed a complaint in the U.S. Bankruptcy Court for the Middle District of Florida against us and Harris Corporation (the “Defendants”). The complaint alleges that the Defendants are liable under federal and state bankruptcy law regarding fraudulent transfers for the value of a patent portfolio purchased by us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appellate briefing was completed in January 2017, and the parties are currently awaiting scheduling of oral argument. We are not currently able to determine whether there is a reasonable possibility that a loss has been incurred, nor can we estimate the potential loss or range of the potential loss that may result from this litigation.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March 2012, Cascades Computer Innovations LLC filed a complaint in U.S. District Court for the Northern District of California (the “Court”) against us and five of our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before the Ninth Circuit Court of Appeals. The appellate briefing was completed in November 2016, and the parties are currently awaiting the scheduling of oral argument. We are not currently able to determine whether there is a reasonable possibility that a loss has been incurred, nor can we estimate the potential loss or range of the potential loss that may result from this litigation.</w:t>
      </w:r>
    </w:p>
    <w:p>
      <w:pPr>
        <w:spacing w:after="0" w:line="14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8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the NASDAQ Global Select Market under the symbol “RPXC” and has been traded on NASDAQ since our initial public offering on May 4, 2011. The following table sets forth, for the periods indicated, the high and low closing prices of our common stock as reported on the NASDAQ Global Select Market.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40" w:type="dxa"/>
            <w:vAlign w:val="bottom"/>
          </w:tcPr>
          <w:p>
            <w:pPr>
              <w:spacing w:after="0"/>
              <w:rPr>
                <w:sz w:val="16"/>
                <w:szCs w:val="16"/>
                <w:color w:val="auto"/>
              </w:rPr>
            </w:pPr>
          </w:p>
        </w:tc>
        <w:tc>
          <w:tcPr>
            <w:tcW w:w="138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the year ended December 31, 2015:</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year ended December 31, 2016:</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9.41</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9.10</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9.28</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8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At February 17, 2017, there were 17 stockholders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common stock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 In addition, our credit agreement limits our ability to pay dividends.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79"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RPX Corporation under the Securities Act of 1933, as amended, or the Securities Act.</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graph shows the value of an investment of $100 in our common stock, the NASDAQ Composite Index, and the NASDAQ-100 Technology Sector Index for each of the last five years. Data for the NASDAQ Composite Index and the NASDAQ-100 Technology Sector Index assume reinvestment of dividends. The comparisons shown in the graph are based upon historical data and we caution that the stock price performance shown in the graph is neither indicative of, nor intended to forecast, the potential future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-10795</wp:posOffset>
            </wp:positionV>
            <wp:extent cx="6174740" cy="5034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503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0"/>
          </w:cols>
          <w:pgMar w:left="240" w:top="121" w:right="39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 repurchase activity during the three months ended December 31, 2016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Maximum Dollar</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that May Yet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65"/>
        </w:trPr>
        <w:tc>
          <w:tcPr>
            <w:tcW w:w="4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20" w:type="dxa"/>
            <w:vAlign w:val="bottom"/>
          </w:tcPr>
          <w:p>
            <w:pPr>
              <w:spacing w:after="0"/>
              <w:rPr>
                <w:sz w:val="23"/>
                <w:szCs w:val="23"/>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30"/>
              <w:spacing w:after="0" w:line="265" w:lineRule="exact"/>
              <w:rPr>
                <w:sz w:val="20"/>
                <w:szCs w:val="20"/>
                <w:color w:val="auto"/>
              </w:rPr>
            </w:pPr>
            <w:r>
              <w:rPr>
                <w:rFonts w:ascii="Times New Roman" w:cs="Times New Roman" w:eastAsia="Times New Roman" w:hAnsi="Times New Roman"/>
                <w:sz w:val="18"/>
                <w:szCs w:val="18"/>
                <w:b w:val="1"/>
                <w:bCs w:val="1"/>
                <w:color w:val="auto"/>
                <w:w w:val="96"/>
              </w:rPr>
              <w:t xml:space="preserve">Programs </w:t>
            </w:r>
            <w:r>
              <w:rPr>
                <w:rFonts w:ascii="Times New Roman" w:cs="Times New Roman" w:eastAsia="Times New Roman" w:hAnsi="Times New Roman"/>
                <w:sz w:val="25"/>
                <w:szCs w:val="25"/>
                <w:b w:val="1"/>
                <w:bCs w:val="1"/>
                <w:color w:val="auto"/>
                <w:w w:val="96"/>
                <w:vertAlign w:val="superscript"/>
              </w:rPr>
              <w:t>(1)</w:t>
            </w: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October 31, 2016</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369,613</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369,613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69,250,486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30, 2016</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65,669,767</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63,723,972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902,042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9" w:lineRule="exact"/>
        <w:rPr>
          <w:sz w:val="20"/>
          <w:szCs w:val="20"/>
          <w:color w:val="auto"/>
        </w:rPr>
      </w:pPr>
    </w:p>
    <w:p>
      <w:pPr>
        <w:ind w:right="40" w:firstLine="8"/>
        <w:spacing w:after="0" w:line="256" w:lineRule="auto"/>
        <w:tabs>
          <w:tab w:leader="none" w:pos="192"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On February 10, 2015, we announced that our Board of Directors had authorized a share repurchase program under which we are authorized to repurchase up to $75.0 million of our outstanding common stock with no expiration date from the date of authorization. In March 2016 and May 2016, we increased our share repurchase program by $25 million and $50 million, respectively, for a total amount authorized of $150 million. As of December 31, 2016, we had repurchased $86.3 million of our outstanding common stock under the program. Under the program, shares may be repurchased in privately negotiated and/or open market transactions, including under plans complying with Rule 10b5-1 under the Exchange Act. Our share repurchase program does not obligate us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-837565</wp:posOffset>
            </wp:positionV>
            <wp:extent cx="1003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-837565</wp:posOffset>
            </wp:positionV>
            <wp:extent cx="1020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Consolidated Financial Data.</w:t>
      </w:r>
    </w:p>
    <w:p>
      <w:pPr>
        <w:spacing w:after="0" w:line="8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selected consolidated financial data for the years ended December 31, 2016, 2015 and 2014, as well as the consolidated balance sheet data as of December 31, 2016 and 2015, are derived from our audited consolidated financial statements that are included elsewhere in this Annual Report on Form 10-K. The selected consolidated financial data for years ended December 31, 2013 and 2012 as well as the consolidated balance sheet data as of December 31, 2014, 2013 and 2012 are derived from audited consolidated financial statements not included in this Annual Report on Form 10-K. The historical results presented below are not necessarily indicative of results of future operations, and should be read in conjunction with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and the consolidated financial statements and related notes thereto included in Part II, Item 8</w:t>
      </w:r>
      <w:r>
        <w:rPr>
          <w:rFonts w:ascii="Times New Roman" w:cs="Times New Roman" w:eastAsia="Times New Roman" w:hAnsi="Times New Roman"/>
          <w:sz w:val="18"/>
          <w:szCs w:val="18"/>
          <w:i w:val="1"/>
          <w:iCs w:val="1"/>
          <w:color w:val="auto"/>
        </w:rPr>
        <w:t xml:space="preserve"> "Consolidated Financial Statements and Supplementary Data" </w:t>
      </w:r>
      <w:r>
        <w:rPr>
          <w:rFonts w:ascii="Times New Roman" w:cs="Times New Roman" w:eastAsia="Times New Roman" w:hAnsi="Times New Roman"/>
          <w:sz w:val="18"/>
          <w:szCs w:val="18"/>
          <w:color w:val="auto"/>
        </w:rPr>
        <w:t>of this Form 10-K to fully understand factors that may affect the comparability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7"/>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333,107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291,881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259,335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237,504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197,688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197,262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82,323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71,679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64,282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38,957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18,235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39,422</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39,341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38,455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 per common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9" w:lineRule="exact"/>
        <w:rPr>
          <w:sz w:val="20"/>
          <w:szCs w:val="20"/>
          <w:color w:val="auto"/>
        </w:rPr>
      </w:pPr>
    </w:p>
    <w:p>
      <w:pPr>
        <w:jc w:val="right"/>
        <w:ind w:left="40"/>
        <w:spacing w:after="0" w:line="281" w:lineRule="auto"/>
        <w:rPr>
          <w:sz w:val="20"/>
          <w:szCs w:val="20"/>
          <w:color w:val="auto"/>
        </w:rPr>
      </w:pPr>
      <w:r>
        <w:rPr>
          <w:rFonts w:ascii="Times New Roman" w:cs="Times New Roman" w:eastAsia="Times New Roman" w:hAnsi="Times New Roman"/>
          <w:sz w:val="18"/>
          <w:szCs w:val="18"/>
          <w:color w:val="auto"/>
        </w:rPr>
        <w:t>Weighted-average shares used in computing net income available to common stockholders per common share:</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50,462</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54,432</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53,444</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51,956</w:t>
            </w: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49,766</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51,001</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55,410</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54,818</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53,652</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51,802</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-213995</wp:posOffset>
            </wp:positionV>
            <wp:extent cx="724662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262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080" w:space="620"/>
            <w:col w:w="67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(1)</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190,988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325,998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317,533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290,722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199,730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assets, net</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212,999</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254,560</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236,349</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219,954</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199,314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735,289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658,561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642,064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588,801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493,967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including current portion</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130,408</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115,652</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136,209</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137,743</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104,371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 and other deferred payment obligations,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including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2,383</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94,584</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261,008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142,082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157,019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163,878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133,708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474,281</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516,479</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485,045</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424,923</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360,259</w:t>
            </w:r>
          </w:p>
        </w:tc>
      </w:tr>
    </w:tbl>
    <w:p>
      <w:pPr>
        <w:spacing w:after="0" w:line="59"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January 2016, we acquired Inventus Solutions, Inc., which is included in our selected consolidated financial data as of the acquisition date.</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our acquisition of Inventus Solutions, Inc. ("Inventus"), our patent acquisition spending, and our competitive position.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91"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been providing an alternative to litigation through our patent risk management services. In January 2016 through our acquisition of Inventus, we began offering technology-enabled discovery services to our clients.</w:t>
      </w:r>
    </w:p>
    <w:p>
      <w:pPr>
        <w:spacing w:after="0" w:line="162" w:lineRule="exact"/>
        <w:rPr>
          <w:sz w:val="20"/>
          <w:szCs w:val="20"/>
          <w:color w:val="auto"/>
        </w:rPr>
      </w:pPr>
    </w:p>
    <w:p>
      <w:pPr>
        <w:jc w:val="both"/>
        <w:ind w:right="160" w:firstLine="446"/>
        <w:spacing w:after="0" w:line="266" w:lineRule="auto"/>
        <w:rPr>
          <w:sz w:val="20"/>
          <w:szCs w:val="20"/>
          <w:color w:val="auto"/>
        </w:rPr>
      </w:pPr>
      <w:r>
        <w:rPr>
          <w:rFonts w:ascii="Times New Roman" w:cs="Times New Roman" w:eastAsia="Times New Roman" w:hAnsi="Times New Roman"/>
          <w:sz w:val="18"/>
          <w:szCs w:val="18"/>
          <w:color w:val="auto"/>
        </w:rPr>
        <w:t>We help companies reduce patent-related risk and corporate legal expense by providing two primary service offerings: (1) a subscription-based patent risk management service offering that facilitates more efficient exchanges of value between owners and users of patents compared to transactions driven by actual or threatened litigation, and (2) a discovery services offering.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Patent Risk Management</w:t>
      </w:r>
    </w:p>
    <w:p>
      <w:pPr>
        <w:spacing w:after="0" w:line="79"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The core of our patent risk management services is defensive patent aggregation, in which we acquire patent assets that are being or may be asserted against our current and prospective clients. When we acquire patent assets, we generally provide to our clients non-exclusive sub-licenses to those patent assets. We also provide our clients access to our proprietary patent market intelligence and data.</w:t>
      </w:r>
    </w:p>
    <w:p>
      <w:pPr>
        <w:spacing w:after="0" w:line="176"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Our business model aligns our interests with those of our clients. We have not asserted and will not assert our patents, which enables us to develop trusted relationships with our clients. Our patent risk management clients include companies that design, make or sell technology-based products and services as well as companies that use technology in their businesses.</w:t>
      </w:r>
    </w:p>
    <w:p>
      <w:pPr>
        <w:spacing w:after="0" w:line="176" w:lineRule="exact"/>
        <w:rPr>
          <w:sz w:val="20"/>
          <w:szCs w:val="20"/>
          <w:color w:val="auto"/>
        </w:rPr>
      </w:pPr>
    </w:p>
    <w:p>
      <w:pPr>
        <w:ind w:right="180" w:firstLine="446"/>
        <w:spacing w:after="0" w:line="256" w:lineRule="auto"/>
        <w:rPr>
          <w:sz w:val="20"/>
          <w:szCs w:val="20"/>
          <w:color w:val="auto"/>
        </w:rPr>
      </w:pPr>
      <w:r>
        <w:rPr>
          <w:rFonts w:ascii="Times New Roman" w:cs="Times New Roman" w:eastAsia="Times New Roman" w:hAnsi="Times New Roman"/>
          <w:sz w:val="18"/>
          <w:szCs w:val="18"/>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investment of our own capital. During the year ended December 31, 2016, we completed 78 acquisitions of patent assets and our gross and net patent acquisition spend totaled $184.3 million and $117.4 million, respectively. From our inception through December 31, 2016, we have completed 385 acquisitions of patent assets with gross and net patent acquisition spend of $2.2 billion and $947.4 million, respectively.</w:t>
      </w:r>
    </w:p>
    <w:p>
      <w:pPr>
        <w:spacing w:after="0" w:line="188" w:lineRule="exact"/>
        <w:rPr>
          <w:sz w:val="20"/>
          <w:szCs w:val="20"/>
          <w:color w:val="auto"/>
        </w:rPr>
      </w:pPr>
    </w:p>
    <w:p>
      <w:pPr>
        <w:ind w:right="120" w:firstLine="446"/>
        <w:spacing w:after="0" w:line="277" w:lineRule="auto"/>
        <w:rPr>
          <w:sz w:val="20"/>
          <w:szCs w:val="20"/>
          <w:color w:val="auto"/>
        </w:rPr>
      </w:pPr>
      <w:r>
        <w:rPr>
          <w:rFonts w:ascii="Times New Roman" w:cs="Times New Roman" w:eastAsia="Times New Roman" w:hAnsi="Times New Roman"/>
          <w:sz w:val="17"/>
          <w:szCs w:val="17"/>
          <w:color w:val="auto"/>
        </w:rPr>
        <w:t>Insuring against the costs of patent infringement litigation is a natural extension of our core defensive patent acquisition service. Our patent infringement litigation expense insurance is a liability insurance policy for operating companies that covers certain costs associated with patent infringement lawsuits. We assume some portion of the underwriting risk on the insurance policies that we issue on behalf of a Lloyd's of London underwriting syndicate. As of December 31, 2016, we had a total of 181 active insurance policies. The effect of the insurance policies that we have issued or assumed through our reinsurance business was not material to our results of operations or financial condition for the year ended December 31, 2016 or 2015.</w:t>
      </w:r>
    </w:p>
    <w:p>
      <w:pPr>
        <w:spacing w:after="0" w:line="168"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2016 and 2015, revenue from our patent risk management services was $267.0 million and $291.9 million, respectively. Our patent risk management client count, which includes both clients who receive our defensive patent acquisition service and our insurance service, increased by 93, 51, and 36 clients during the years ended December 31, 2016, 2015, and 2014, respectively, bringing our total client network to 348 as of December 31, 2016.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Discovery Services</w:t>
      </w:r>
    </w:p>
    <w:p>
      <w:pPr>
        <w:spacing w:after="0" w:line="79"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Through our wholly owned subsidiary Inventus, in 2016 we began offering technology-enabled discovery services to assist leading law firms and corporate legal departments manage costs and risks related to the litigation discovery process. Our discovery service offering focuses on the process of consolidation and organization of data into meaningful discovery information powered by a mix of third-party and proprietary software. This allows our discovery services clients to efficiently and effectively manage a portfolio of litigation discovery matters in a central location.</w:t>
      </w:r>
    </w:p>
    <w:p>
      <w:pPr>
        <w:spacing w:after="0" w:line="18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more than 1,000 discovery services clients in nearly a dozen countries benefit from our discovery services, which includes data hosting and backup, data processing and collection, project management, document review, and traditional document production. All of these services are designed to streamline the administration of litigation, investigations, and regulatory compliance. During the year ended December 31, 2016, revenue from our discovery services was $66.1 million. Certain of our discovery services operations are denominated in currencies other than the U.S. dollar, primarily the British pound sterling and the Euro, and therefore these operations are exposed to foreign exchange rate fluctuations.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Subscription revenue includes membership subscriptions to our defensive patent aggregation services, premiums earned, net of ceding commissions, from insurance policies, and management fees related to our insurance business. Historically, the majority of our revenue has consisted of fees paid by our clients under subscription agreements. Subscription revenue will be positively or negatively impacted by the financial performance of our patent risk management clients since their subscription fees typically reset annually based upon their most recently reported annual financial results.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Although we expect this revenue to increase as we sell more insurance policies in the future, for the years ended December 31, 2016 and 2015, insurance premium revenue was not material to our results of operations.</w:t>
      </w:r>
    </w:p>
    <w:p>
      <w:pPr>
        <w:spacing w:after="0" w:line="18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Discovery revenue represents fees generated from services rendered in connection with our discovery services. These services are typically comprised of document collection and processing, document review, document production, and project management, and are generally billed in arrears based on the number of users, amount of data stored, or number of consulting hours. Our discovery revenue may fluctuate significantly based on the project-oriented nature of the discovery services we provide.</w:t>
      </w:r>
    </w:p>
    <w:p>
      <w:pPr>
        <w:spacing w:after="0" w:line="180" w:lineRule="exact"/>
        <w:rPr>
          <w:sz w:val="20"/>
          <w:szCs w:val="20"/>
          <w:color w:val="auto"/>
        </w:rPr>
      </w:pPr>
    </w:p>
    <w:p>
      <w:pPr>
        <w:ind w:right="40" w:firstLine="486"/>
        <w:spacing w:after="0" w:line="289" w:lineRule="auto"/>
        <w:rPr>
          <w:sz w:val="20"/>
          <w:szCs w:val="20"/>
          <w:color w:val="auto"/>
        </w:rPr>
      </w:pPr>
      <w:r>
        <w:rPr>
          <w:rFonts w:ascii="Times New Roman" w:cs="Times New Roman" w:eastAsia="Times New Roman" w:hAnsi="Times New Roman"/>
          <w:sz w:val="17"/>
          <w:szCs w:val="17"/>
          <w:color w:val="auto"/>
        </w:rPr>
        <w:t>We recognize revenue from the sale of licenses and advisory fee income in connection with syndicated acquisitions, which we collectively refer to as fee-related revenue. In the future, we may receive other revenue and fee income from newly-introduced products and services. We do not believe that our rate of growth since inception is representative of anticipated future revenue growth and we may experience a year-over-year decline in revenue in future periods.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Cost of revenue from our patent risk management services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service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services began to include premiums ceded to reinsurers and loss reserves. We began to issue new policies under a reinsurance model in May 2014 and under this model we do not cede premiums.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cost of revenue from our patent risk management services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periods immediately following the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41 months, which will cause our cost of revenue to increase. Our cost of revenue from our patent risk management services may fluctuate in the future as it is dependent on the level of patent asset purchases, the amortization period of the patent assets we acquire, and the level of insurance policies we write.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Cost of revenue from our discovery services primarily consists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 for technology used to provide our discovery services to our clients. Our cost of revenue related to hosting data and software license fees is primarily fixed but can fluctuate based on levels of data hosted and number of users our clients choose to have access to the software.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expenses, including stock-based compensation expense, amortization related to our intangible assets, cost of marketing programs, legal costs, professional fees, travel costs, facility costs and other corporate expenses. We expect that in the foreseeable future, selling, general, and administrative expenses may decrease as we seek to effectively manage expenses although such expenses could fluctuate from period to period.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8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Interest and other income (expense), net consists of interest income earned on our cash, cash equivalents and short-term investments, interest expense incurred on our term debt, gains or losses due to foreign currency fluctuations, as well as changes in fair value of our deferred payment obligations. Our interest and other income (expense) may fluctuate significantly as our long-term debt bears interest in line with the London interbank offered rate and our results of operations and cash flows are subject to fluctuations due to changes in foreign currency exchange rates, particularly changes in the British pound sterling, Japanese yen, and Euro relative to the U.S. dollar.</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8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The preparation of these consolidated financial statements requires us to make estimates and assumptions that affect the reported amounts of assets, liabilities, revenue, costs and expenses and related disclosures.</w:t>
      </w:r>
    </w:p>
    <w:p>
      <w:pPr>
        <w:spacing w:after="0" w:line="176"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2 of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79" w:lineRule="exact"/>
        <w:rPr>
          <w:sz w:val="20"/>
          <w:szCs w:val="20"/>
          <w:color w:val="auto"/>
        </w:rPr>
      </w:pPr>
    </w:p>
    <w:p>
      <w:pPr>
        <w:ind w:right="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Financial Accounting Standards Board (“FASB”) Accounting Standards Codification (“ASC”) 605,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Recognition </w:t>
      </w:r>
      <w:r>
        <w:rPr>
          <w:rFonts w:ascii="Times New Roman" w:cs="Times New Roman" w:eastAsia="Times New Roman" w:hAnsi="Times New Roman"/>
          <w:sz w:val="18"/>
          <w:szCs w:val="18"/>
          <w:color w:val="auto"/>
        </w:rPr>
        <w:t>(“ASC 605”) and related authoritative guidance.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Patent Risk Management</w:t>
      </w:r>
    </w:p>
    <w:p>
      <w:pPr>
        <w:spacing w:after="0" w:line="7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primary source of our revenue from our patent risk management service offering is fees paid by our clients under subscription agreements. We believe that the subscription component of our patent risk management services comprises a single deliverable and thus we recognize each subscription fee ratably over the period for which the fee applies. Revenue is recognized net of any discounts or other contractual incentives. We start recognizing revenue when all of the following criteria have been met:</w:t>
      </w:r>
    </w:p>
    <w:p>
      <w:pPr>
        <w:spacing w:after="0" w:line="29"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All subscription fees are supported by an executed subscription agreement.</w:t>
      </w:r>
    </w:p>
    <w:p>
      <w:pPr>
        <w:spacing w:after="0" w:line="76" w:lineRule="exact"/>
        <w:rPr>
          <w:rFonts w:ascii="Times New Roman" w:cs="Times New Roman" w:eastAsia="Times New Roman" w:hAnsi="Times New Roman"/>
          <w:sz w:val="18"/>
          <w:szCs w:val="18"/>
          <w:color w:val="auto"/>
        </w:rPr>
      </w:pPr>
    </w:p>
    <w:p>
      <w:pPr>
        <w:ind w:left="820" w:right="140" w:hanging="326"/>
        <w:spacing w:after="0" w:line="26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The subscription agreement calls for us to provide our patent risk management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specific term commencing on the agreement effective date. Because services are not on an individualized basis (i.e., we generally perform our services on behalf of all of our clients as opposed to each client individually), delivery occurs automatically with the passage of time. Consequently, we recognize subscription revenue ratably.</w:t>
      </w:r>
    </w:p>
    <w:p>
      <w:pPr>
        <w:spacing w:after="0" w:line="31" w:lineRule="exact"/>
        <w:rPr>
          <w:rFonts w:ascii="Times New Roman" w:cs="Times New Roman" w:eastAsia="Times New Roman" w:hAnsi="Times New Roman"/>
          <w:sz w:val="18"/>
          <w:szCs w:val="18"/>
          <w:color w:val="auto"/>
        </w:rPr>
      </w:pPr>
    </w:p>
    <w:p>
      <w:pPr>
        <w:ind w:left="820" w:hanging="326"/>
        <w:spacing w:after="0" w:line="277" w:lineRule="auto"/>
        <w:tabs>
          <w:tab w:leader="none" w:pos="8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Seller’s price to the buyer is fixed or determinable. </w:t>
      </w:r>
      <w:r>
        <w:rPr>
          <w:rFonts w:ascii="Times New Roman" w:cs="Times New Roman" w:eastAsia="Times New Roman" w:hAnsi="Times New Roman"/>
          <w:sz w:val="17"/>
          <w:szCs w:val="17"/>
          <w:color w:val="auto"/>
        </w:rPr>
        <w:t>Each client’s annual subscription fee is typically based on a rate card in effect at the time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client’s initial agreement. A client’s subscription fee is generally determined using its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18" w:lineRule="exact"/>
        <w:rPr>
          <w:sz w:val="20"/>
          <w:szCs w:val="20"/>
          <w:color w:val="auto"/>
        </w:rPr>
      </w:pPr>
    </w:p>
    <w:p>
      <w:pPr>
        <w:ind w:left="820" w:right="60" w:hanging="326"/>
        <w:spacing w:after="0" w:line="267"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Collectability is reasonably assured. </w:t>
      </w:r>
      <w:r>
        <w:rPr>
          <w:rFonts w:ascii="Times New Roman" w:cs="Times New Roman" w:eastAsia="Times New Roman" w:hAnsi="Times New Roman"/>
          <w:sz w:val="18"/>
          <w:szCs w:val="18"/>
          <w:color w:val="auto"/>
        </w:rPr>
        <w:t>Subscription fees are generally collected on or near the effective date of the agreement and again at or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anniversary date thereof. We do not recognize revenue in instances where collectability is not reasonably assured. Generally, our subscription agreements state that all fees paid are non-refundable.</w:t>
      </w:r>
    </w:p>
    <w:p>
      <w:pPr>
        <w:spacing w:after="0" w:line="17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clients generally receive a term license to, and a release from all prior damages associated with, patent assets in our portfolio. The term license to each patent asset typically converts to a perpetual license at the end of a contractually specified vesting period, provided that the client is a member at such time. We do not view the conversion from term license to perpetual license to be a separate deliverable in our arrangements with our clients because the utility of, access to and freedom to practice the inventions covered by the patent asset is no different between a term and perpetual license.</w:t>
      </w:r>
    </w:p>
    <w:p>
      <w:pPr>
        <w:spacing w:after="0" w:line="180"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some instances, we accept a payment from a client to finance part or all of a patent asset acquisition. We refer to such transactions as syndicated acquisitions. The accounting for syndicated acquisitions can be complex and often requires judgments on the part of management as to the appropriate accounting treatment. In accordance with ASC 605-45, </w:t>
      </w:r>
      <w:r>
        <w:rPr>
          <w:rFonts w:ascii="Times New Roman" w:cs="Times New Roman" w:eastAsia="Times New Roman" w:hAnsi="Times New Roman"/>
          <w:sz w:val="18"/>
          <w:szCs w:val="18"/>
          <w:i w:val="1"/>
          <w:iCs w:val="1"/>
          <w:color w:val="auto"/>
        </w:rPr>
        <w:t>Revenue Recognition: Principal Agent Considerations</w:t>
      </w:r>
      <w:r>
        <w:rPr>
          <w:rFonts w:ascii="Times New Roman" w:cs="Times New Roman" w:eastAsia="Times New Roman" w:hAnsi="Times New Roman"/>
          <w:sz w:val="18"/>
          <w:szCs w:val="18"/>
          <w:color w:val="auto"/>
        </w:rPr>
        <w:t>, in instances where we substantively act as an agent to acquire patent rights from a seller on behalf of clients who are paying for such rights separately from their subscription agreements, we may treat the client payments on a net basis. When treated on a net basis, there may be little or no revenue recognized for such contributions, and the basis of the acquired patent rights may exclude the amounts paid by the contributing client based on our determination that we are not the principal in these transactions. In these situations, where we substantively act as an agent, the contributing clients are typically defendants in an active or threatened patent infringement litigation filed by the owner of a patent. Our involvement is to assist our clients to secure a dismissal from litigation and a license to the underlying patents.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indicators evaluated to determine our role as either principal or agent in the transaction include, among others:</w:t>
      </w:r>
    </w:p>
    <w:p>
      <w:pPr>
        <w:spacing w:after="0" w:line="77" w:lineRule="exact"/>
        <w:rPr>
          <w:sz w:val="20"/>
          <w:szCs w:val="20"/>
          <w:color w:val="auto"/>
        </w:rPr>
      </w:pPr>
    </w:p>
    <w:p>
      <w:pPr>
        <w:ind w:left="820" w:right="340" w:hanging="326"/>
        <w:spacing w:after="0" w:line="266"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to grant the license of the patent(s) is generally viewed as the primary obligor in the arrangement, given that it owns and controls the underlying patent(s) and thus has the absolute authority to grant and deliver any release from past damages and dismissal from litigation, and typically determines the general terms of the license(s) granted;</w:t>
      </w:r>
    </w:p>
    <w:p>
      <w:pPr>
        <w:spacing w:after="0" w:line="27"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have any inventory risk, as our clients often enter into contractual obligations with us prior to or contemporaneous to the our entering into a contractual obligation with the seller;</w:t>
      </w:r>
    </w:p>
    <w:p>
      <w:pPr>
        <w:spacing w:after="0" w:line="13"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pricing latitude as we negotiate client contributions, however, this latitude is often limited as the economics of the transaction ultimately depend on the sales price set by the seller;</w:t>
      </w:r>
    </w:p>
    <w:p>
      <w:pPr>
        <w:spacing w:after="0" w:line="1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is not involved in the determination of the product or service specification and has no ability to change the product or perform any part of the service in connection with these transactions, as the seller owns the underlying patent(s); and</w:t>
      </w:r>
    </w:p>
    <w:p>
      <w:pPr>
        <w:spacing w:after="0" w:line="1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or no credit risk, as each respective client of ours has a contractually binding obligation, such clients are generally of high credit quality and in some instances, we collect the client contribution prior to making a payment to the seller.</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certain syndicated transactions, we may recognize revenue upon the sale of licenses to specific patent assets and/or upon completion of the rendering of advisory services.</w:t>
      </w:r>
    </w:p>
    <w:p>
      <w:pPr>
        <w:spacing w:after="0" w:line="16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arrangements with multiple deliverables. </w:t>
      </w:r>
      <w:r>
        <w:rPr>
          <w:rFonts w:ascii="Times New Roman" w:cs="Times New Roman" w:eastAsia="Times New Roman" w:hAnsi="Times New Roman"/>
          <w:sz w:val="18"/>
          <w:szCs w:val="18"/>
          <w:color w:val="auto"/>
        </w:rPr>
        <w:t>A multiple-element arrangement may include the sale of a subscription to our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management services and an insurance policy to cover certain costs associated with patent infringement litigation, each of which are individually considered separate units of accounting. Each element within a multiple-element arrangement is accounted for as a separate unit of accounting given that the delivered products have value to the customer on a standalone basis. We consider a deliverable to have standalone value if the product or service is sold separately by us or another vendor. The delivery of insurance coverage is not dependent on a client’s subscription to our patent risk management services. While we believe our insurance product offering is unique, our clients are able to purchase insurance coverage as a standalone product from other providers. We sell the components of our patent risk management services on a standalone basis.</w:t>
      </w:r>
    </w:p>
    <w:p>
      <w:pPr>
        <w:spacing w:after="0" w:line="185"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Multiple deliverables included in an arrangement are separated into different units of accounting and the arrangement consideration is allocated to the identified separate units based on a relative selling price hierarchy. For our patent risk management service offering, we determine the relative selling price for a deliverable based on its best estimate of selling price ("BESP"). We have determined that vendor-specific objective evidence ("VSOE") and third-party evidence ("TPE") are not available for our patent risk management deliverables.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determined our BESP for a subscription to our patent risk management service offering based on the following:</w:t>
      </w:r>
    </w:p>
    <w:p>
      <w:pPr>
        <w:spacing w:after="0" w:line="77" w:lineRule="exact"/>
        <w:rPr>
          <w:sz w:val="20"/>
          <w:szCs w:val="20"/>
          <w:color w:val="auto"/>
        </w:rPr>
      </w:pPr>
    </w:p>
    <w:p>
      <w:pPr>
        <w:ind w:left="1080" w:right="100" w:hanging="316"/>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price, which represents the rates listed on our annual rate card. We publish a standard rate card annually. Each client’s subscription fee is typically calculated using the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normalized operating income for its most recently completed fiscal years.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determined our BESP for our insurance product based on the following:</w:t>
      </w:r>
    </w:p>
    <w:p>
      <w:pPr>
        <w:spacing w:after="0" w:line="77" w:lineRule="exact"/>
        <w:rPr>
          <w:sz w:val="20"/>
          <w:szCs w:val="20"/>
          <w:color w:val="auto"/>
        </w:rPr>
      </w:pPr>
    </w:p>
    <w:p>
      <w:pPr>
        <w:jc w:val="both"/>
        <w:ind w:left="1080" w:right="180" w:hanging="316"/>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Actuarially determined factors. Although we sell our insurance product both on a standalone basis and as a component of a multiple-element arrangement, the pricing is not affected by the subscription to our patent risk management services. We use an actuarial model that calculates an individual client’s insurance premium based on its projected annual frequency (i.e., number of claims during the policy term) and severity (i.e., the amount which we expect to settle a claim).</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Discovery Services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from our discovery services is primarily generated from the following:</w:t>
      </w:r>
    </w:p>
    <w:p>
      <w:pPr>
        <w:spacing w:after="0" w:line="77" w:lineRule="exact"/>
        <w:rPr>
          <w:sz w:val="20"/>
          <w:szCs w:val="20"/>
          <w:color w:val="auto"/>
        </w:rPr>
      </w:pPr>
    </w:p>
    <w:p>
      <w:pPr>
        <w:ind w:left="1540" w:hanging="249"/>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hosting fees based on data stored and number of users;</w:t>
      </w:r>
    </w:p>
    <w:p>
      <w:pPr>
        <w:spacing w:after="0" w:line="27" w:lineRule="exact"/>
        <w:rPr>
          <w:rFonts w:ascii="Times New Roman" w:cs="Times New Roman" w:eastAsia="Times New Roman" w:hAnsi="Times New Roman"/>
          <w:sz w:val="18"/>
          <w:szCs w:val="18"/>
          <w:color w:val="auto"/>
        </w:rPr>
      </w:pPr>
    </w:p>
    <w:p>
      <w:pPr>
        <w:ind w:left="1540" w:hanging="249"/>
        <w:spacing w:after="0" w:line="250"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month-to-month delivery of services, such as data processing (conversion of data into organized, searchable electronic database), project management and data collection services;</w:t>
      </w:r>
    </w:p>
    <w:p>
      <w:pPr>
        <w:ind w:left="1540" w:hanging="249"/>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review services which assist clients in the manual review of data responsive to a legal matter; and</w:t>
      </w:r>
    </w:p>
    <w:p>
      <w:pPr>
        <w:spacing w:after="0" w:line="9" w:lineRule="exact"/>
        <w:rPr>
          <w:rFonts w:ascii="Times New Roman" w:cs="Times New Roman" w:eastAsia="Times New Roman" w:hAnsi="Times New Roman"/>
          <w:sz w:val="18"/>
          <w:szCs w:val="18"/>
          <w:color w:val="auto"/>
        </w:rPr>
      </w:pPr>
    </w:p>
    <w:p>
      <w:pPr>
        <w:ind w:left="1540" w:hanging="249"/>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and binding services (paper-based services).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enter into agreements pursuant to which we offer various discovery services. Clients are generally billed monthly based on contractual unit prices and volumes for services delivered. The agreements are typically for an indefinite period of time, however, they are cancelable at will by either party. We are entitled to all fees incurred for services performed. The majority of our discovery services revenue comes from two types of billing arrangements: usage based and fixed fee.</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Usage-based arrangements require the client to pay based upon predetermined unit prices and volumes for data hosing, data processing and paper-based services. Project management and review hours are billed based upon the number of hours worked by certain client service professionals at agreed upon rates.</w:t>
      </w:r>
    </w:p>
    <w:p>
      <w:pPr>
        <w:spacing w:after="0" w:line="17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fixed-fee billing arrangements, we agree to a pre-established monthly fee over a specified term in exchange for various services. The fees are not tied to the attainment of any contractually defined objectives and the monthly fee is nonrefundable.</w:t>
      </w:r>
    </w:p>
    <w:p>
      <w:pPr>
        <w:spacing w:after="0" w:line="162"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Based on an evaluation of the discovery services delivered to each client, we determined each deliverable has stand-alone value to the client as each of our discovery services can be sold on a stand-alone basis by us and the discovery services are available from other vendors. Additionally, discovery services do not carry a significant degree of risk or unique acceptance criteria that would require a dependency on the performance of future services.</w:t>
      </w:r>
    </w:p>
    <w:p>
      <w:pPr>
        <w:spacing w:after="0" w:line="176"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We determine the relative selling price for a discovery services deliverable based on its VSOE, if available, or its BESP, if VSOE is not available. We have determined that TPE is not a practical alternative due to differences in its service offerings compared to other parties and the availability of relevant third-party pricing information. We allocate revenue to the various units of accounting in its arrangements based on the best estimate of selling price for each unit of accounting, which are consistent with the stated prices in those arrangements.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discovery services arrangements do not include any substantive general rights of return or other contingencies.</w:t>
      </w:r>
    </w:p>
    <w:p>
      <w:pPr>
        <w:spacing w:after="0" w:line="225"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Sales and value added taxes collected from clients are not considered revenue and are included in accrued liabilities in our consolidated balance sheets until remitted to the taxing authorities.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 Assets, Net</w:t>
      </w:r>
    </w:p>
    <w:p>
      <w:pPr>
        <w:spacing w:after="0" w:line="8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generally acquire patent assets from third parties using cash. Patent assets are recorded at fair value at acquisition. The fair value of the assets acquired is generally based on the fair value of the consideration exchanged. The asset value includes the cost of external legal and other fees associated with the acquisition of the assets. Costs incurred to maintain and prosecute patents and patent applications are expensed as incurred.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Because each client generally receives a license to the majority of our patent assets, we are unable to reliably determine the pattern over which our patent assets are consumed. As a result, we amortize each patent asset on a straight-line basis. The amortization period is equal to the asset’s estimated economic useful life. Estimating the economic useful life of patent assets requires significant management judgment. We consider various factors in estimating the economic useful lives of our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our estimate of the period of time during which we may sign subscription agreements with prospective clients that may find relevance in the patent assets, and the remaining contractual term of our existing clients at the time of acquisition. In certain instances, where we acquire patent assets and secure related client committed cash flows that extend beyond the statutory life of the underlying patents, the useful life may extend beyond the statutory life of the patent assets. As of December 31, 2016, the estimated economic useful life of our patent assets generally ranged from 24 to 60 months. The weighted-average estimated economic useful life of patent assets acquired since inception was 41 months. The weighted-average estimated economic useful life of patent assets acquired during the year ended December 31, 2016 was 27 months. We periodically evaluate whether events and circumstances have occurred that may warrant a revision to the remaining estimated useful life of our patent assets.</w:t>
      </w:r>
    </w:p>
    <w:p>
      <w:pPr>
        <w:spacing w:after="0" w:line="191"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In some instances, we accept a payment from a client to finance part or all of an acquisition involving patent assets that may cost more than we are prepared to spend with our own capital resources or that are relevant only to a very small number of clients. In these instances, we facilitate syndicated transactions that include cash contributions from participating clients in addition to their annual subscription fees.</w:t>
      </w:r>
    </w:p>
    <w:p>
      <w:pPr>
        <w:spacing w:after="0" w:line="176"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instances where we sell patent assets, the amount of consideration received is compared to the asset’s carrying value to determine and recognize a gain or loss.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Accounting</w:t>
      </w:r>
    </w:p>
    <w:p>
      <w:pPr>
        <w:spacing w:after="0" w:line="8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functional currencies of our international subsidiaries are the U.S. dollar and British pound sterling. Our primary foreign subsidiary uses the local currency of its respective country as its functional currency. Assets and liabilities are translated into U.S. dollars using exchange rates prevailing at the balance sheet date, while revenues and expenses are translated at average exchange rates during the year. Gains and losses resulting from the translation of our consolidated balance sheet are recorded as a component of accumulated other comprehensive income (loss).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Gains and losses from foreign currency transactions are recognized in other expense, net in the consolidated statements of operations.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79" w:lineRule="exact"/>
        <w:rPr>
          <w:sz w:val="20"/>
          <w:szCs w:val="20"/>
          <w:color w:val="auto"/>
        </w:rPr>
      </w:pPr>
    </w:p>
    <w:p>
      <w:pPr>
        <w:ind w:right="320" w:firstLine="486"/>
        <w:spacing w:after="0" w:line="259" w:lineRule="auto"/>
        <w:rPr>
          <w:sz w:val="20"/>
          <w:szCs w:val="20"/>
          <w:color w:val="auto"/>
        </w:rPr>
      </w:pPr>
      <w:r>
        <w:rPr>
          <w:rFonts w:ascii="Times New Roman" w:cs="Times New Roman" w:eastAsia="Times New Roman" w:hAnsi="Times New Roman"/>
          <w:sz w:val="18"/>
          <w:szCs w:val="18"/>
          <w:color w:val="auto"/>
        </w:rPr>
        <w:t xml:space="preserve">We account for stock-based compensation for equity-settled awards issued to employees and directors under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ASC 718 requires that stock-based compensation expense for equity-settled awards made to employees and directors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based on the estimated grant date fair value and recognized over the requisite service period. These equity-settled awards include stock options, restricted stock units (“RSUs”), and performance-based RSUs which include a service condition, some of which also include a market condition or performance condition (“PBRSUs”).</w:t>
      </w:r>
    </w:p>
    <w:p>
      <w:pPr>
        <w:spacing w:after="0" w:line="18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 option-pricing model. The fair value of RSUs is estimated based on the fair market value of our common stock on the date of grant. For stock options and RSUs, the fair value of the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 forfeitures differ from initial estimates. Previously recognized expense is reversed for the portion of awards forfeited prior to vesting.</w:t>
      </w:r>
    </w:p>
    <w:p>
      <w:pPr>
        <w:spacing w:after="0" w:line="18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fair value of PBRSUs with performance conditions is estimated as of the grant date by reference to the fair value of the underlying shares on the date of grant. The fair value of PBRSUs with market conditions is estimated as of the date of grant using the Monte-Carlo simulation model. For PBRSUs, stock-based compensation expense is recognized over the derived service period for each tranche (or market or performance condition). Because our PBRSUs have multiple derived service periods, we use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PBRSUs with market conditions will only be reversible if the employee terminates prior to completing the requisite service periods for these awards (i.e., compensation expense will not be reversed if the market condition is not met). For PBRSUs that include performance conditions, we only recognize compensation expense for those awards which vesting is determined to be probable upon satisfaction of certain performance criteria.</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Estimates of the fair value of equity-settled awards as of the grant date using valuation models, such as the Black-Scholes option-pricing model and a Monte-Carlo simulation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we calculated the expected term using the SEC simplified method. We had limited information on our past volatility and a limited operating history. Therefore, we had estimated the volatility data based on a study of publicly traded industry peer companies. For purposes of identifying these peer companies, we considered the industry, stage of development, size and financial leverage of potential comparable companies. As of the second quarter of 2014, we concluded that we obtained sufficient historical information and, accordingly, ceased use of calculating the expected term using the SEC simplified method and estimated volatility based on peer companies. Starting the third quarter of 2014, our expected term calculation is based on historical exercise patterns and post-vesting termination behavior. Volatility is calculated based on the implied volatility of our publicly traded stock. We have not granted any stock options since making these changes. The risk-free interest rate is based on the yield available on U.S. Treasury zero-coupon issues similar in duration to the expected term of the equity-settled award.</w:t>
      </w:r>
    </w:p>
    <w:p>
      <w:pPr>
        <w:spacing w:after="0" w:line="19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$34.5 million of unrecognized compensation cost related to RSUs, including PBRSUs, which is expected to be recognized over a weighted-average period of 2.6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right="480" w:firstLine="486"/>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which requires the recognition of deferred tax assets or liabilities for the tax-effected temporary differences between the financial reporting and tax bases of our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assess the likelihood that our deferred tax assets will be recovered from future taxable income, and to the extent we believe that recovery is not likely, we establish a valuation allowance. Judgment is required in determining our provision for income taxes, deferred tax assets and liabilities, and any valuation allowance recorded against the net deferred tax assets. We applied a valuation allowance of $0.9 million and $1.1 million against our deferred tax balances at December 31, 2016 and 2015, respectively.</w:t>
      </w:r>
    </w:p>
    <w:p>
      <w:pPr>
        <w:spacing w:after="0" w:line="180"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calculation of our tax liabilities involves uncertainties in the application of complex tax laws and regulations in a multitude of jurisdictions across our global operations.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4"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recognize tax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new information is available.</w:t>
      </w:r>
    </w:p>
    <w:p>
      <w:pPr>
        <w:spacing w:after="0" w:line="180"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6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effective tax rate could be adversely affected by changes in federal, state or foreign tax laws, certain non-deductible expenses arising from stock-based awards and changes in accounting principles. During 2015, the statute of limitations expired with respect to our 2010 tax year, which was under examination by the State of California Franchise Tax Board. The conclusion of this examination did not have a material impact on our consolidated financial statements. The 2013 through 2016 tax periods remain open to examination by the Internal Revenue Service and the 2012 through 2016 tax periods remain open to examination by most state tax authorities.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79"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apply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in the accounting for our business acquisitions. ASC 805 requires companies to separately recognize goodwill from the assets acquired and liabilities assumed, which are at their acquisition date fair values. Goodwill as of the acquisition date represents the excess of the purchase price over the fair values of the assets acquired and the liabilities assumed.</w:t>
      </w:r>
    </w:p>
    <w:p>
      <w:pPr>
        <w:spacing w:after="0" w:line="17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use significant estimates and assumptions, including fair value estimates, to determine fair value of assets acquired, liabilities assumed and, when applicable, the related useful lives of the acquired assets, as of the business combination date. When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All other adjustments are recorded within the consolidated statements of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8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 xml:space="preserve">We review goodwill for impairment annually or more frequently if events or changes in circumstances indicate that the carrying value of goodwill may not be recoverable. For the year ended December 31, 2016, we used both the qualitative assessment and the two-step goodwill impairment test to assess whether or not the goodwill of our reporting units was impaired under ASC Topic 350, </w:t>
      </w:r>
      <w:r>
        <w:rPr>
          <w:rFonts w:ascii="Times New Roman" w:cs="Times New Roman" w:eastAsia="Times New Roman" w:hAnsi="Times New Roman"/>
          <w:sz w:val="18"/>
          <w:szCs w:val="18"/>
          <w:i w:val="1"/>
          <w:iCs w:val="1"/>
          <w:color w:val="auto"/>
        </w:rPr>
        <w:t>Intangibles - Goodwill &amp; Other</w:t>
      </w:r>
      <w:r>
        <w:rPr>
          <w:rFonts w:ascii="Times New Roman" w:cs="Times New Roman" w:eastAsia="Times New Roman" w:hAnsi="Times New Roman"/>
          <w:sz w:val="18"/>
          <w:szCs w:val="18"/>
          <w:color w:val="auto"/>
        </w:rPr>
        <w:t xml:space="preserve"> (“ASC Topic 350”), issued by the FASB. A company may first assess the qualitative factors to determine whether it is more likely than not that the fair value of its reporting unit is less than its carrying amount as a basis for determining whether it is necessary to perform the two-step goodwill impairment. If the two-step goodwill impairment test is performed, the first step in identifying a potential impairment compares the fair value of the reporting unit with its carrying amount. Such valuations require us to make significant estimates and assumptions, especially with respect to intangible assets. Significant estimates in valuing certain intangible assets include, but are not limited to, future expected cash flows from acquired clients, acquired technology, and trade names from a market participant perspective, useful lives, and discount rates. If the carrying amount of a reporting unit exceeds its fair value, the second step would need to be performed; otherwise, no further step is required. The second step, measuring the impairment loss, compares the implied fair value of the reporting unit’s goodwill with the carrying amount of that goodwill. Any excess of the goodwill carrying amount over the implied fair value is recognized as an impairment charge, and the carrying value of goodwill is written down to fair value.</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impairment charges were recorded as a result of our 2016, 2015, and 2014 annual impairment analyses.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Known and Incurred but not Reported Claims</w:t>
      </w:r>
    </w:p>
    <w:p>
      <w:pPr>
        <w:spacing w:after="0" w:line="8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We use actuarial models and techniques to estimate the reserve for incurred but not reported claims.</w:t>
      </w:r>
    </w:p>
    <w:p>
      <w:pPr>
        <w:spacing w:after="0" w:line="1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Loss expense for known and incurred but not reported claims are charged to earnings after deducting recoverable amounts under our reinsurance contract. Loss expense for known and incurred but not reported claims associated with policies that we issued on behalf of a Lloyd's of London underwriting syndicate are charged to earnings for the portion of the underwriting risk that we assume.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1"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333,107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291,881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259,335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148,858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124,435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77,428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71,679</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patent assets, net</w:t>
            </w: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63,928</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64,282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24,941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18,235</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39,422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consolidated statements of operations data as a percentage of revenue.</w:t>
      </w:r>
    </w:p>
    <w:p>
      <w:pPr>
        <w:spacing w:after="0" w:line="18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38735</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gridSpan w:val="2"/>
          </w:tcPr>
          <w:p>
            <w:pPr>
              <w:ind w:left="686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6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sale of patent assets, net</w:t>
            </w:r>
          </w:p>
        </w:tc>
        <w:tc>
          <w:tcPr>
            <w:tcW w:w="17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2016 and 2015</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revenue for the year ended December 31, 2016 was $333.1 million compared to $291.9 million during the same period a year prior, an increase of $41.2 million, or 14%. Subscription revenue — which includes membership subscription to our defensive patent aggregation services, premiums earned, net of ceding commissions, from insurance policies and management fees — for the year ended December 31, 2016 was $255.4 million compared to $269.7 million for the year ended December 31, 2015. The decrease in subscription revenue was primarily attributable to a net decrease in membership fees and insurance premiums of $20.5 million from clients who joined our network prior to December 31, 2015 and, in certain cases, may no longer be a part of our network as of December 31, 2016. This decrease in subscription revenue was partially offset by a net increase in membership fees and insurance premiums of $6.2 million from new clients who joined our network subsequent to December 31, 2015. As of December 31, 2016 we had a total patent risk management client network of 348 companies as compared to 255 as of December 31, 2015.</w:t>
      </w:r>
    </w:p>
    <w:p>
      <w:pPr>
        <w:spacing w:after="0" w:line="18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Discovery revenue, which includes fees generated from data collection, hosting and processing, project management, and document review services, was $66.1 million for the year ended December 31, 2016 compared to nil in the same period a year prior as we acquired Inventus in January 2016.</w:t>
      </w:r>
    </w:p>
    <w:p>
      <w:pPr>
        <w:spacing w:after="0" w:line="16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Revenue for the year ended December 31, 2016 also included $11.6 million of fee-related revenue as compared to $22.2 million in the same period in 2015. This decrease in fee-related revenue was primarily attributable to the decrease in success fees earned in connection with syndicated acquisitions as well as a decrease in sale of perpetual licenses.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cost of revenue for the year ended December 31, 2016 was $197.3 million compared to $148.9 million during the same period a year prior, an increase of $48.4 million, or 33%. The increase was primarily attributable to the cost of revenue for discovery services of $33.4 million associated with Inventus, which we acquired in January 2016 and therefore has no comparable cost of revenue for the year ended December 31, 2015. The increase in cost of revenue was also attributable to a $16.6 million increase in patent amortization expense as a result of an increase in our patent assets and shorter than historical amortization periods for certain patent assets acquired during the year ended December 31, 2016. Patent assets acquired during the year</w:t>
      </w:r>
    </w:p>
    <w:p>
      <w:pPr>
        <w:spacing w:after="0" w:line="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ended December 31, 2016 had a weighted-average amortization period of 27 months compared with the historical weighted-average since our inception of 41 months. This increase was partially offset by a $1.6 million decrease in expenses incurred to maintain and prosecute patents and patent applications included in our portfolio.</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for the year ended December 31, 2016 were $100.5 million compared to $77.4 million during the same period a year prior, an increase of $23.1 million or 30%. The increase was primarily due to selling, general, and administrative expenses of $24.0 million for the year ended December 31, 2016 associated with Inventus, which we acquired in January 2016 and therefore has no comparable selling, general, and administrative expenses for the year ended December 31, 2015. This increase was partially offset by a decrease of selling, general, and administrative expenses of $0.9 million in the patent risk management business primarily attributable to a $2.7 million decrease in personnel-related costs due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decreases in headcount during the year ended December 31, 2016 as compared to the year ended December 31, 2015 partially offset by a $1.8 million increase in professional services fees.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8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interest and other expense, net for the year ended December 31, 2016 was $3.1 million compared to interest and other expense, net of $0.7 million during the same period a year prior, an increase of $2.4 million. The increase was primarily due to an increase of $4.5 million related to our deferred payment obligation, a $3.0 million increase of realized and unrealized foreign currency losses, increase of $3.0 million of interest expense incurred primarily in connection with our $100 million five-year term facility which we entered into in February 2016, as well as a $0.2 million decrease in interest income generated from our short-term investments. This increase was partially offset by a decrease of $8.3 million in other expense, net related to our short-term investments.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provision for income taxes was $14.1 million and $26.1 million for the years ended December 31, 2016 and 2015, respectively. Our effective tax rate, including the impact of discrete benefit items, increased to 44% for the year ended December 31, 2016 compared to 40% for the year ended December 31, 2015, primarily due to increases in reserves for unrecognized tax benefits resulting from state apportionment matters. Based on available information, we believe it is more-likely-than-not that our deferred tax assets will be fully realized with the exception of a portion related to our generated capital losses. Accordingly, we have not applied a valuation allowance against our net deferred tax assets except for a portion related to the generated capital losses at December 31, 2016 and 2015.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and 2014</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revenue for the year ended December 31, 2015 was $291.9 million compared to $259.3 million during the same period a year prior, an increase of $32.6 million, or 13%. Subscription revenue, which includes membership subscription services, premiums earned, net of ceding commissions, from insurance policies and management fees, for the year ended December 31, 2015 was $269.7 million compared to $251.4 million for the year ended December 31, 2014. The increase in subscription revenue was attributable to an increase in membership fees and insurance premiums, which was comprised of $15.1 million from new clients who joined our network subsequent to December 31, 2014 and $3.3 million from clients who joined our network prior to December 31, 2014. As of December 31, 2015 we had a total client network of 255 companies as compared to 204 as of December 31, 2014.</w:t>
      </w:r>
    </w:p>
    <w:p>
      <w:pPr>
        <w:spacing w:after="0" w:line="18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Revenue for the year ended December 31, 2015 also included $22.2 million of fee-related revenue as compared to $8.0 million in the same period in 2014. This increase in fee-related revenue was primarily attributable to the success fees earned in connection with syndicated acquisitions as well as the sale of perpetual licenses.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right="60" w:firstLine="486"/>
        <w:spacing w:after="0" w:line="273" w:lineRule="auto"/>
        <w:rPr>
          <w:sz w:val="20"/>
          <w:szCs w:val="20"/>
          <w:color w:val="auto"/>
        </w:rPr>
      </w:pPr>
      <w:r>
        <w:rPr>
          <w:rFonts w:ascii="Times New Roman" w:cs="Times New Roman" w:eastAsia="Times New Roman" w:hAnsi="Times New Roman"/>
          <w:sz w:val="17"/>
          <w:szCs w:val="17"/>
          <w:color w:val="auto"/>
        </w:rPr>
        <w:t>Our cost of revenue for the year ended December 31, 2015 was $148.9 million compared to $124.4 million during the same period a year prior, an increase of $24.5 million, or 20%. The increase was primarily attributable to a $22.7 million increase in patent amortization expense as a result of an increase in our patent assets and shorter than historical amortization periods for certain patent assets acquired during the year ended December 31, 2015. Patent assets acquired during the year ended December 31, 2015 had a weighted-average amortization period of 38 months compared with the historical weighted-average since our inception of 44 months. This increase was also attributable to a $1.5 million increase in expenses incurred to maintain and prosecute patents and patent applications included in our portfolio and a $1.0 million increase in expenses incurred to conduct inter partes reviews and prior art searches, partially offset by a $0.7 million decrease in insurance premiums ceded and loss expense for known and incurred but not reported claims for insurance policies.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for the year ended December 31, 2015 were $77.4 million compared to $71.7 million during the same period a year prior, an increase of $5.7 million or 8%. The increase was primarily due to a $3.4 million increase in personnel-related costs, attributable to increasing our headcount to 161 employees as of December 31, 2015, a $1.7 million increase in legal and professional service fees primarily attributable to costs related to M&amp;A activity, and $0.3 million increase in IT related costs for software upgrades and licenses for additional users due to increases in headcount.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interest and other expense, net for the year ended December 31, 2015 was $0.7 million compared to interest and other income, net of $0.4 million during the same period a year prior, a decrease of $1.1 million. The decrease was primarily due to a $5.1 million other-than-temporary impairment of short-term investments and $3.4 million of losses realized on sales and exchanges of short-term investments offset by fair value adjustments on our deferred payment obligations of $3.9 million, a $3.0 million gain on extinguishment of our deferred payment obligation, and $0.5 million of interest income from our short-term investments.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provision for income taxes was $26.1 million and $24.9 million for the years ended December 31, 2015 and 2014, respectively. Our effective tax rate, including the impact of discrete benefit items, was 40% and 39% for the years ended December 31, 2015 and 2014, respectively. Based on available information, we believe it is more-likely-than-not that our deferred tax assets will be fully realized with the exception of a portion of our generated capital losses. Accordingly, we have not applied a valuation allowance against our net deferred tax assets except for a portion of the current year generated capital losses at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8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We supplement our consolidated financial statements presented on a GAAP basis with non-GAAP adjusted EBITDA less net patent spend as we believe that this non-GAAP measure provides useful information about core operating results and thus is appropriate to enhance the overall understanding of our past financial performance and our prospects for the future. We define non-GAAP adjusted EBITDA as net income exclusive of provision for income taxes, interest and other income (expense), net, stock-based compensation and related employer payroll taxes, depreciation, and amortization. We use this non-GAAP measure to evaluate our financial results and trends, allocate internal resources, prepare and approve our annual budget, develop short- and long-term operating plans, and assess the health of our business. We believe this non-GAAP measure may prove useful to investors who wish to consider the impact of certain items when comparing our financial performance with that of other companies. The adjustments to our GAAP results are made with the intent of providing both management and investors a more complete understanding of our underlying operational results, trends and performance.</w:t>
      </w:r>
    </w:p>
    <w:p>
      <w:pPr>
        <w:spacing w:after="0" w:line="18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on our reported financial results. In addition, they are subject to inherent limitations as they reflect the exercise of judgment by management about which items are adjusted to calculate our non-GAAP financial measures. Management compensates for these limitations by analyzing current and future results on a GAAP basis as well as a non-GAAP basis and also by providing GAAP measures in our public disclosures.</w:t>
      </w:r>
    </w:p>
    <w:p>
      <w:pPr>
        <w:spacing w:after="0" w:line="184"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presentation of additional information should not be considered in isolation or as a substitute for or superior to financial results determined in accordance with GAAP. Investors are encouraged to review the reconciliation of these non-GAAP measures to their most directly comparable GAAP financial measure and not to rely on any single financial measure to evaluate our business.</w:t>
      </w:r>
    </w:p>
    <w:p>
      <w:pPr>
        <w:spacing w:after="0" w:line="176" w:lineRule="exact"/>
        <w:rPr>
          <w:sz w:val="20"/>
          <w:szCs w:val="20"/>
          <w:color w:val="auto"/>
        </w:rPr>
      </w:pPr>
    </w:p>
    <w:p>
      <w:pPr>
        <w:ind w:right="2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net income to non-GAAP adjusted EBITDA less net patent spend for each of the periods indicated (in thousands). Our historical results are not necessarily indicative of our results of operations to be expected for any future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24,941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18,049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171,623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145,835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123,138</w:t>
            </w:r>
          </w:p>
        </w:tc>
      </w:tr>
      <w:tr>
        <w:trPr>
          <w:trHeight w:val="23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adjusted EBITDA</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225,579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230,037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205,115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patent spend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(136,468)</w:t>
            </w:r>
          </w:p>
        </w:tc>
      </w:tr>
      <w:tr>
        <w:trPr>
          <w:trHeight w:val="25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adjusted EBITDA less net patent spend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69,372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68,647</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1"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have financed substantially all of our operations and patent asset acquisitions through subscription and other fees collected from our clients, patent-seller financing, the sale of equity securities, and from borrowing through term loan facilities. As of December 31, 2016, we had $100.1 million of cash and cash equivalents and $90.9 million in short-term investments. In January 2016, we paid aggregate consideration of $232 million in cash, net of working capital adjustments, at the closing of the Inventus transaction. On February 26, 2016, we entered into a credit agreement for a $100 million five-year term facility and a $50 million five-year revolving credit facility, which contains financial covenants requiring us to maintain certain leverage and fixed charge ratios which may impact our spending patterns and limits in the future. As of December 31, 2016, the total balance outstanding on the term facility was $96.3 million, and the revolving credit facility remains undrawn. Further information regarding our credit agreement can be found in Note 11 of the Notes to Consolidated Financial Statements in Part II, Item 8 of this Annual Report on Form 10-K.</w:t>
      </w:r>
    </w:p>
    <w:p>
      <w:pPr>
        <w:spacing w:after="0" w:line="185"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and discovery services businesses and development of new products and services. We may experience fluctuations in patent acquisition spending as we acquire patent assets that will benefit our clients. Our cash used in investing activities may increase in the future as we acquire additional patent assets. Our cash used in financing activities may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187,256</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191,469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Foreign-currency effect on cash and cash equivalents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provided by operating activities for the year ended December 31, 2016 was $187.3 million, consisting of adjustments for non-cash items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$181.1 million, changes in working capital and non-current assets and liabilities of $12.1 million, and net income of $18.2 million. Non-cash adjustments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primarily consisted of $171.6 million of depreciation and amortization, $18.3 million of stock-based compensation, an unrealized loss of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due to foreign currency fluctuations, $2.2 million of amortization of premium on investments, $2.5 million of other non-cash adjustments, and $0.3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loss on sales and transfers of short-term investments partially offset by a reduction of $14.0 million due to a net increase in our deferred taxes,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adjustments on our deferred payment obligations of $1.9 million, and a gain of $0.5 million recognized on the extinguishment of a deferred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The change in working capital and non-current assets and liabilities resulted primarily from a $39.7 million increase in 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 $14.7 million increase in deferred revenue, a $10.3 million decrease in prepaid expenses and other assets, a $1.7 million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liabilities, and a $0.9 million increase in accounts payable. The increase in accounts receivable was primarily due to an increase of $25.4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a significant patent risk management customer as well as the addition of accounts receivable related to our discovery services business.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provided by operating activities for the year ended December 31, 2015 was $173.2 million, consisting of adjustments for non-cash items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$156.5 million, changes in working capital and non-current assets and liabilities of $22.7 million, and net income of $39.4 million. Non-cash adjustments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primarily consisted of $145.8 million of depreciation and amortization, $17.6 million of stock-based compensation, $6.7 million of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premium on investments, $5.1 million impairment of short-term investments, $3.4 million loss on sales and transfers of short-term investments, a reduction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$13.0 million due to a net increase in our deferred taxes, fair value adjustments on our deferred payment obligations of $3.9 million, $3.0 million due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recognized on the extinguishment of a deferred payment obligation, $1.6 million due to excess tax benefit from stock-based compensation and a $0.6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gain from the sale of patent assets. The change in working capital and non-current assets and liabilities resulted primarily from a $21.3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deferred revenue and a $17.7 million increase in prepaid expenses and other assets partially offset by a $10.9 million decrease in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 $4.6 million increase in accrued and other liabilities, and a $0.7 million increase in accounts payable.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2016 was $213.5 million, resulting from $228.5 million used for the acquisition of Inventus, net of cash received, $116.7 million used to acquire patent assets, $10.8 million used for the net purchases of short-term investments, and $3.7 million used to acquire property and equipment. This was partially offset by $145.9 million received from the sale of investments primarily used to fund the acquisition of Inventus and a $0.3 million decrease in restricted cash.</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2015 was $134.9 million, of which $132.8 million was used to acquire patent assets, $19.5 million was used for the net purchases of short-term investments, $2.5 million was used for acquisition of other assets, $2.2 million was used to acquire property and equipment, and $0.4 million was used for the final payment of the acquisition of DCML Services Corporation. This was partially offset by $21.7 million received from the sale of investments, $0.7 million of proceeds received from the sale of patent assets, and a $0.2 million decrease in restricted cash.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8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2016 was $32.0 million, resulting from $100.0 million provided by proceeds from the issuance of long-term debt and $3.8 million in proceeds from the exercise of stock options. This cash provided by financing activities was partially offset by $60.1 million used to repurchase our common stock under our share repurchase program, $4.2 million in tax payments for net-share settlements of RSUs and PBRSUs, $3.8 million payments of principal on our long-term debt, $2.0 million used for issuance costs related to our long-term debt, $1.3 million used for a deferred acquisition payment, and $0.5 million of cash payments for capital leases.</w:t>
      </w:r>
    </w:p>
    <w:p>
      <w:pPr>
        <w:spacing w:after="0" w:line="18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2015 was $21.4 million, resulting from $26.2 million used to repurchase our common stock under our share repurchase program, $5.1 million in tax payments for net-share settlements of RSUs and PBRSUs, and $2.9 million used for repayments of deferred payment obligations, partially offset by $6.3 million in proceeds from deferred payment obligations, $5.0 million in proceeds from the exercise of stock options and $1.6 million in excess tax benefit from stock-based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81" w:lineRule="exact"/>
        <w:rPr>
          <w:sz w:val="20"/>
          <w:szCs w:val="20"/>
          <w:color w:val="auto"/>
        </w:rPr>
      </w:pPr>
    </w:p>
    <w:p>
      <w:pPr>
        <w:ind w:right="440" w:firstLine="567"/>
        <w:spacing w:after="0" w:line="282" w:lineRule="auto"/>
        <w:rPr>
          <w:sz w:val="20"/>
          <w:szCs w:val="20"/>
          <w:color w:val="auto"/>
        </w:rPr>
      </w:pPr>
      <w:r>
        <w:rPr>
          <w:rFonts w:ascii="Times New Roman" w:cs="Times New Roman" w:eastAsia="Times New Roman" w:hAnsi="Times New Roman"/>
          <w:sz w:val="18"/>
          <w:szCs w:val="18"/>
          <w:color w:val="auto"/>
        </w:rPr>
        <w:t>The following summarizes our non-cancelable minimum payments under contractual obligations and commitments as of December 31, 2016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8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32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More Than</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8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5"/>
                <w:szCs w:val="25"/>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13,625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96,250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payments on borrowings </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10,107</w:t>
            </w:r>
          </w:p>
        </w:tc>
        <w:tc>
          <w:tcPr>
            <w:tcW w:w="0" w:type="dxa"/>
            <w:vAlign w:val="bottom"/>
          </w:tcPr>
          <w:p>
            <w:pPr>
              <w:spacing w:after="0"/>
              <w:rPr>
                <w:sz w:val="1"/>
                <w:szCs w:val="1"/>
                <w:color w:val="auto"/>
              </w:rPr>
            </w:pPr>
          </w:p>
        </w:tc>
      </w:tr>
      <w:tr>
        <w:trPr>
          <w:trHeight w:val="237"/>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14,236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34,103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71,032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17145</wp:posOffset>
            </wp:positionV>
            <wp:extent cx="4408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ind w:left="500" w:hanging="330"/>
        <w:spacing w:after="0"/>
        <w:tabs>
          <w:tab w:leader="none" w:pos="5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lease commitments are net of total contractual sublease payments of $3.3 million.</w:t>
      </w:r>
    </w:p>
    <w:p>
      <w:pPr>
        <w:spacing w:after="0" w:line="64" w:lineRule="exact"/>
        <w:rPr>
          <w:rFonts w:ascii="Times New Roman" w:cs="Times New Roman" w:eastAsia="Times New Roman" w:hAnsi="Times New Roman"/>
          <w:sz w:val="22"/>
          <w:szCs w:val="22"/>
          <w:color w:val="auto"/>
          <w:vertAlign w:val="superscript"/>
        </w:rPr>
      </w:pPr>
    </w:p>
    <w:p>
      <w:pPr>
        <w:ind w:left="500" w:hanging="330"/>
        <w:spacing w:after="0" w:line="230" w:lineRule="auto"/>
        <w:tabs>
          <w:tab w:leader="none" w:pos="5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long-term debt bears interest which is payable quarterly in arrears at our option equal to either a base rate plus a margin ranging from 1.25% to 1.75% per annum or, at our election, the one-, two-, three-, or six-month London interbank offered rate ("LIBOR") plus a margin ranging from 2.25% to 2.75% per annum, based upon the ratio of our debt to consolidated EBITDA ratio. We estimated future interest payment obligations based on the interest election and LIBOR rate in effect as of December 31, 2016. Further information regarding our long-term debt can be found in Note 11, "Debt" of the Notes to Consolidated Financial Statements in Part II,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-775335</wp:posOffset>
            </wp:positionV>
            <wp:extent cx="4408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17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lease office facilities under non-cancelable operating leases that expire at various dates through 2024. Our facility leases generally require us to pay operating costs, including property taxes, insurance and maintenance.</w:t>
      </w:r>
    </w:p>
    <w:p>
      <w:pPr>
        <w:spacing w:after="0" w:line="16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March 2012, we entered into an amended lease agreement related to our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As of December 31, 2016, our total future minimum payments required under non-cancelable operating leases, net of sublease income, is $13.6 million, which is included in the table above. In October 2013, we entered into an agreement to sublease a portion of its San Francisco, California office space. This sublease took effect on February 1, 2014 for a 36-month term through January 2017 and was subsequently renewed through October 2019.</w:t>
      </w:r>
    </w:p>
    <w:p>
      <w:pPr>
        <w:spacing w:after="0" w:line="188"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2016, our reserve for uncertain tax positions was $9.3 million, which includes interest and penalties of $1.7 million, and was classified as a non-current liability. At this time, we are unable to make a reasonably reliable estimate of the timing of payments in individual years in connection with the tax liabilities; therefore, such amounts are not included in the above contractual obligations table.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the patent sale transactions that we have completed, we agreed to indemnify and hold harmless the buyer for losses resulting from a breach of representations and warranties made by us. The terms of these indemnification agreements are generally perpetual. The maximum amount of potential future indemnification is unlimited. To date, we have not paid any amounts to settle claims or defend lawsuits. We do not indemnify our clients for patent infringement.</w:t>
      </w:r>
    </w:p>
    <w:p>
      <w:pPr>
        <w:spacing w:after="0" w:line="1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bylaws and certain contractual obligations, we also indemnify our Board of Directors and certain officers and employees for certain events or occurrences, subject to certain limits, while the director, officer or employee is or was serving at our request in such capacity. The term of the indemnification period is indefinite. The maximum amount of potential future indemnification is unspecified. We have no reason to believe that there is any material liability for actions, events or occurrences that have occurred to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8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February 2015, our Board of Directors authorized the repurchase of up to $75.0 million of our outstanding shares of common stock. In March and May 2016, we increased our share repurchase program by $25 million and $50 million, respectively, for a total amount authorized of $150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December 31, 2016, we had repurchased an aggregate of 7.9 million shares of common stock in the open market for $86.3 million under the share repurchase program.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8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At December 31, 2016,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 full description of recent accounting pronouncements, including the expected dates of adoption and estimated effects on results of operations and financial condition can be found under the heading “Significant Accounting Policies” in Note 2 of the Notes to Consolidated Financial Statements in Part II, Item 8 of this Annual Report on Form 10-K. Such information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subscription agreements are denominated in U.S. dollars and, therefore, our subscription revenue is not currently subject to significant foreign currency risk. Certain of our discovery services operations are denominated in currencies other than the U.S. dollar, primarily the British pound sterling and the Euro, and therefore these operations are exposed to foreign exchange rate fluctuations, particularly in light of the referendum in the United Kingdom in which voters approved an exit from the European Union, commonly referred to as "Brexit," and other recent political developments.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sterling, Japanese yen, and Euro relative to the U.S. dollar, including changes due to Brexit. To date, we have not entered into any foreign currency hedging contracts.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8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 portfolio of cash equivalents and short-term investments and our long-term debt.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1" w:right="2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of December 31, 2016, we had an outstanding term facility maturing in 2020 with an aggregate carrying amount of $96.3 million, which bears interest which is payable quarterly in arrears at our option equal to either a base rate plus a margin ranging from 1.25% to 1.75% per annum or, at our election, the one-, two-, three-, or six-month London interbank offered rate ("LIBOR") plus a margin ranging from 2.25% to 2.75% per annum, based upon the ratio of our debt to consolidated EBITDA ratio. The outstanding balance on the Term Facility bore interest during the year ended December 31, 2016 at an average interest rate of 3.0%, which approximates fair value. The Revolving Credit Facility bears a commitment fee on undrawn balances of 0.35% to 0.45% per annum, also based upon our debt to consolidated adjusted EBITDA ratio, that are expensed as incurred. A hypothetical 100 BPS increase or decrease in LIBOR would increase or decrease the interest expense on our term facility by approximately $0.8 million for the year ended December 31, 2016.</w:t>
      </w:r>
    </w:p>
    <w:p>
      <w:pPr>
        <w:spacing w:after="0" w:line="18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short-term investments of $191.0 million as of December 31, 2016. Our cash balances deposited in U.S. banks are non-interest bearing and insured up to the Federal Deposit Insurance Corporation (“FDIC”) limits. Cash equivalents consist primarily of institutional money market funds and municipal bonds denominated primarily in U.S. dollars. Interest rate fluctuations affect the returns on our invested funds.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2016, our short-term investments of $90.9 million were primarily invested in municipal and corporate bonds maturing between 90 days and 12 months, U.S. government and agency securities, commercial paper, and equity securities. As of December 31, 2016, our investments were primarily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December 31, 2016, we had not recorded any impairment charges related to our investments in the consolidated statement of operations.</w:t>
      </w:r>
    </w:p>
    <w:p>
      <w:pPr>
        <w:spacing w:after="0" w:line="188"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If overall interest rates had changed by 10% during the year ended December 31, 2016, the fair value of our investments would not have been materially affected.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Effect of Inflation</w:t>
      </w:r>
    </w:p>
    <w:p>
      <w:pPr>
        <w:spacing w:after="0" w:line="8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believe that inflation has not had a material impact on our consolidated results of operations for the year ended December 31, 2016. There can be no assurance that future inflation will not have an adverse impact on our consolidated results of operations or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Consolidated Financial Statements and Supplementary Data.</w:t>
      </w:r>
    </w:p>
    <w:p>
      <w:pPr>
        <w:spacing w:after="0" w:line="1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25"/>
        </w:trPr>
        <w:tc>
          <w:tcPr>
            <w:tcW w:w="4220" w:type="dxa"/>
            <w:vAlign w:val="bottom"/>
            <w:gridSpan w:val="2"/>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Report of Independent Registered Public Accounting Firm</w:t>
              </w:r>
            </w:hyperlink>
          </w:p>
        </w:tc>
        <w:tc>
          <w:tcPr>
            <w:tcW w:w="6360" w:type="dxa"/>
            <w:vAlign w:val="bottom"/>
            <w:gridSpan w:val="6"/>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Balance Sheets as of December 31, 2016 and 2015</w:t>
              </w:r>
            </w:hyperlink>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Operations for the Years Ended December 31, 2016, 2015, and 2014</w:t>
              </w:r>
            </w:hyperlink>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Statements of Comprehensive Income for the Years Ended December 31, 2016, 2015, and 2014</w:t>
              </w:r>
            </w:hyperlink>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860" w:type="dxa"/>
            <w:vAlign w:val="bottom"/>
            <w:gridSpan w:val="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Consolidated Statements of Stockholders’ Equity for the Years Ended December 31, 2016, 2015, and 2014</w:t>
              </w:r>
            </w:hyperlink>
          </w:p>
        </w:tc>
        <w:tc>
          <w:tcPr>
            <w:tcW w:w="2720" w:type="dxa"/>
            <w:vAlign w:val="bottom"/>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680" w:type="dxa"/>
            <w:vAlign w:val="bottom"/>
            <w:gridSpan w:val="6"/>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Consolidated Statements of Cash Flows for the Years Ended December 31, 2016, 2015, and 2014</w:t>
              </w:r>
            </w:hyperlink>
          </w:p>
        </w:tc>
        <w:tc>
          <w:tcPr>
            <w:tcW w:w="2900" w:type="dxa"/>
            <w:vAlign w:val="bottom"/>
            <w:gridSpan w:val="2"/>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49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000" w:type="dxa"/>
            <w:vAlign w:val="bottom"/>
            <w:gridSpan w:val="5"/>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Notes to Consolidated Financial Statements</w:t>
              </w:r>
            </w:hyperlink>
          </w:p>
        </w:tc>
        <w:tc>
          <w:tcPr>
            <w:tcW w:w="3580" w:type="dxa"/>
            <w:vAlign w:val="bottom"/>
            <w:gridSpan w:val="3"/>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51</w:t>
              </w:r>
            </w:hyperlink>
          </w:p>
        </w:tc>
      </w:tr>
      <w:tr>
        <w:trPr>
          <w:trHeight w:val="507"/>
        </w:trPr>
        <w:tc>
          <w:tcPr>
            <w:tcW w:w="3140" w:type="dxa"/>
            <w:vAlign w:val="bottom"/>
            <w:tcBorders>
              <w:top w:val="single" w:sz="8" w:color="0000EE"/>
            </w:tcBorders>
          </w:tcPr>
          <w:p>
            <w:pPr>
              <w:spacing w:after="0"/>
              <w:rPr>
                <w:sz w:val="24"/>
                <w:szCs w:val="24"/>
                <w:color w:val="auto"/>
              </w:rPr>
            </w:pPr>
          </w:p>
        </w:tc>
        <w:tc>
          <w:tcPr>
            <w:tcW w:w="380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RPX Corporation</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operations, comprehensive income, stockholders’ equity, and cash flows present fairly, in all material respects, the financial position of RPX Corporation and its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described in Management’s Annual Report on Internal Control Over Financial Reporting appearing under Item 9A, management has excluded Inventus Solutions, Inc. from its assessment of internal control over financial reporting as of December 31, 2016 because it was acquired by the Company in a purchase business combination during 2016. We have also excluded Inventus Solutions, Inc. from our audit of internal control over financial reporting. Inventus Solutions, Inc. is a wholly-owned subsidiary whose total assets and total revenues represent 6% and 20%, respectively, of the related consolidated financial statement amounts as of and for the year ended December 31,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2017</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19"/>
                <w:szCs w:val="19"/>
                <w:color w:val="auto"/>
              </w:rPr>
            </w:pPr>
          </w:p>
        </w:tc>
      </w:tr>
      <w:tr>
        <w:trPr>
          <w:trHeight w:val="29"/>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5"/>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2015</w:t>
            </w:r>
          </w:p>
        </w:tc>
      </w:tr>
      <w:tr>
        <w:trPr>
          <w:trHeight w:val="29"/>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100,111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94,983</w:t>
            </w:r>
          </w:p>
        </w:tc>
      </w:tr>
      <w:tr>
        <w:trPr>
          <w:trHeight w:val="241"/>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investments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90,877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231,015</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701</w:t>
            </w:r>
          </w:p>
        </w:tc>
      </w:tr>
      <w:tr>
        <w:trPr>
          <w:trHeight w:val="241"/>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 net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64,395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13,905</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12,643</w:t>
            </w:r>
          </w:p>
        </w:tc>
      </w:tr>
      <w:tr>
        <w:trPr>
          <w:trHeight w:val="221"/>
        </w:trPr>
        <w:tc>
          <w:tcPr>
            <w:tcW w:w="8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260,407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353,247</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Patent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212,999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254,560</w:t>
            </w: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6,948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4,733</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56,050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1,801</w:t>
            </w: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Goodwill</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151,322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19,978</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Restricted cash,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727</w:t>
            </w: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8,337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6,896</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38,261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16,619</w:t>
            </w:r>
          </w:p>
        </w:tc>
      </w:tr>
      <w:tr>
        <w:trPr>
          <w:trHeight w:val="284"/>
        </w:trPr>
        <w:tc>
          <w:tcPr>
            <w:tcW w:w="8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735,289</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658,561</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959</w:t>
            </w:r>
          </w:p>
        </w:tc>
      </w:tr>
      <w:tr>
        <w:trPr>
          <w:trHeight w:val="241"/>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16,798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14,842</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118,856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110,921</w:t>
            </w:r>
          </w:p>
        </w:tc>
      </w:tr>
      <w:tr>
        <w:trPr>
          <w:trHeight w:val="241"/>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payment obligations</w:t>
            </w: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2,383</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1,484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467</w:t>
            </w:r>
          </w:p>
        </w:tc>
      </w:tr>
      <w:tr>
        <w:trPr>
          <w:trHeight w:val="29"/>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146,809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129,572</w:t>
            </w: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Deferred revenue, less current portion</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11,552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4,731</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88,110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7,779</w:t>
            </w:r>
          </w:p>
        </w:tc>
      </w:tr>
      <w:tr>
        <w:trPr>
          <w:trHeight w:val="221"/>
        </w:trPr>
        <w:tc>
          <w:tcPr>
            <w:tcW w:w="8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261,008</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142,082</w:t>
            </w:r>
          </w:p>
        </w:tc>
      </w:tr>
      <w:tr>
        <w:trPr>
          <w:trHeight w:val="29"/>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Stockholders’ equity:</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Preferred stock, $0.0001 par value — 10,000 shares authorized; none issued and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Common stock, $0.0001 par value — 200,000 shares authorized; 48,776 and 53,489 issued and outstanding as of</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December 31, 2016 and 2015, respectively</w:t>
            </w:r>
          </w:p>
        </w:tc>
        <w:tc>
          <w:tcPr>
            <w:tcW w:w="3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360,462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344,610</w:t>
            </w:r>
          </w:p>
        </w:tc>
      </w:tr>
      <w:tr>
        <w:trPr>
          <w:trHeight w:val="241"/>
        </w:trPr>
        <w:tc>
          <w:tcPr>
            <w:tcW w:w="8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Retained earnings</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130,249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172,115</w:t>
            </w:r>
          </w:p>
        </w:tc>
      </w:tr>
      <w:tr>
        <w:trPr>
          <w:trHeight w:val="29"/>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21"/>
        </w:trPr>
        <w:tc>
          <w:tcPr>
            <w:tcW w:w="8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474,281</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516,479</w:t>
            </w:r>
          </w:p>
        </w:tc>
      </w:tr>
      <w:tr>
        <w:trPr>
          <w:trHeight w:val="29"/>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735,289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658,561</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6"/>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2014</w:t>
            </w:r>
          </w:p>
        </w:tc>
        <w:tc>
          <w:tcPr>
            <w:tcW w:w="0" w:type="dxa"/>
            <w:vAlign w:val="bottom"/>
          </w:tcPr>
          <w:p>
            <w:pPr>
              <w:spacing w:after="0"/>
              <w:rPr>
                <w:sz w:val="1"/>
                <w:szCs w:val="1"/>
                <w:color w:val="auto"/>
              </w:rPr>
            </w:pPr>
          </w:p>
        </w:tc>
      </w:tr>
      <w:tr>
        <w:trPr>
          <w:trHeight w:val="29"/>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333,107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291,881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259,335</w:t>
            </w:r>
          </w:p>
        </w:tc>
        <w:tc>
          <w:tcPr>
            <w:tcW w:w="0" w:type="dxa"/>
            <w:vAlign w:val="bottom"/>
          </w:tcPr>
          <w:p>
            <w:pPr>
              <w:spacing w:after="0"/>
              <w:rPr>
                <w:sz w:val="1"/>
                <w:szCs w:val="1"/>
                <w:color w:val="auto"/>
              </w:rPr>
            </w:pPr>
          </w:p>
        </w:tc>
      </w:tr>
      <w:tr>
        <w:trPr>
          <w:trHeight w:val="241"/>
        </w:trPr>
        <w:tc>
          <w:tcPr>
            <w:tcW w:w="6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197,262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148,858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124,435</w:t>
            </w:r>
          </w:p>
        </w:tc>
        <w:tc>
          <w:tcPr>
            <w:tcW w:w="0" w:type="dxa"/>
            <w:vAlign w:val="bottom"/>
          </w:tcPr>
          <w:p>
            <w:pPr>
              <w:spacing w:after="0"/>
              <w:rPr>
                <w:sz w:val="1"/>
                <w:szCs w:val="1"/>
                <w:color w:val="auto"/>
              </w:rPr>
            </w:pPr>
          </w:p>
        </w:tc>
      </w:tr>
      <w:tr>
        <w:trPr>
          <w:trHeight w:val="29"/>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71,679</w:t>
            </w:r>
          </w:p>
        </w:tc>
        <w:tc>
          <w:tcPr>
            <w:tcW w:w="0" w:type="dxa"/>
            <w:vAlign w:val="bottom"/>
          </w:tcPr>
          <w:p>
            <w:pPr>
              <w:spacing w:after="0"/>
              <w:rPr>
                <w:sz w:val="1"/>
                <w:szCs w:val="1"/>
                <w:color w:val="auto"/>
              </w:rPr>
            </w:pPr>
          </w:p>
        </w:tc>
      </w:tr>
      <w:tr>
        <w:trPr>
          <w:trHeight w:val="241"/>
        </w:trPr>
        <w:tc>
          <w:tcPr>
            <w:tcW w:w="6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Gain on sale of patent assets, net</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9"/>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35,388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66,187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63,928</w:t>
            </w:r>
          </w:p>
        </w:tc>
        <w:tc>
          <w:tcPr>
            <w:tcW w:w="0" w:type="dxa"/>
            <w:vAlign w:val="bottom"/>
          </w:tcPr>
          <w:p>
            <w:pPr>
              <w:spacing w:after="0"/>
              <w:rPr>
                <w:sz w:val="1"/>
                <w:szCs w:val="1"/>
                <w:color w:val="auto"/>
              </w:rPr>
            </w:pPr>
          </w:p>
        </w:tc>
      </w:tr>
      <w:tr>
        <w:trPr>
          <w:trHeight w:val="241"/>
        </w:trPr>
        <w:tc>
          <w:tcPr>
            <w:tcW w:w="6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41"/>
        </w:trPr>
        <w:tc>
          <w:tcPr>
            <w:tcW w:w="6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1"/>
        </w:trPr>
        <w:tc>
          <w:tcPr>
            <w:tcW w:w="6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interest and other income (expense), net</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9"/>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32,309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65,499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64,282</w:t>
            </w:r>
          </w:p>
        </w:tc>
        <w:tc>
          <w:tcPr>
            <w:tcW w:w="0" w:type="dxa"/>
            <w:vAlign w:val="bottom"/>
          </w:tcPr>
          <w:p>
            <w:pPr>
              <w:spacing w:after="0"/>
              <w:rPr>
                <w:sz w:val="1"/>
                <w:szCs w:val="1"/>
                <w:color w:val="auto"/>
              </w:rPr>
            </w:pPr>
          </w:p>
        </w:tc>
      </w:tr>
      <w:tr>
        <w:trPr>
          <w:trHeight w:val="241"/>
        </w:trPr>
        <w:tc>
          <w:tcPr>
            <w:tcW w:w="6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14,074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26,077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24,941</w:t>
            </w:r>
          </w:p>
        </w:tc>
        <w:tc>
          <w:tcPr>
            <w:tcW w:w="0" w:type="dxa"/>
            <w:vAlign w:val="bottom"/>
          </w:tcPr>
          <w:p>
            <w:pPr>
              <w:spacing w:after="0"/>
              <w:rPr>
                <w:sz w:val="1"/>
                <w:szCs w:val="1"/>
                <w:color w:val="auto"/>
              </w:rPr>
            </w:pPr>
          </w:p>
        </w:tc>
      </w:tr>
      <w:tr>
        <w:trPr>
          <w:trHeight w:val="29"/>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39,341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0.72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0.74</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0.72</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53,444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51,001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55,410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54,818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40" w:type="dxa"/>
            <w:vAlign w:val="bottom"/>
            <w:gridSpan w:val="6"/>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8"/>
              </w:rPr>
              <w:t>Year Ended December 31,</w:t>
            </w:r>
          </w:p>
        </w:tc>
        <w:tc>
          <w:tcPr>
            <w:tcW w:w="1140" w:type="dxa"/>
            <w:vAlign w:val="bottom"/>
          </w:tcPr>
          <w:p>
            <w:pPr>
              <w:spacing w:after="0"/>
              <w:rPr>
                <w:sz w:val="19"/>
                <w:szCs w:val="19"/>
                <w:color w:val="auto"/>
              </w:rPr>
            </w:pPr>
          </w:p>
        </w:tc>
      </w:tr>
      <w:tr>
        <w:trPr>
          <w:trHeight w:val="29"/>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2014</w:t>
            </w:r>
          </w:p>
        </w:tc>
      </w:tr>
      <w:tr>
        <w:trPr>
          <w:trHeight w:val="29"/>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18,235</w:t>
            </w:r>
          </w:p>
        </w:tc>
        <w:tc>
          <w:tcPr>
            <w:tcW w:w="56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39,341</w:t>
            </w:r>
          </w:p>
        </w:tc>
      </w:tr>
      <w:tr>
        <w:trPr>
          <w:trHeight w:val="235"/>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9"/>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gains (losses) on available-for-sale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1"/>
        </w:trPr>
        <w:tc>
          <w:tcPr>
            <w:tcW w:w="6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Unrealized holding gains (losses) arising during the period</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9"/>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Less: reclassification adjustment for losses included in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unrealized gains (losses) on available-for-sale investments, net of tax</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9"/>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6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Comprehensive income</w:t>
            </w: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2,051</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39,279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39,185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6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40" w:type="dxa"/>
            <w:vAlign w:val="bottom"/>
            <w:gridSpan w:val="5"/>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57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2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0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2013</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52,692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$ 305,343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$ 119,527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424,923</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Components of comprehensive income,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39,341</w:t>
            </w:r>
          </w:p>
        </w:tc>
        <w:tc>
          <w:tcPr>
            <w:tcW w:w="0" w:type="dxa"/>
            <w:vAlign w:val="bottom"/>
          </w:tcPr>
          <w:p>
            <w:pPr>
              <w:spacing w:after="0"/>
              <w:rPr>
                <w:sz w:val="1"/>
                <w:szCs w:val="1"/>
                <w:color w:val="auto"/>
              </w:rPr>
            </w:pPr>
          </w:p>
        </w:tc>
      </w:tr>
      <w:tr>
        <w:trPr>
          <w:trHeight w:val="237"/>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Unrealized loss on available-for-sale investments, net of tax</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 vesting of restricted stock</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units and other common stock issuances</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3,163</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related to business acquisition</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3,156</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17,747</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benefit of equity award deductions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withholdings related to net share settlements of restricted stock units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0" w:type="dxa"/>
            <w:vAlign w:val="bottom"/>
          </w:tcPr>
          <w:p>
            <w:pPr>
              <w:spacing w:after="0"/>
              <w:rPr>
                <w:sz w:val="1"/>
                <w:szCs w:val="1"/>
                <w:color w:val="auto"/>
              </w:rPr>
            </w:pPr>
          </w:p>
        </w:tc>
      </w:tr>
      <w:tr>
        <w:trPr>
          <w:trHeight w:val="21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2014</w:t>
            </w: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54,062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326,280</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158,868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485,045</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Components of comprehensive income, net of tax:</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39,422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39,422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loss on available-for-sale investments,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6"/>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 vesting of restricted stock</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units and other common stock issuances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5,013</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(26,175)</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17,728</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17,728</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 of equity award deductions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withholdings related to net share settlements of restricted stock units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2015</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53,489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344,610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172,115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516,479</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Components of comprehensive income, net of tax: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18,235</w:t>
            </w:r>
          </w:p>
        </w:tc>
        <w:tc>
          <w:tcPr>
            <w:tcW w:w="0" w:type="dxa"/>
            <w:vAlign w:val="bottom"/>
          </w:tcPr>
          <w:p>
            <w:pPr>
              <w:spacing w:after="0"/>
              <w:rPr>
                <w:sz w:val="1"/>
                <w:szCs w:val="1"/>
                <w:color w:val="auto"/>
              </w:rPr>
            </w:pPr>
          </w:p>
        </w:tc>
      </w:tr>
      <w:tr>
        <w:trPr>
          <w:trHeight w:val="237"/>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Unrealized gain on available-for-sale investments, net of tax</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(16,281)</w:t>
            </w:r>
          </w:p>
        </w:tc>
        <w:tc>
          <w:tcPr>
            <w:tcW w:w="0" w:type="dxa"/>
            <w:vAlign w:val="bottom"/>
          </w:tcPr>
          <w:p>
            <w:pPr>
              <w:spacing w:after="0"/>
              <w:rPr>
                <w:sz w:val="1"/>
                <w:szCs w:val="1"/>
                <w:color w:val="auto"/>
              </w:rPr>
            </w:pPr>
          </w:p>
        </w:tc>
      </w:tr>
      <w:tr>
        <w:trPr>
          <w:trHeight w:val="216"/>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 vesting of restricted stock</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units and other common stock issuances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3,778</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(60,101)</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18,378</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18,378</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 of equity award deductions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withholdings related to net share settlements of restricted stock units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2016</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$ 360,462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$ 130,249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474,281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2014</w:t>
            </w:r>
          </w:p>
        </w:tc>
      </w:tr>
      <w:tr>
        <w:trPr>
          <w:trHeight w:val="248"/>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18,235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39,422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39,341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171,623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145,835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123,138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17,656</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patent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premium and discount on investments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6,585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adjustments on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extinguishment of deferred payment obligation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Other-than-temporary impairment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Realized loss on exchange of short-term investments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acquired: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14,006</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187,256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173,223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191,469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(224,548)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174,650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of investments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145,925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Business 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Decrease in restricted cash</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Acquisitions of patent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(136,968)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Deposit for acquisition of patent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patent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of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(213,475)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(134,868)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(214,434)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of principal on deferred payment obligations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issuance of term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 of principal on term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acquisition payment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Taxes paid related to net-share settlements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 of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Foreign-currency effect on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100,155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100,111</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94,983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78,019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420"/>
          </w:cols>
          <w:pgMar w:left="240" w:top="121" w:right="239" w:bottom="9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1420"/>
          </w:cols>
          <w:pgMar w:left="240" w:top="121" w:right="239" w:bottom="9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019"/>
          </w:cols>
          <w:pgMar w:left="1440" w:top="121" w:right="1440"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6"/>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Pr>
          <w:p>
            <w:pPr>
              <w:spacing w:after="0"/>
              <w:rPr>
                <w:sz w:val="19"/>
                <w:szCs w:val="19"/>
                <w:color w:val="auto"/>
              </w:rPr>
            </w:pPr>
          </w:p>
        </w:tc>
      </w:tr>
      <w:tr>
        <w:trPr>
          <w:trHeight w:val="29"/>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2014</w:t>
            </w:r>
          </w:p>
        </w:tc>
      </w:tr>
      <w:tr>
        <w:trPr>
          <w:trHeight w:val="29"/>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90"/>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2,571</w:t>
            </w:r>
          </w:p>
        </w:tc>
        <w:tc>
          <w:tcPr>
            <w:tcW w:w="100" w:type="dxa"/>
            <w:vAlign w:val="bottom"/>
          </w:tcPr>
          <w:p>
            <w:pPr>
              <w:spacing w:after="0"/>
              <w:rPr>
                <w:sz w:val="24"/>
                <w:szCs w:val="24"/>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15,078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23,969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15,066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9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Change in patent assets purchased and accrued but not paid</w:t>
            </w: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fixed assets purchased and accrued but not paid</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other assets purchased and accrued but not paid</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37"/>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Patent assets and intangible assets received in barter transactions</w:t>
            </w: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Nonmonetary exchange for investments</w:t>
            </w: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5,935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Issuance of common stock related to business acquisition</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3,156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Unpaid cash consideration for business acquisition</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425</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8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RPX Corporation (also referred to herein as “RPX” or the “Company”) helps companies reduce patent litigation risk and corporate legal expense through two primary service offerings: its patent risk management services and its discovery services.</w:t>
      </w:r>
    </w:p>
    <w:p>
      <w:pPr>
        <w:spacing w:after="0" w:line="16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patent risk management services help companies reduce patent-related risk and expense through subscription-based patent risk management services that facilitate more efficient exchanges of value between owners and users of patents compared to transactions driven by actual or threatened litigation. The core of the Company’s patent risk management services is defensive patent aggregation, in which it acquires patents or licenses to patents that are being or may be asserted against the Company’s current or prospective clients. The Company occasionally enters into agreements to acquire covenants not to sue in order to further mitigate its clients’ litigation risk. The acquired patents, licenses to patents, patent rights and agreements for covenants not to sue are collectively referred to as “patent assets.” The Company’s patent risk management clients pay an annual subscription fee and in return, receive a license from the Company to substantially all of its patent assets and access to its proprietary patent market intelligence and data. In some instances, the Company accepts a payment from a client to finance part or all of an acquisition involving patent assets that may cost more than the Company is prepared to spend with its own capital resources or that are relevant only to a small number of clients. In these instances, the Company facilitates syndicated transactions that include cash contributions from participating clients in addition to their annual subscription fees.</w:t>
      </w:r>
    </w:p>
    <w:p>
      <w:pPr>
        <w:spacing w:after="0" w:line="18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to its subscription-based patent risk management services, the Company underwrites patent infringement liability insurance policies to insure against certain costs of litigation. The Company uses a reinsurance subsidiary company to assume a portion of the underwriting risk on the insurance policies that the Company issues on behalf of a Lloyd's of London underwriting syndicate. As of and for the years ended December 31, 2016, 2015, and 2014, the effect of the insurance policies that the Company has issued or assumed through its reinsurance business was not material to the Company’s results of operations, financial condition, or cash flows.</w:t>
      </w:r>
    </w:p>
    <w:p>
      <w:pPr>
        <w:spacing w:after="0" w:line="18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January 2016, the Company acquired Inventus Solutions, Inc. ("Inventus"), now a wholly owned subsidiary of the Company, and began offering its discovery services which provides technology-enabled services to assist law firms and corporate legal departments manage costs and risks related to the litigation discovery process. The Company's discovery services include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66" w:lineRule="exact"/>
        <w:rPr>
          <w:sz w:val="20"/>
          <w:szCs w:val="20"/>
          <w:color w:val="auto"/>
        </w:rPr>
      </w:pPr>
    </w:p>
    <w:p>
      <w:pPr>
        <w:ind w:left="620" w:hanging="612"/>
        <w:spacing w:after="0"/>
        <w:tabs>
          <w:tab w:leader="none" w:pos="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and include the accounts of RPX and its wholly owned subsidiaries. All intercompany transactions have been eliminated.</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8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estimates and assumptions made by management include the determination of:</w:t>
      </w:r>
    </w:p>
    <w:p>
      <w:pPr>
        <w:spacing w:after="0" w:line="77" w:lineRule="exact"/>
        <w:rPr>
          <w:sz w:val="20"/>
          <w:szCs w:val="20"/>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economic useful lives of patent assets;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a best estimated selling price of a subscription and patent infringement liability insurance;</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assets acquired and liabilities assumed for business combinations;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assumptions and methods used in deriving the fair value of goodwill and intangible assets;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 of current and deferred income taxes, any related valuation allowances, and uncertain tax positions;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stock awards issued;</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assumptions and methods used in deriving the fair value of deferred payment obligations;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reserves for known and incurred but not reported claims; and</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 allowance for doubtful accounts.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Financial Accounting Standards Board (“FASB”)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 and related authoritative guidance.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Patent Risk Management</w:t>
      </w:r>
    </w:p>
    <w:p>
      <w:pPr>
        <w:spacing w:after="0" w:line="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primary source of the Company's revenue from its patent risk management services offering is fees paid by its clients under subscription agreements. The Company believes that the subscription component of its patent risk management service offering comprises a single deliverable and thus it recognizes each subscription fee ratably over the period for which the fee applies. Revenue is recognized net of any discounts or other contractual incentives. The Company starts recognizing revenue when all of the following criteria have been met:</w:t>
      </w:r>
    </w:p>
    <w:p>
      <w:pPr>
        <w:spacing w:after="0" w:line="29" w:lineRule="exact"/>
        <w:rPr>
          <w:sz w:val="20"/>
          <w:szCs w:val="20"/>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All subscription fees are supported by an executed subscription agreement.</w:t>
      </w:r>
    </w:p>
    <w:p>
      <w:pPr>
        <w:spacing w:after="0" w:line="76" w:lineRule="exact"/>
        <w:rPr>
          <w:rFonts w:ascii="Times New Roman" w:cs="Times New Roman" w:eastAsia="Times New Roman" w:hAnsi="Times New Roman"/>
          <w:sz w:val="18"/>
          <w:szCs w:val="18"/>
          <w:color w:val="auto"/>
        </w:rPr>
      </w:pPr>
    </w:p>
    <w:p>
      <w:pPr>
        <w:ind w:left="820" w:right="40" w:hanging="326"/>
        <w:spacing w:after="0" w:line="261"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The subscription agreement calls for the Company to provide its patent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over a specific term commencing on the agreement effective date. Because services are not on an individualized basis (i.e., the Company generally performs its services on behalf of all of its clients as opposed to each client individually), delivery occurs automatically with the passage of time. Consequently, the Company recognizes subscription revenue ratably.</w:t>
      </w:r>
    </w:p>
    <w:p>
      <w:pPr>
        <w:spacing w:after="0" w:line="31" w:lineRule="exact"/>
        <w:rPr>
          <w:rFonts w:ascii="Times New Roman" w:cs="Times New Roman" w:eastAsia="Times New Roman" w:hAnsi="Times New Roman"/>
          <w:sz w:val="18"/>
          <w:szCs w:val="18"/>
          <w:color w:val="auto"/>
        </w:rPr>
      </w:pPr>
    </w:p>
    <w:p>
      <w:pPr>
        <w:ind w:left="820" w:hanging="326"/>
        <w:spacing w:after="0" w:line="277" w:lineRule="auto"/>
        <w:tabs>
          <w:tab w:leader="none" w:pos="8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Seller’s price to the buyer is fixed or determinable. </w:t>
      </w:r>
      <w:r>
        <w:rPr>
          <w:rFonts w:ascii="Times New Roman" w:cs="Times New Roman" w:eastAsia="Times New Roman" w:hAnsi="Times New Roman"/>
          <w:sz w:val="17"/>
          <w:szCs w:val="17"/>
          <w:color w:val="auto"/>
        </w:rPr>
        <w:t>Each client’s annual subscription fee is typically based on a rate card in effect at the time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client’s initial agreement. A client’s subscription fee is generally determined using its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19" w:lineRule="exact"/>
        <w:rPr>
          <w:rFonts w:ascii="Times New Roman" w:cs="Times New Roman" w:eastAsia="Times New Roman" w:hAnsi="Times New Roman"/>
          <w:sz w:val="17"/>
          <w:szCs w:val="17"/>
          <w:color w:val="auto"/>
        </w:rPr>
      </w:pPr>
    </w:p>
    <w:p>
      <w:pPr>
        <w:ind w:left="820" w:right="40" w:hanging="326"/>
        <w:spacing w:after="0" w:line="267"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Collectability is reasonably assured. </w:t>
      </w:r>
      <w:r>
        <w:rPr>
          <w:rFonts w:ascii="Times New Roman" w:cs="Times New Roman" w:eastAsia="Times New Roman" w:hAnsi="Times New Roman"/>
          <w:sz w:val="18"/>
          <w:szCs w:val="18"/>
          <w:color w:val="auto"/>
        </w:rPr>
        <w:t>Subscription fees are generally collected on or near the effective date of the agreement and again at or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anniversary date thereof. The Company does not recognize revenue in instances where collectability is not reasonably assured. Generally, the Company's subscription agreements state that all fees paid are non-refundable.</w:t>
      </w:r>
    </w:p>
    <w:p>
      <w:pPr>
        <w:spacing w:after="0" w:line="176"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8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Company's patent risk management clients generally receive a term license to, and a release from all prior damages associated with, patent assets in the Company's portfolio. The term license to each patent asset typically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w:t>
      </w:r>
    </w:p>
    <w:p>
      <w:pPr>
        <w:spacing w:after="0" w:line="18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some instances, the Company accepts a payment from a client to finance part or all of a patent asset acquisition. We refer to such transactions as syndicated acquisitions. The accounting for syndicated acquisitions can be complex and often requires judgments on the part of management as to the appropriate accounting treatment. In accordance with ASC 605-45, </w:t>
      </w:r>
      <w:r>
        <w:rPr>
          <w:rFonts w:ascii="Times New Roman" w:cs="Times New Roman" w:eastAsia="Times New Roman" w:hAnsi="Times New Roman"/>
          <w:sz w:val="18"/>
          <w:szCs w:val="18"/>
          <w:i w:val="1"/>
          <w:iCs w:val="1"/>
          <w:color w:val="auto"/>
        </w:rPr>
        <w:t>Revenue Recognition: Principal Agent Considerations</w:t>
      </w:r>
      <w:r>
        <w:rPr>
          <w:rFonts w:ascii="Times New Roman" w:cs="Times New Roman" w:eastAsia="Times New Roman" w:hAnsi="Times New Roman"/>
          <w:sz w:val="18"/>
          <w:szCs w:val="18"/>
          <w:color w:val="auto"/>
        </w:rPr>
        <w:t>, in instances where the Company substantively acts as an agent to acquire patent rights from a seller on behalf of clients who 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our determination that the Company is not the principal in these transactions. In these situations, where the Company substantively acts as an agent, the contributing clients are typically defendants in an active or threatened patent infringement litigation filed by the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of a patent. The Company's involvement is to assist our clients to secure a dismissal from litigation and a license to the underlying patents.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indicators evaluated to determine the Company's role as either principal or agent in the transaction include, among others:</w:t>
      </w:r>
    </w:p>
    <w:p>
      <w:pPr>
        <w:spacing w:after="0" w:line="77" w:lineRule="exact"/>
        <w:rPr>
          <w:sz w:val="20"/>
          <w:szCs w:val="20"/>
          <w:color w:val="auto"/>
        </w:rPr>
      </w:pPr>
    </w:p>
    <w:p>
      <w:pPr>
        <w:ind w:left="820" w:right="320" w:hanging="326"/>
        <w:spacing w:after="0" w:line="266"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to grant the license of the patent(s) is generally viewed as the primary obligor in the arrangement, given that it owns and controls the underlying patent(s) and thus has the absolute authority to grant and deliver any release from past damages and dismissal from litigation, and typically determines the general terms of the license(s) granted;</w:t>
      </w:r>
    </w:p>
    <w:p>
      <w:pPr>
        <w:spacing w:after="0" w:line="27" w:lineRule="exact"/>
        <w:rPr>
          <w:rFonts w:ascii="Times New Roman" w:cs="Times New Roman" w:eastAsia="Times New Roman" w:hAnsi="Times New Roman"/>
          <w:sz w:val="18"/>
          <w:szCs w:val="18"/>
          <w:color w:val="auto"/>
        </w:rPr>
      </w:pPr>
    </w:p>
    <w:p>
      <w:pPr>
        <w:ind w:left="820" w:right="56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does not have any inventory risk, as its clients often enter into contractual obligations with the Company prior to or contemporaneous to the Company entering into a contractual obligation with the seller;</w:t>
      </w:r>
    </w:p>
    <w:p>
      <w:pPr>
        <w:spacing w:after="0" w:line="13" w:lineRule="exact"/>
        <w:rPr>
          <w:rFonts w:ascii="Times New Roman" w:cs="Times New Roman" w:eastAsia="Times New Roman" w:hAnsi="Times New Roman"/>
          <w:sz w:val="18"/>
          <w:szCs w:val="18"/>
          <w:color w:val="auto"/>
        </w:rPr>
      </w:pPr>
    </w:p>
    <w:p>
      <w:pPr>
        <w:ind w:left="820" w:right="30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pricing latitude as it negotiates client contributions, however, this latitude is often limited as the economics of the transaction ultimately depend on the sales price set by the seller;</w:t>
      </w:r>
    </w:p>
    <w:p>
      <w:pPr>
        <w:spacing w:after="0" w:line="13"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13"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limited or no credit risk, as each respective client has a contractually binding obligation, such clients are generally of high credit quality and in some instances, the Company collects the client contribution prior to making a payment to the seller.</w:t>
      </w:r>
    </w:p>
    <w:p>
      <w:pPr>
        <w:spacing w:after="0" w:line="16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certain syndicated transactions, the Company may recognize revenue upon the sale of licenses to specific patent assets and/or upon completion of the rendering of advisory services.</w:t>
      </w:r>
    </w:p>
    <w:p>
      <w:pPr>
        <w:spacing w:after="0" w:line="16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arrangements with multiple deliverables. </w:t>
      </w:r>
      <w:r>
        <w:rPr>
          <w:rFonts w:ascii="Times New Roman" w:cs="Times New Roman" w:eastAsia="Times New Roman" w:hAnsi="Times New Roman"/>
          <w:sz w:val="18"/>
          <w:szCs w:val="18"/>
          <w:color w:val="auto"/>
        </w:rPr>
        <w:t>A multiple-element arrangement may include the sale of a subscription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patent risk management services and an insurance policy to cover certain costs associated with patent infringement litigation, each of which are individually considered separate units of accounting. Each element within a multiple-element arrangement is accounted for as a separate unit of accounting given that the delivered products have value to the customer on a standalone basis. The Company considers a deliverable to have standalone value if the product or service is sold separately by us or another vendor. The delivery of insurance coverage is not dependent on a client’s subscription to the Company's patent risk management services. While the Company believes its insurance product offering is unique, its clients are able to purchase insurance coverage as a standalone product from other providers. The Company sells the components of its patent risk management services on a standalone basis.</w:t>
      </w:r>
    </w:p>
    <w:p>
      <w:pPr>
        <w:spacing w:after="0" w:line="185"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Multiple deliverables included in an arrangement are separated into different units of accounting and the arrangement consideration is allocated to the identified separate units based on a relative selling price hierarchy. The Company determines the relative selling price for a deliverable based on its best estimate of selling price ("BESP") for its patent risk management services. The Company has determined that vendor-specific objective evidence ("VSOE") and third-party evidence ("TPE") are not available for its patent risk management deliverables.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determined its BESP for a subscription to our patent risk management services based on the following:</w:t>
      </w:r>
    </w:p>
    <w:p>
      <w:pPr>
        <w:spacing w:after="0" w:line="77" w:lineRule="exact"/>
        <w:rPr>
          <w:sz w:val="20"/>
          <w:szCs w:val="20"/>
          <w:color w:val="auto"/>
        </w:rPr>
      </w:pPr>
    </w:p>
    <w:p>
      <w:pPr>
        <w:ind w:left="1080" w:right="40" w:hanging="316"/>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price, which represents the rates listed on our annual rate card. The Company publishes a standard rate card annually. Each client’s subscription fee is typically calculated using the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normalized operating income for its most recently completed fiscal years.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determined its BESP for its insurance product based on the following:</w:t>
      </w:r>
    </w:p>
    <w:p>
      <w:pPr>
        <w:spacing w:after="0" w:line="77" w:lineRule="exact"/>
        <w:rPr>
          <w:sz w:val="20"/>
          <w:szCs w:val="20"/>
          <w:color w:val="auto"/>
        </w:rPr>
      </w:pPr>
    </w:p>
    <w:p>
      <w:pPr>
        <w:ind w:left="1080" w:hanging="316"/>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Actuarially determined factors. Although the Company sells its insurance product both on a standalone basis and as a component of a multiple-element arrangement, the pricing is not affected by the subscription to our patent risk management services. The Company uses an actuarial model that calculates an individual client’s insurance premium based on its projected annual frequency (i.e., number of claims during the policy term) and severity (i.e., the amount which it expects to settle a claim).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Discovery Services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from the Company's discovery services is primarily generated from the following:</w:t>
      </w:r>
    </w:p>
    <w:p>
      <w:pPr>
        <w:spacing w:after="0" w:line="77" w:lineRule="exact"/>
        <w:rPr>
          <w:sz w:val="20"/>
          <w:szCs w:val="20"/>
          <w:color w:val="auto"/>
        </w:rPr>
      </w:pPr>
    </w:p>
    <w:p>
      <w:pPr>
        <w:ind w:left="1540" w:hanging="249"/>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hosting fees based on data stored and number of users;</w:t>
      </w:r>
    </w:p>
    <w:p>
      <w:pPr>
        <w:spacing w:after="0" w:line="27" w:lineRule="exact"/>
        <w:rPr>
          <w:rFonts w:ascii="Times New Roman" w:cs="Times New Roman" w:eastAsia="Times New Roman" w:hAnsi="Times New Roman"/>
          <w:sz w:val="18"/>
          <w:szCs w:val="18"/>
          <w:color w:val="auto"/>
        </w:rPr>
      </w:pPr>
    </w:p>
    <w:p>
      <w:pPr>
        <w:ind w:left="1540" w:hanging="249"/>
        <w:spacing w:after="0" w:line="250" w:lineRule="auto"/>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month-to-month delivery of services, such as data processing (conversion of data into organized, searchable electronic database), project management and data collection services;</w:t>
      </w:r>
    </w:p>
    <w:p>
      <w:pPr>
        <w:ind w:left="1540" w:hanging="249"/>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review services which assist clients in the manual review of data responsive to a legal matter; and</w:t>
      </w:r>
    </w:p>
    <w:p>
      <w:pPr>
        <w:spacing w:after="0" w:line="9" w:lineRule="exact"/>
        <w:rPr>
          <w:rFonts w:ascii="Times New Roman" w:cs="Times New Roman" w:eastAsia="Times New Roman" w:hAnsi="Times New Roman"/>
          <w:sz w:val="18"/>
          <w:szCs w:val="18"/>
          <w:color w:val="auto"/>
        </w:rPr>
      </w:pPr>
    </w:p>
    <w:p>
      <w:pPr>
        <w:ind w:left="1540" w:hanging="249"/>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and binding services (paper-based services).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pursuant to which the Company offers various discovery services. Clients are generally billed monthly based on contractual unit prices and volumes for services delivered. The agreements are typically for an indefinite period of time, however, they are cancelable at will by either party. The Company is entitled to all fees incurred for services performed. The majority of the Company's discovery services revenue comes from two types of billing arrangements: usage based and fixed fee.</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Usage-based arrangements require the client to pay based upon predetermined unit prices and volumes for data hosing, data processing and paper-based services. Project management and review hours are billed based upon the number of hours worked by certain client service professionals at agreed upon rates.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 fixed-fee billing arrangements, the Company agrees to a pre-established monthly fee over a specified term in exchange for various services. The fees are not tied to the attainment of any contractually defined objectives and the monthly fee is nonrefundable.</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Based on an evaluation of the discovery services delivered to each client, the Company has determined that each deliverable has stand-alone value to the client as each of the Company’s discovery services can be sold on a stand-alone basis by the Company and the discovery services are available from other vendors. Additionally, discovery services do not carry a significant degree of risk or unique acceptance criteria that would require a dependency on the performance of future services. The Company recognizes revenue from these arrangements based on contractually stated prices. The Company allocates revenue to the various units of accounting in its arrangements based on the best estimate of selling price for each unit of accounting, which are consistent with the stated prices in those arrangements.</w:t>
      </w:r>
    </w:p>
    <w:p>
      <w:pPr>
        <w:spacing w:after="0" w:line="188"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Based on an evaluation of the discovery services delivered to each client, the Company determined each deliverable has stand-alone value to the client as each of its discovery services can be sold on a stand-alone basis by the Company and the discovery services are available from other vendors. Additionally, discovery services do not carry a significant degree of risk or unique acceptance criteria that would require a dependency on the performance of future services.</w:t>
      </w:r>
    </w:p>
    <w:p>
      <w:pPr>
        <w:spacing w:after="0" w:line="180"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The Company determines the relative selling price for a discovery services deliverable based on its VSOE, if available, or its BESP, if VSOE is not available. The Company has determined that TPE is not a practical alternative due to differences in its service offerings compared to other parties and the availability of relevant third-party pricing information. The Company allocates revenue to the various units of accounting in its arrangements based on the best estimate of selling price for each unit of accounting, which are consistent with the stated prices in those arrangements.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discovery services arrangements do not include any substantive general rights of return or other contingencies.</w:t>
      </w:r>
    </w:p>
    <w:p>
      <w:pPr>
        <w:spacing w:after="0" w:line="225"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Sales and value added taxes collected from clients are not considered revenue and are included in accrued liabilities in the Company's consolidated balance sheets until remitted to the taxing authorities.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Payments to Clients</w:t>
      </w:r>
    </w:p>
    <w:p>
      <w:pPr>
        <w:spacing w:after="0" w:line="8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occasionally agrees to provide payments, discounts or other contractual incentives to clients in exchange for specified consideration. The Company accounts for such contract provisions in accordance with ASC 605-50, </w:t>
      </w:r>
      <w:r>
        <w:rPr>
          <w:rFonts w:ascii="Times New Roman" w:cs="Times New Roman" w:eastAsia="Times New Roman" w:hAnsi="Times New Roman"/>
          <w:sz w:val="18"/>
          <w:szCs w:val="18"/>
          <w:i w:val="1"/>
          <w:iCs w:val="1"/>
          <w:color w:val="auto"/>
        </w:rPr>
        <w:t>Revenue Recognition: Customer Payments and Incentives</w:t>
      </w:r>
      <w:r>
        <w:rPr>
          <w:rFonts w:ascii="Times New Roman" w:cs="Times New Roman" w:eastAsia="Times New Roman" w:hAnsi="Times New Roman"/>
          <w:sz w:val="18"/>
          <w:szCs w:val="18"/>
          <w:color w:val="auto"/>
        </w:rPr>
        <w:t>, which requires the Company to offset the amount of the payment, discount or other contractual incentive against revenue if the Company is unable to demonstrate both receipt of an identifiable benefit and determine the fair value of the benefit received.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8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generally invoices its patent risk management clients upon execution of a new agreement and prior to their anniversary date for existing agreements. The Company records the amount of fees billed as deferred revenue and recognizes such amounts as revenue ratably over the period for which they apply. The Company typically records deferred revenue when it has the legal right to bill amounts owed and the applicable service period has commenced. In an instance where a term has commenced but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fees have not yet been invoiced, the Company records an unbilled receivable. Deferred revenue that will be recognized during the succeeding 12-month period from the respective balance sheet date is recorded as deferred revenue, current, and the remaining portion is recorded as non-current.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8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are non-interest bearing. The Company maintains an allowance for doubtful accounts to reserve for potentially uncollectible receivables. The allowance for doubtful accounts is based on the expected ability to collect accounts receivable. The Company reviews accounts receivable to identify amounts due from clients which are past due to identify specific clients with known disputes or collectability issues. In determining the allowance for doubtful accounts, the Company makes judgments about the creditworthiness of significant customers based on ongoing credit evaluations. The Company's allowance for doubtful accounts was $0.9 million and nil as of December 31, 2016 and 2015, respectively.</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concentrations of credit risk principally attributable to cash, cash equivalents, investments, accounts receivable and other receivables. The Company’s non-restricted cash balances deposited in U.S. banks are non-interest bearing and are insured up to the Federal Deposit Insurance Corporation (“FDIC”) limits. Cash equivalents primarily consist of institutional money market funds and municipal bonds denominated primarily in U.S. dollars. Investment policies have been implemented that limit purchases of debt securities to investment-grade securities.</w:t>
      </w:r>
    </w:p>
    <w:p>
      <w:pPr>
        <w:spacing w:after="0" w:line="180"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2016, one client individually accounted for 39% of accounts receivable. Three clients individually accounted for 32%, 18%, and 14% of accounts receivables at December 31, 2015. No client accounted for 10% or more of revenue in any of the years ended December 31, 2016, 2015 or 2014.</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that would be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1220" w:right="200" w:hanging="72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 and readily accessible by the Company at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 w:lineRule="exact"/>
        <w:rPr>
          <w:sz w:val="20"/>
          <w:szCs w:val="20"/>
          <w:color w:val="auto"/>
        </w:rPr>
      </w:pPr>
    </w:p>
    <w:p>
      <w:pPr>
        <w:ind w:left="1220" w:right="440" w:hanging="72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Valuations based on inputs other than quoted prices included within Level 1 that are observable for assets or liabilities,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through market corroboration, for substantially the full term of the financial instrument.</w:t>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based on inputs that are unobservable.</w:t>
      </w:r>
    </w:p>
    <w:p>
      <w:pPr>
        <w:spacing w:after="0" w:line="227"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short-term investments, accounts receivable, other receivables and accounts payable, approximate their fair values due to their short maturities. The carrying amounts of the Company's deferred payment obligations held as of December 31, 2015 were valued using Level 3 valuation techniques which approximate fair value.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principally consist of institutional money market funds and municipal bonds denominated primarily in U.S. dollars. Cash equivalents are highly liquid, short-term investments having an original maturity of 90 days or less that are readily convertible to known amounts of cash.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8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Restricted cash consists primarily of certificates of deposit established as collateral for the Company’s office lease agreements as well as amounts held in trust. At December 31, 2016 and 2015, the Company had restricted cash (current and non-current) of $1.5 million and $1.4 million,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8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Company holds short-term investments in municipal and corporate bonds primarily maturing between 90 days and 12 months, commercial paper, U.S. government and agency securities, and equity securities. The Company considers its investments as available to support current operations. As a result, the Company classifies its investments, including those with stated maturities beyond twelve months, as current assets in the accompanying consolidated balance sheets. The Company primarily classifies these securities as “available-for-sale” and carries them at fair value in the consolidated balance sheets. Unrealized gains or losses are recorded, net of estimated taxes, in accumulated other comprehensive income (loss), a component of stockholders’ equity. Realized gains and losses are recognized upon sale or exchange. The specific identification method is used to determine the cost basis of fixed income securities sold.</w:t>
      </w:r>
    </w:p>
    <w:p>
      <w:pPr>
        <w:spacing w:after="0" w:line="18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During the years ended December 31, 2016 and 2015, the Company recorded an other-than-temporary impairment on its short-term investments of nil and $5.1 million, respectively, in its consolidated statements of operations within other expense, net.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8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a straight-line method over the estimated useful lives of the related assets, which are generally three to five years.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the consolidated statement of operations in the period realized. Leasehold improvements are amortized on a straight-line basis over the term of the lease, or the useful life of the assets, whichever is shorter.</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and Website Development Costs</w:t>
      </w:r>
    </w:p>
    <w:p>
      <w:pPr>
        <w:spacing w:after="0" w:line="8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capitalizes development costs related to internal-use software and its website and records such amounts as property and equipment, net, in its consolidated balance sheets. These costs include personnel-related expenses and consultant fees incurred during the application development stages of the project. Costs related to preliminary project activities, minor enhancement and maintenance, and post implementation activities are expensed as incurred. Internal-use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88"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capitalized $1.3 million, $2.3 million, and $1.2 million, respectively, of internal-use software and website development costs. Amortization of internal-use software was $1.5 million, $1.1 million, $1.3 million for the years ended December 31, 2016, 2015 and 2014,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 Assets, Net</w:t>
      </w:r>
    </w:p>
    <w:p>
      <w:pPr>
        <w:spacing w:after="0" w:line="8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acquires patent assets from third parties using cash. Patent assets are recorded at fair value at acquisition. The fair value of the assets acquired is generally based on the fair value of the consideration exchanged. The asset value includes the cost of external legal and other fees associated with the acquisition of the assets. Costs incurred to maintain and prosecute patents and patent applications are expensed as incurred.</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Because each client generally receives a license to the majority of the Company’s patent assets, the Company is unable to reliably determine the pattern over which its patent assets are consumed. As a result, the Company amortizes each patent asset on a straight-line basis. The amortization period is equal to the asset’s estimated economic useful life. Estimating the economic useful life of patent assets requires significant management judgment. The Company considers various factors in estimating the economic useful lives of its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agreements with prospective clients that may find relevance in the patent assets, and the remaining contractual term of the Company’s existing clients at the time of acquisition. In certain instances, where the Company acquires patent assets and secures related client committed cash flows that extend beyond the statutory life of the underlying patent assets, the useful life may extend beyond the statutory life of the patent assets. As of December 31, 2016, the estimated economic useful life of the Company’s patent assets generally ranged from 24 to 60 months. The weighted-average estimated economic useful life of patent assets acquired since inception was 41 months. The weighted-average estimated economic useful life of patent assets acquired during the year ended December 31, 2016 was 27 months. The Company periodically evaluates whether events and circumstances have occurred that may warrant a revision to the remaining estimated useful life of its patent assets.</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some instances, the Company accepts a payment from a client to finance part or all of an acquisition involving patent assets that may cost more than the Company is prepared to spend with its own capital resources or that are relevant only to a small number of clients. In these instances, the Company facilitates syndicated transactions that include cash contributions from participating clients in addition to their annual subscription fees.</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 instances where the Company sells patent assets, the amount of consideration received is compared to the asset’s carrying value to determine and recognize a gain or loss, which is recorded within Gain on sale of patent assets, net in the Company's consolidated statements of operations.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8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which includes patent assets, other intangible assets and property and equipment, when events or changes in circumstances indicate their carrying value may not be recoverable. 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The Company licenses a majority of the portfolio of patent assets to all of its membership clients and thus views these assets as a single asset group. The Company assesses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 carrying value exceeds the estimated fair value. An impairment loss is charged to operations in the period in which management determines such impairment. To date, there have been no impairments of long-lived assets identified.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reviews goodwill for impairment annually or more frequently if events or changes in circumstances indicate that the carrying value of goodwill may not be recoverable. For the year ended December 31, 2016, the Company used both the qualitative assessment and the two-step goodwill impairment test to assess whether or not the goodwill of its reporting units was impaired under ASC Topic 350, </w:t>
      </w:r>
      <w:r>
        <w:rPr>
          <w:rFonts w:ascii="Times New Roman" w:cs="Times New Roman" w:eastAsia="Times New Roman" w:hAnsi="Times New Roman"/>
          <w:sz w:val="18"/>
          <w:szCs w:val="18"/>
          <w:i w:val="1"/>
          <w:iCs w:val="1"/>
          <w:color w:val="auto"/>
        </w:rPr>
        <w:t>Intangibles - Goodwill &amp; Other</w:t>
      </w:r>
      <w:r>
        <w:rPr>
          <w:rFonts w:ascii="Times New Roman" w:cs="Times New Roman" w:eastAsia="Times New Roman" w:hAnsi="Times New Roman"/>
          <w:sz w:val="18"/>
          <w:szCs w:val="18"/>
          <w:color w:val="auto"/>
        </w:rPr>
        <w:t xml:space="preserve"> (“ASC Topic 350”), issued by the FASB. A company may first assess the qualitative factors to determine whether it is more likely than not that the fair value of its reporting unit is less than its carrying amount as a basis for determining whether it is necessary to perform the two-step goodwill impairment. If the two-step goodwill impairment test is performed, the first step in identifying a potential impairment compares the fair value of the reporting unit with its carrying amount. Such valuations require management to make significant estimates and assumptions, especially with respect to intangible assets. Significant estimates in valuing certain intangible assets include, but are not limited to, future expected cash flows from acquired clients, acquired technology, and trade names from a market participant perspective, useful lives, and discount rates. If the carrying amount of a reporting unit exceeds its fair value, the second step would need to be performed; otherwise, no further step is required. The second step, measuring the impairment loss, compares the implied fair value of the reporting unit’s goodwill with the carrying amount of that goodwill. Any excess of the goodwill carrying amount over the implied fair value is recognized as an impairment charge, and the carrying value of goodwill is written down to fair value.</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impairment charges were recorded as a result of the Company’s 2016, 2015, and 2014 annual impairment analyses.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8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Intangible assets, net primarily consists of intangible assets acquired through business combinations. Such assets are capitalized and amortized on a straight-line basis over their estimated useful lives. Intangible assets, net excludes patent related intangible assets, which are recorded within patent assets, net in the consolidated balance sheets.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expenses advertising costs as they are incurred. Advertising expenses were not material for any of the periods presented.</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Accounting</w:t>
      </w:r>
    </w:p>
    <w:p>
      <w:pPr>
        <w:spacing w:after="0" w:line="8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functional currencies of the Company’s international subsidiaries are the U.S. dollar and British pound sterling. The Company's primary foreign subsidiary uses the local currency of its respective country as its functional currency. Assets and liabilities are translated into U.S. dollars using exchange rates prevailing at the balance sheet date, while revenues and expenses are translated at average exchange rates during the year. Gains and losses resulting from the translation of our consolidated balance sheet are recorded as a component of accumulated other comprehensive income (loss).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Gains and losses from foreign currency transactions are recognized in other expense, net in the consolidated statements of operations.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which requires the recognition of deferred tax assets or liabilities for the tax-effected temporary differences between the financial reporting and tax bases of its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assesses the likelihood that its deferred tax assets will be recovered from future taxable income, and to the extent the Company believes that recovery is not likely, the Company establishes a valuation allowance. Judgment is required in determining the Company’s provision for income taxes, deferred tax assets and liabilities, and any valuation allowance recorded against the net deferred tax assets. The Company applied a valuation allowance of $0.9 million and $1.1 million against its deferred tax balances at December 31, 2016 and 2015, respectively.</w:t>
      </w:r>
    </w:p>
    <w:p>
      <w:pPr>
        <w:spacing w:after="0" w:line="18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calculation of the Company’s tax liabilities involves uncertainties in the application of complex tax laws and regulations in a multitude of jurisdictions across its global operations.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tax liabilities in accordance with ASC 740 and adjusts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tax liabilities. These differences will be reflected as increases or decreases to income tax expense in the period in which new information is available.</w:t>
      </w:r>
    </w:p>
    <w:p>
      <w:pPr>
        <w:spacing w:after="0" w:line="180"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79" w:lineRule="exact"/>
        <w:rPr>
          <w:sz w:val="20"/>
          <w:szCs w:val="20"/>
          <w:color w:val="auto"/>
        </w:rPr>
      </w:pPr>
    </w:p>
    <w:p>
      <w:pPr>
        <w:ind w:right="180" w:firstLine="486"/>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for equity-settled awards issued to employees and directors under ASC 718, </w:t>
      </w: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(“ASC 718”). ASC 718 requires that stock-based compensation expense for equity-settled awards made to employees and directors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based on the estimated grant date fair value and recognized over the requisite service period. These equity-settled awards include stock options, restricted stock units (“RSUs”) and performance-based RSUs which include a service condition, some of which also include a market condition or performance condition (“PBRSUs”).</w:t>
      </w:r>
    </w:p>
    <w:p>
      <w:pPr>
        <w:spacing w:after="0" w:line="18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 option-pricing model. The fair value of RSUs is estimated based on the fair market value of the Company’s common stock on the date of grant. For stock options and RSUs, the fair value of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121" w:right="27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differ from initial estimates. Previously recognized expense is reversed for the portion of awards forfeited prior to vesting.</w:t>
      </w:r>
    </w:p>
    <w:p>
      <w:pPr>
        <w:spacing w:after="0" w:line="22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fair value of PBRSUs that include performance conditions is estimated by reference to the fair value of the underlying shares on the date of grant. The fair value of PBRSUs that include market conditions is estimated as of the date of grant using the Monte-Carlo simulation model. Stock-based compensation expense for PBRSUs is recognized over the derived service period for each tranche (or market or performance condition). Because the Company’s PBRSUs have multiple derived service periods, it uses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PBRSUs with market conditions will only be reversible if the employee terminates prior to completing the requisite service periods for these awards (i.e., compensation expense will not be reversed if the market condition is not met). For PBRSUs that include performance conditions, the Company only recognizes compensation expense for those awards which vesting is determined to be probable upon satisfaction of certain performance criteria.</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Estimates of the fair value of equity-settled awards as of the grant date using valuation models, such as the Black-Scholes option-pricing model and a Monte-Carlo simulation model, are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had limited information on its past volatility and had a limited operating history. Therefore, it had estimated the volatility data based on a study of publicly traded industry peer companies. For purposes of identifying these peer companies, the Company considered the industry, stage of development, size and financial leverage of potential comparable companies. As of the second quarter of 2014, the Company concluded that it had obtained sufficient historical information and, accordingly, ceased use of calculating the expected term using the SEC simplified method and estimated volatility based on peer companies. Starting the third quarter of 2014, the Company's expected term calculation is based on historical exercise patterns and post-vesting termination behavior. Volatility is calculated based on the implied volatility of the Company's publicly traded stock. The Company has not granted any stock options since making these changes. The risk-free interest rate is based on the yield available on U.S. Treasury zero-coupon issues similar in duration to the expected term of the equity-settled award.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79"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in the accounting for its business acquisitions. ASC 805 requires companies to recognize goodwill separately from the assets acquired and liabilities assumed, which are valued at their acquisition date fair values. Goodwill as of the acquisition date represents the excess of the purchase price over the fair values of the assets acquired and the liabilities assumed.</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uses significant estimates and assumptions, including fair value estimates, to determine fair value of assets acquired,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All other adjustments are recorded in the consolidated statements of operations.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Known and Incurred but not Reported Claims</w:t>
      </w:r>
    </w:p>
    <w:p>
      <w:pPr>
        <w:spacing w:after="0" w:line="81"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The Company uses actuarial models and techniques to estimate the reserve for incurred but not reported claims.</w:t>
      </w:r>
    </w:p>
    <w:p>
      <w:pPr>
        <w:spacing w:after="0" w:line="176"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Loss expense for known and incurred but not reported claims are charged to earnings after deducting recoverable amounts under our reinsurance contract. Loss expense for known and incurred but not reported claims associated with policies that the Company issued on behalf of a Lloyd's of London underwriting syndicate are charged to earnings for the portion of the underwriting risk that the Company assumes.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7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Financial Accounting Standards Board ("FASB") issued Accounting Standards Update ("ASU") 2016-18, </w:t>
      </w:r>
      <w:r>
        <w:rPr>
          <w:rFonts w:ascii="Times New Roman" w:cs="Times New Roman" w:eastAsia="Times New Roman" w:hAnsi="Times New Roman"/>
          <w:sz w:val="18"/>
          <w:szCs w:val="18"/>
          <w:i w:val="1"/>
          <w:iCs w:val="1"/>
          <w:color w:val="auto"/>
        </w:rPr>
        <w:t>Statement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Flows: Restricted Cash </w:t>
      </w:r>
      <w:r>
        <w:rPr>
          <w:rFonts w:ascii="Times New Roman" w:cs="Times New Roman" w:eastAsia="Times New Roman" w:hAnsi="Times New Roman"/>
          <w:sz w:val="18"/>
          <w:szCs w:val="18"/>
          <w:color w:val="auto"/>
        </w:rPr>
        <w:t>("ASU 2016-18"). The standard addresses the diversity in practice that exists in the classification and presentation of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and requires that a statement of cash flows explain the change during the period in the total of cash, cash equivalents, and amounts generally described as restricted cash or restricted cash</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121" w:right="29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equivalents. ASU 2016-18 is effective retrospectively for fiscal years and interim periods within those years beginning after December 15, 2017. The Company does not expect the adoption of this guidance to have a material impact on its consolidated financial statements.</w:t>
      </w:r>
    </w:p>
    <w:p>
      <w:pPr>
        <w:spacing w:after="0" w:line="16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Income Taxes: Intra-Entity Transfers of Assets Other than Inventory</w:t>
      </w:r>
      <w:r>
        <w:rPr>
          <w:rFonts w:ascii="Times New Roman" w:cs="Times New Roman" w:eastAsia="Times New Roman" w:hAnsi="Times New Roman"/>
          <w:sz w:val="18"/>
          <w:szCs w:val="18"/>
          <w:color w:val="auto"/>
        </w:rPr>
        <w:t xml:space="preserve"> which removes the prohibition against the recognition of current and deferred income tax effects of intra-entity transfers of assets other than inventory until the asset has been sold to an outside party. This ASU is effective for fiscal years and interim periods within those years beginning after December 15, 2017. The Company does not expect the adoption of this guidance to have a material impact on its consolidated financial statements.</w:t>
      </w:r>
    </w:p>
    <w:p>
      <w:pPr>
        <w:spacing w:after="0" w:line="180"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Statement of Cash Flows (Topic 230):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xml:space="preserve"> ("ASU 2016-15"). The standard is intended to eliminate diversity in practice in how certain cash receipts and cash payments are presented and classified in the statement of cash flows. ASU 2016-15 will be effective for fiscal years beginning after December 15, 2017. Early adoption is permitted for all entities. The Company is currently evaluating the impact of this guidance on its consolidated financial statements.</w:t>
      </w:r>
    </w:p>
    <w:p>
      <w:pPr>
        <w:spacing w:after="0" w:line="180" w:lineRule="exact"/>
        <w:rPr>
          <w:sz w:val="20"/>
          <w:szCs w:val="20"/>
          <w:color w:val="auto"/>
        </w:rPr>
      </w:pPr>
    </w:p>
    <w:p>
      <w:pPr>
        <w:jc w:val="both"/>
        <w:ind w:right="40"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("ASU 2016-13") on measurement of credit losses on financial instruments. This ASU requires financial assets measured at amortized cost to be presented at the net amount expected to be collected and available-for-sale debt securities to record credit losses through an allowance for credit losses. ASU 2016-13 will be effective for fiscal years, and interim periods within those fiscal years, beginning after December 15, 2019. Early adoption is permitted as early as of the fiscal years beginning after December 15, 2018. The Company is currently evaluating the impact of this guidance on its consolidated financial statements.</w:t>
      </w:r>
    </w:p>
    <w:p>
      <w:pPr>
        <w:spacing w:after="0" w:line="180"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This ASU affects entities that issue share-based payment awards to their employees. ASU 2016-09 is designed to simplify several aspects of accounting for share-based payment award transactions that include the income tax consequences, classification of awards as either equity or liabilities, classification on the statement of cash flows, and forfeiture rate calculations. ASU 2016-09 will become effective for annual and interim periods beginning after December 15, 2016 and early adoption is permitted in any interim or annual period. The Company is currently evaluating the impact of this guidance on its consolidated financial statements.</w:t>
      </w:r>
    </w:p>
    <w:p>
      <w:pPr>
        <w:spacing w:after="0" w:line="183" w:lineRule="exact"/>
        <w:rPr>
          <w:sz w:val="20"/>
          <w:szCs w:val="20"/>
          <w:color w:val="auto"/>
        </w:rPr>
      </w:pPr>
    </w:p>
    <w:p>
      <w:pPr>
        <w:ind w:right="120"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The new standard is effective for interim and annual periods beginning after December 15, 2018 and early adoption is permitted. The Company is currently evaluating the impact of this guidance on its consolidated financial statements.</w:t>
      </w:r>
    </w:p>
    <w:p>
      <w:pPr>
        <w:spacing w:after="0" w:line="180" w:lineRule="exact"/>
        <w:rPr>
          <w:sz w:val="20"/>
          <w:szCs w:val="20"/>
          <w:color w:val="auto"/>
        </w:rPr>
      </w:pPr>
    </w:p>
    <w:p>
      <w:pPr>
        <w:jc w:val="both"/>
        <w:ind w:right="3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(Subtopic 825-10) -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and Financial Liabilities </w:t>
      </w:r>
      <w:r>
        <w:rPr>
          <w:rFonts w:ascii="Times New Roman" w:cs="Times New Roman" w:eastAsia="Times New Roman" w:hAnsi="Times New Roman"/>
          <w:sz w:val="18"/>
          <w:szCs w:val="18"/>
          <w:color w:val="auto"/>
        </w:rPr>
        <w:t>("ASU 2016-01"), which amends guidance related to certain aspects of the recognition, measurement, presentation,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financial instruments. This update is effective for fiscal years beginning after December 15, 2018, and interim periods in those years. Early adoption is permitted. The Company is currently evaluating the impact of this guidance on its consolidated financial statements.</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will supersede most existing revenue recognition guidance in U.S. GAAP once it becomes effective. ASU 2014-09 requires an entity to recognize revenue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U.S. GAAP including identifying performance obligations in the contract, estimating the amount of variable consideration to include in the transaction price and allocating the transaction price to each separate performance obligation. Entities have the option of using either a full retrospective or modified retrospective approach to adopt the new standards. In March 2016, the FASB issued ASU 2016-08,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 (Topic 606): Principal versus Agent Considerations (Reporting Revenue Gross versus Net)</w:t>
      </w:r>
      <w:r>
        <w:rPr>
          <w:rFonts w:ascii="Times New Roman" w:cs="Times New Roman" w:eastAsia="Times New Roman" w:hAnsi="Times New Roman"/>
          <w:sz w:val="18"/>
          <w:szCs w:val="18"/>
          <w:color w:val="auto"/>
        </w:rPr>
        <w:t>, which clarifies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implementation guidance for gross versus net considerations in ASU 2014-09. In April 2016, the FASB issued ASU 2016-10,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 Identifying Performance Obligations and Licensing</w:t>
      </w:r>
      <w:r>
        <w:rPr>
          <w:rFonts w:ascii="Times New Roman" w:cs="Times New Roman" w:eastAsia="Times New Roman" w:hAnsi="Times New Roman"/>
          <w:sz w:val="18"/>
          <w:szCs w:val="18"/>
          <w:color w:val="auto"/>
        </w:rPr>
        <w:t>, which amends the guidance in ASU 2014-09 related to identifying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and accounting for licenses of intellectual property. In May 2016, the FASB issued ASU 2016-12,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Narrow-Scope Improvements and Practical Expedients</w:t>
      </w:r>
      <w:r>
        <w:rPr>
          <w:rFonts w:ascii="Times New Roman" w:cs="Times New Roman" w:eastAsia="Times New Roman" w:hAnsi="Times New Roman"/>
          <w:sz w:val="18"/>
          <w:szCs w:val="18"/>
          <w:color w:val="auto"/>
        </w:rPr>
        <w:t>, which provides clarification on assessing the collectability criterion, presentation of sales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 for noncash</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121" w:right="27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consideration, and completed contracts at transition. In December 2016, the FASB issued ASU 2016-20, </w:t>
      </w:r>
      <w:r>
        <w:rPr>
          <w:rFonts w:ascii="Times New Roman" w:cs="Times New Roman" w:eastAsia="Times New Roman" w:hAnsi="Times New Roman"/>
          <w:sz w:val="18"/>
          <w:szCs w:val="18"/>
          <w:i w:val="1"/>
          <w:iCs w:val="1"/>
          <w:color w:val="auto"/>
        </w:rPr>
        <w:t>Technical Corrections and Improvements to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Revenue from Contracts with Customers</w:t>
      </w:r>
      <w:r>
        <w:rPr>
          <w:rFonts w:ascii="Times New Roman" w:cs="Times New Roman" w:eastAsia="Times New Roman" w:hAnsi="Times New Roman"/>
          <w:sz w:val="18"/>
          <w:szCs w:val="18"/>
          <w:color w:val="auto"/>
        </w:rPr>
        <w:t>, which provides various technical corrections and clarifications to ASU 2014-09. All of these aforementioned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ASUs will be effective for annual and interim periods beginning after December 15, 2017 and early adoption is permitted for annual and interim periods beginning after December 15, 2016. The Company expects to complete its assessment process, including identifying its performance obligations and selecting a transition method for adoption, by the end of the second quarter of 2017 along with its implementation process prior to the adoption of this ASU on January 1, 2018.</w:t>
      </w:r>
    </w:p>
    <w:p>
      <w:pPr>
        <w:spacing w:after="0" w:line="140"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RSUs, and PBRSUs.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for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5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54,432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53,444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53,444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 using treasury-stock method</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 share</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54,818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5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4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2016, 2015 and 2014 the following securities were not included in the calculation of diluted shares outstanding, as the effect would have been anti-dilutive (in thousands):</w:t>
      </w:r>
    </w:p>
    <w:p>
      <w:pPr>
        <w:spacing w:after="0" w:line="12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56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r>
      <w:tr>
        <w:trPr>
          <w:trHeight w:val="459"/>
        </w:trPr>
        <w:tc>
          <w:tcPr>
            <w:tcW w:w="67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8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the Company's financial assets and liabilities measured at fair value on a recurring basis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20"/>
                <w:szCs w:val="20"/>
                <w:color w:val="auto"/>
              </w:rPr>
            </w:pPr>
          </w:p>
        </w:tc>
        <w:tc>
          <w:tcPr>
            <w:tcW w:w="19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20"/>
                <w:szCs w:val="2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55,723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government and agency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91,031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90,877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20,083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70,794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20"/>
                <w:szCs w:val="20"/>
                <w:color w:val="auto"/>
              </w:rPr>
            </w:pPr>
          </w:p>
        </w:tc>
        <w:tc>
          <w:tcPr>
            <w:tcW w:w="19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20"/>
                <w:szCs w:val="2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64,295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64,295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54,663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9,632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40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132,937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132,937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payment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The Company's financial investments are generally classified as available-for-sale. Available-for-sale securities are reported at fair value, with unrealized gains and losses, net of tax, included as a separate component of stockholders’ equity within accumulated other comprehensive income (loss). During the years ended December 31, 2016, 2015, 2014, the Company realized losses on the sales and exchanges of short-term investments of $0.3 million, $3.4 million, and nil, respectively, and other-than-temporary impairments on its short-term investments of nil, $5.1 million, and nil, respectively, which are included in the consolidated statements of operations within other expense, net.</w:t>
      </w:r>
    </w:p>
    <w:p>
      <w:pPr>
        <w:spacing w:after="0" w:line="184" w:lineRule="exact"/>
        <w:rPr>
          <w:sz w:val="20"/>
          <w:szCs w:val="20"/>
          <w:color w:val="auto"/>
        </w:rPr>
      </w:pPr>
    </w:p>
    <w:p>
      <w:pPr>
        <w:ind w:right="80" w:firstLine="446"/>
        <w:spacing w:after="0" w:line="266" w:lineRule="auto"/>
        <w:rPr>
          <w:sz w:val="20"/>
          <w:szCs w:val="20"/>
          <w:color w:val="auto"/>
        </w:rPr>
      </w:pPr>
      <w:r>
        <w:rPr>
          <w:rFonts w:ascii="Times New Roman" w:cs="Times New Roman" w:eastAsia="Times New Roman" w:hAnsi="Times New Roman"/>
          <w:sz w:val="18"/>
          <w:szCs w:val="18"/>
          <w:color w:val="auto"/>
        </w:rPr>
        <w:t>As of December 31, 2016 and 2015, approximately 96% and 87%, respectively, of our marketable security investments mature within one year and 4% and 13%, respectively, mature within one to five years. As of December 31, 2016, no individual securities incurred continuous unrealized losses for greater than 12 months.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20" w:firstLine="446"/>
        <w:spacing w:after="0" w:line="282" w:lineRule="auto"/>
        <w:rPr>
          <w:sz w:val="20"/>
          <w:szCs w:val="20"/>
          <w:color w:val="auto"/>
        </w:rPr>
      </w:pPr>
      <w:r>
        <w:rPr>
          <w:rFonts w:ascii="Times New Roman" w:cs="Times New Roman" w:eastAsia="Times New Roman" w:hAnsi="Times New Roman"/>
          <w:sz w:val="18"/>
          <w:szCs w:val="18"/>
          <w:color w:val="auto"/>
        </w:rPr>
        <w:t>As of December 31, 2016 and 2015, the Company had short-term cost method investments of nil and $0.6 million, respectively. Cost method investments are recorded at amortized cost in short-term investments in the Company's consolidated balance sheets.</w:t>
      </w:r>
    </w:p>
    <w:p>
      <w:pPr>
        <w:spacing w:after="0" w:line="162"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In connection with the Rockstar Transaction (see Note 12, "Commitments and Contingencies"), the Company received funding of $6.3 million from a syndicate participant which the Company settled during the year ended December 31, 2016.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Level 3 Valuation Techniques</w:t>
      </w:r>
    </w:p>
    <w:p>
      <w:pPr>
        <w:spacing w:after="0" w:line="6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Level 3 financial liabilities as of December 31, 2015 consisted of a repayment obligation to a third party for which determination of fair value required significant judgment and estimation. Balances categorized within Level 3 of the fair value hierarchy were analyzed each period for changes in estimates or assumptions and recorded as the Company deemed appropriate.</w:t>
      </w:r>
    </w:p>
    <w:p>
      <w:pPr>
        <w:spacing w:after="0" w:line="176"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As of December 31, 2015, the Company used the Black-Scholes option valuation model to estimate the fair value of the deferred payment obligation entered into in the Rockstar Transaction. This model incorporated assumptions about details such as the value of underlying securities,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weekly returns over the estimated period of time to take to settle the liability. The expected term of the liability was determined by the estimated settlement date of the liability. Changes in the fair value were recorded in other expense, net in the Company's consolidated statements of operations. As of December 31, 2016, the Company no longer holds any Level 3 financial assets or liabilities (see Note 12, "Commitments and Contingencies").</w:t>
      </w:r>
    </w:p>
    <w:p>
      <w:pPr>
        <w:spacing w:after="0" w:line="141"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Patent assets, net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Disposals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assets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824,258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932,283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(719,284)</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assets, net</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254,560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212,999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Disposals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2015</w:t>
            </w:r>
          </w:p>
        </w:tc>
      </w:tr>
      <w:tr>
        <w:trPr>
          <w:trHeight w:val="33"/>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assets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665,290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824,258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(569,698)</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assets, net</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236,349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254,560</w:t>
            </w:r>
          </w:p>
        </w:tc>
      </w:tr>
      <w:tr>
        <w:trPr>
          <w:trHeight w:val="20"/>
        </w:trPr>
        <w:tc>
          <w:tcPr>
            <w:tcW w:w="5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December 31, 2016, the estimated economic useful lives of the Company’s patent assets acquired since inception generally ranged from 24 to 60 months with a weighted-average estimated economic useful life at the time of acquisition of 41 months. Patent assets acquired during the year ended December 31, 2016 had a weighted-average estimated economic useful life at the time of acquisition of 27 months.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 December 31, 2016,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127,088</w:t>
            </w:r>
          </w:p>
        </w:tc>
      </w:tr>
      <w:tr>
        <w:trPr>
          <w:trHeight w:val="243"/>
        </w:trPr>
        <w:tc>
          <w:tcPr>
            <w:tcW w:w="9940" w:type="dxa"/>
            <w:vAlign w:val="bottom"/>
          </w:tcPr>
          <w:p>
            <w:pPr>
              <w:jc w:val="right"/>
              <w:ind w:right="9450"/>
              <w:spacing w:after="0"/>
              <w:rPr>
                <w:sz w:val="20"/>
                <w:szCs w:val="20"/>
                <w:color w:val="auto"/>
              </w:rPr>
            </w:pPr>
            <w:r>
              <w:rPr>
                <w:rFonts w:ascii="Times New Roman" w:cs="Times New Roman" w:eastAsia="Times New Roman" w:hAnsi="Times New Roman"/>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64,157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18,103</w:t>
            </w:r>
          </w:p>
        </w:tc>
      </w:tr>
      <w:tr>
        <w:trPr>
          <w:trHeight w:val="243"/>
        </w:trPr>
        <w:tc>
          <w:tcPr>
            <w:tcW w:w="9940" w:type="dxa"/>
            <w:vAlign w:val="bottom"/>
          </w:tcPr>
          <w:p>
            <w:pPr>
              <w:jc w:val="right"/>
              <w:ind w:right="945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3,651</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jc w:val="right"/>
              <w:ind w:right="653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212,999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was $159.0 million, $142.4 million and $119.7 million for the years ended December 31, 2016, 2015 and 2014,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Syndicated Acquisitions</w:t>
      </w:r>
    </w:p>
    <w:p>
      <w:pPr>
        <w:spacing w:after="0" w:line="3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Syndicated acquisitions are transactions involving patent assets that may cost more than the Company is prepared to spend with its own capital resources or that are relevant only to a limited number of clients. In such transactions, the Company may work to acquire these assets with financial assistance from the particular clients against whom they are being or may be asserted. Such clients either pay amounts separate from their subscription fee or, less frequently, lend the Company funds to be used in the transaction. As discussed in the revenue recognition policy in Note 2, "Basis of Presentation and Significant Accounting Policies," the Company may treat the contributions from such clients as revenue on a gross or net basis depending on the specific facts and circumstances of the transaction. In the event that such contributions are recognized on a net basis, the Company will only capitalize the acquired asset that relates to its non-contributing clients. As a result, in such situations the cost basis of the acquired patent rights excludes the amounts paid by the contributing clients.</w:t>
      </w:r>
    </w:p>
    <w:p>
      <w:pPr>
        <w:spacing w:after="0" w:line="143"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7,654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16,318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4,733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20" w:firstLine="44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$3.0 million, $1.7 million and $2.0 million for the years ended December 31, 2016, 2015 and 2014, respectively.</w:t>
      </w:r>
    </w:p>
    <w:p>
      <w:pPr>
        <w:spacing w:after="0" w:line="117"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81"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On January 22, 2016, the Company completed its acquisition of all of the issued and outstanding shares of Inventus, to expand into the litigation discovery services market. The final purchase price for Inventus was approximately $232 million, net of working capital adjustments, which the Company paid in January 2016. The following table summarizes the cash paid and the estimated fair values of the assets and the liabilities assumed (in thousands) and the estimated useful lives of the acquired identifiable intangible assets: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9 - 10 years</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Trademarks</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1 - 6 years</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145,984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equipment and other long term assets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10,595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purchase consideration paid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Intangible assets acquired through the Company's acquisition of Inventus are amortized on a straight-line basis which reflects the pattern in which the economic benefits of the intangible assets are expected to be utilized. The goodwill recorded is primarily attributable to the Company's opportunity to expand into the litigation discovery services market and is not expected to be deductible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tax purposes. For the year ended December 31, 2016, the Company recorded acquisition-related costs of $1.2 million which were expensed as incurred and included in selling, general and administrative expenses in the Company's consolidated statements of operations. The Company has included the financial results of Inventus in its consolidated financial statements which includes revenue of $66.1 million for the year ended December 31, 2016, and operating income of $8.7 million for the year ended December 31, 2016.</w:t>
      </w:r>
    </w:p>
    <w:p>
      <w:pPr>
        <w:spacing w:after="0" w:line="180" w:lineRule="exact"/>
        <w:rPr>
          <w:sz w:val="20"/>
          <w:szCs w:val="20"/>
          <w:color w:val="auto"/>
        </w:rPr>
      </w:pPr>
    </w:p>
    <w:p>
      <w:pPr>
        <w:ind w:right="140" w:firstLine="446"/>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summarizes the combined results of operations for the Company and Inventus as though the companies had been consolidated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London-based Unified OS Limited and certain of its affiliates as well as certain assets of Kooby LLP (collectively, "Unified") as though it had been consolidated as of January 1, 2015. The following unaudited pro forma financial information is for information purposes only and is not necessarily indicative of the results of operations that would have been achieved if the acquisition had taken place as of January 1, 2015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0" w:type="dxa"/>
            <w:vAlign w:val="bottom"/>
          </w:tcPr>
          <w:p>
            <w:pPr>
              <w:spacing w:after="0"/>
              <w:rPr>
                <w:sz w:val="1"/>
                <w:szCs w:val="1"/>
                <w:color w:val="auto"/>
              </w:rPr>
            </w:pPr>
          </w:p>
        </w:tc>
      </w:tr>
      <w:tr>
        <w:trPr>
          <w:trHeight w:val="212"/>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31,</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336,047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18,824</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w:t>
            </w: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changes in the carrying amounts of goodwill by operating segment were as follows (in thousands):</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Patent Risk</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Discovery Services</w:t>
            </w:r>
          </w:p>
        </w:tc>
        <w:tc>
          <w:tcPr>
            <w:tcW w:w="200" w:type="dxa"/>
            <w:vAlign w:val="bottom"/>
          </w:tcPr>
          <w:p>
            <w:pPr>
              <w:spacing w:after="0"/>
              <w:rPr>
                <w:sz w:val="18"/>
                <w:szCs w:val="18"/>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from business acquisition</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145,984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145,984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131,344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151,322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or more frequently if events or changes in circumstances indicate that the carrying value of goodwill may not be recoverable. As of December 31, 2016, no impairment of goodwill had been identified.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net, as of December 31, 2016 and 2015 consisted of the following (in thousands, except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3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Average Life</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17"/>
                <w:szCs w:val="17"/>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3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Proprietary data and models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406</w:t>
            </w: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55,719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929</w:t>
            </w:r>
          </w:p>
        </w:tc>
      </w:tr>
      <w:tr>
        <w:trPr>
          <w:trHeight w:val="237"/>
        </w:trPr>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70,400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56,050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r>
      <w:tr>
        <w:trPr>
          <w:trHeight w:val="27"/>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56"/>
        </w:trPr>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80"/>
        </w:trPr>
        <w:tc>
          <w:tcPr>
            <w:tcW w:w="9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 of December 31, 2016, the Company expects amortization expense in future periods to be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8,744</w:t>
            </w: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6,433</w:t>
            </w: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6,321</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6,321</w:t>
            </w: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20,016</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56,050</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446"/>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$9.6 million, $1.7 million, and $1.5 million for the years ended December 31, 2016, 2015 and 2014,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payroll-related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11,105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14,842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81"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On February 26, 2016, the Company entered into a Credit Agreement (the "Credit Agreement") which provided for a $100 million five-year term facility (the "Term Facility") and a $50 million five-year revolving credit facility (the "Revolving Credit Facility"), which remains undrawn as of December 31, 2016. The Term Facility bears interest which is payable quarterly in arrears at the Company's option equal to either a base rate plus a margin ranging from 1.25% to 1.75% per annum or, at the Company's election, the one-, two-, three-, or six-month London interbank offered rate ("LIBOR") plus a margin ranging from 2.25% to 2.75% per annum, based upon the ratio of the Company's debt to consolidated EBITDA ratio. The outstanding balance on the Term Facility bore interest during the year ended December 31, 2016 at an average interest rate of 3.0%, which approximates fair value. The Revolving Credit Facility bears a commitment fee on undrawn balances of 0.35% to 0.45% per annum, also based upon the Company's debt to consolidated adjusted EBITDA ratio, that are expensed as incurred. The Credit Agreement contains financial covenants requiring the Company to maintain certain leverage and fixed charge ratios. The Company is compliant with these covenants as of December 31, 2016. The Credit Agreement also includes limitations on the Company's debt incurrence, dividend payments, and disposal activities.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2016, the Term Facility requires principal repayments in accordance with the following schedule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64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18,125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7"/>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gross</w:t>
            </w:r>
          </w:p>
        </w:tc>
        <w:tc>
          <w:tcPr>
            <w:tcW w:w="60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96,250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6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97"/>
        </w:trPr>
        <w:tc>
          <w:tcPr>
            <w:tcW w:w="4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60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94,584</w:t>
            </w:r>
          </w:p>
        </w:tc>
        <w:tc>
          <w:tcPr>
            <w:tcW w:w="0" w:type="dxa"/>
            <w:vAlign w:val="bottom"/>
          </w:tcPr>
          <w:p>
            <w:pPr>
              <w:spacing w:after="0"/>
              <w:rPr>
                <w:sz w:val="1"/>
                <w:szCs w:val="1"/>
                <w:color w:val="auto"/>
              </w:rPr>
            </w:pPr>
          </w:p>
        </w:tc>
      </w:tr>
      <w:tr>
        <w:trPr>
          <w:trHeight w:val="311"/>
        </w:trPr>
        <w:tc>
          <w:tcPr>
            <w:tcW w:w="414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4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6,474</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88,110</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4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94,584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right"/>
        <w:ind w:left="500" w:right="8600" w:hanging="492"/>
        <w:spacing w:after="0" w:line="350" w:lineRule="auto"/>
        <w:tabs>
          <w:tab w:leader="none" w:pos="284"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spacing w:after="0" w:line="1"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The Company leases its facilities under non-cancelable lease agreements. Certain of these arrangements have free rent, escalating rent payment provisions and tenant allowances. Under such arrangements the Company recognizes rent expense on a straight line basis over the non-cancelable lease term and records the difference between cash rent payments and the recognition of rent expense as a deferred rent liability within other current liabilities and other liabilities for the current and non-current portion, respectively, in the Company's consolidated balance sheets.</w:t>
      </w:r>
    </w:p>
    <w:p>
      <w:pPr>
        <w:spacing w:after="0" w:line="180"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In March 2012, the Company entered into an amended lease agreement related to its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over the life of the lease.</w:t>
      </w:r>
    </w:p>
    <w:p>
      <w:pPr>
        <w:spacing w:after="0" w:line="180" w:lineRule="exact"/>
        <w:rPr>
          <w:sz w:val="20"/>
          <w:szCs w:val="20"/>
          <w:color w:val="auto"/>
        </w:rPr>
      </w:pPr>
    </w:p>
    <w:p>
      <w:pPr>
        <w:ind w:right="220" w:firstLine="446"/>
        <w:spacing w:after="0" w:line="282" w:lineRule="auto"/>
        <w:rPr>
          <w:sz w:val="20"/>
          <w:szCs w:val="20"/>
          <w:color w:val="auto"/>
        </w:rPr>
      </w:pPr>
      <w:r>
        <w:rPr>
          <w:rFonts w:ascii="Times New Roman" w:cs="Times New Roman" w:eastAsia="Times New Roman" w:hAnsi="Times New Roman"/>
          <w:sz w:val="18"/>
          <w:szCs w:val="18"/>
          <w:color w:val="auto"/>
        </w:rPr>
        <w:t>In October 2013, the Company entered into an agreement to sublease a portion of its San Francisco, California office space. This sublease took effect on February 1, 2014 for a 36-month term through January 2017 and was subsequently renewed through October 2019.</w:t>
      </w:r>
    </w:p>
    <w:p>
      <w:pPr>
        <w:spacing w:after="0" w:line="162"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Rent expense related to non-cancelable operating leases, net of sublease income, was $5.2 million, $3.5 million, and $3.5 million for the years ended December 31, 2016, 2015 and 2014, respectively. The Company recognized sublease income of $0.7 million, $0.6 million, and $0.6 million for the years ended December 31, 2016, 2015 and 2014, respectively.</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2016, the future minimum lease payments required under non-cancelable operating leases and the future minimum payments to be received from non-cancelable subleases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5,538</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Future non-cancelable minimum operating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16,920</w:t>
            </w: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minimum payments to be received from non-cancelable subleases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non-cancelable minimum operating lease payments, net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13,625</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Payment Obligations</w:t>
      </w:r>
    </w:p>
    <w:p>
      <w:pPr>
        <w:spacing w:after="0" w:line="8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December 22, 2014, the Company and RPX Clearinghouse LLC (a wholly owned subsidiary of the Company) entered into an Asset Purchase Agreement by and among Rockstar Consortium US LP, Rockstar Consortium LLC, Bockstar Technologies LLC, Constellation Technologies LLC, MobileStar Technologies LLC, and NetStar Technologies LLC (the “Sellers”), for the purchase of substantially all of the patent assets owned or controlled by the Sellers (the “Rockstar Transaction”). In connection with the Rockstar Transaction, the Company acquired certain common stock, convertible preferred stock, and redeemable convertible preferred stock investments held by the Sellers. To fund the acquisition of these investments, the Company received $6.3 million from a syndicate participant and seller financing of $5.9 million. The seller financing was settled during the year ended December 31, 2015.</w:t>
      </w:r>
    </w:p>
    <w:p>
      <w:pPr>
        <w:spacing w:after="0" w:line="18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loan received from the syndicate participant bore no interest. The terms of the obligation required repayment up to the $6.3 million received only to the extent proceeds were received from the sale of the common and convertible preferred stock securities, which resulted in a difference between the funding received and the fair value of the loan. The Company elected to carry this loan at fair value and had categorized it as a Level 3 instrument due to the significance of unobservable inputs developed using company-specific information to estimate the loan’s fair value. Changes in fair value are reported in other expense, net in the Company's consolidated statements of operations. This loan was settled without payment during the year ended December 31, 2016 which resulted in a gain on extinguishment of $0.5 million recognized in other expense, net in the consolidated statements of operations during the year ended December 31, 2016. This fair value of this loan decreased from $2.4 million to nil during the year ended December 31, 2016 due to a $1.9 million fair value adjustment and a $0.5 million gain on extinguishment which were recognized in other expense, net in the consolidated statements of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legal contingencies was recorded as of December 31, 2016 or 2015.</w:t>
      </w:r>
    </w:p>
    <w:p>
      <w:pPr>
        <w:spacing w:after="0" w:line="18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April 2016, Sourceprose Corporation filed a complaint in the U.S. District Court for the Western District of Texas against the Company alleging breach of an agreement with the plaintiff to purchase certain patent assets and breach of a non-disclosure agreement with plaintiff. In July 2016, the Court transferred the litigation to the U.S. District Court for the Northern District of California. On November 2, 2016, we moved to dismiss the claims of breach of an assignment of patents. On January 26, 2017, the U.S. District Court for the Northern District of California dismissed the claims of breach of a patent assignment without prejudice, and allowed the plaintiff to file an amended complaint. The plaintiff filed an amended complaint on February 9, 2017, alleging breach of a non-disclosure agreement and breach of an agreement to assign patents and a breach of a settlement agreement. The plaintiff seeks monetary damages and specific enforcement of the alleged purchase agreement. The Company is not currently able to determine whether there is a reasonable possibility that a loss has been incurred, nor can we estimate the potential loss or range of the potential loss that may result from this litigation.</w:t>
      </w:r>
    </w:p>
    <w:p>
      <w:pPr>
        <w:spacing w:after="0" w:line="18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w:t>
      </w:r>
    </w:p>
    <w:p>
      <w:pPr>
        <w:spacing w:after="0" w:line="252" w:lineRule="auto"/>
        <w:rPr>
          <w:sz w:val="20"/>
          <w:szCs w:val="20"/>
          <w:color w:val="auto"/>
        </w:rPr>
      </w:pPr>
      <w:r>
        <w:rPr>
          <w:rFonts w:ascii="Times New Roman" w:cs="Times New Roman" w:eastAsia="Times New Roman" w:hAnsi="Times New Roman"/>
          <w:sz w:val="18"/>
          <w:szCs w:val="18"/>
          <w:color w:val="auto"/>
        </w:rPr>
        <w:t>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appellate briefing was completed in January 2017, and the parties are currently awaiting scheduling of oral argument. The Company is not currently able to determine whether there is a reasonable possibility that a loss has been incurred, nor can it estimate the potential loss or range of the potential loss that may result from this litigation.</w:t>
      </w:r>
    </w:p>
    <w:p>
      <w:pPr>
        <w:spacing w:after="0" w:line="188"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w:t>
      </w: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before the Ninth Circuit Court of Appeals.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appellate briefing was completed in November 2016, and the parties are currently awaiting the scheduling of oral argument. The Company is not currently able to determine whether there is a reasonable possibility that a loss has been incurred, nor can it estimate the potential loss or range of the potential loss that may result from this litigation.</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8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December 31, 2016 or 2015.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part of the Company's discovery services offering, the Company generally warrants that it will perform the services in good faith and in a timely and professional manner, and that it will exercise the same level of professional care commonly found in the industry. Additionally, the Company has agreed to provisions for indemnifying customers against liabilities if its discovery services infringe a third party’s intellectual property rights or if it breaches agreed privacy, security and/or confidentiality obligations. To date, the Company has not incurred any material costs, and it has not accrued any liabilities in the accompanying consolidated financial</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statements, as a result of these obligations. The Company also enters into service-level agreements with its discovery services clients that specify required levels of application uptime and may permit customers to receive credits or to terminate their agreements in the event that the Company fails to meet required performance levels. To date, the Company has not experienced any significant failures to meet defined levels of performance and, as a result, has not accrued any liabilities related to these agreements in its consolidated financial statements.</w:t>
      </w:r>
    </w:p>
    <w:p>
      <w:pPr>
        <w:spacing w:after="0" w:line="180"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Known and Incurred but not Reported Claims</w:t>
      </w:r>
    </w:p>
    <w:p>
      <w:pPr>
        <w:spacing w:after="0" w:line="94"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In August 2012, the Company began offering insurance to cover certain costs of patent litigation brought against its insured clients. As of December 31, 2016 and 2015, the Company had a total of 181 and 89 active policies, respectively, and recorded a reserve of $0.9 million and $0.7 million, respectively, for known and incurred but not reported claims that represent estimated claim costs and related expenses.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regularly reviews loss reserves using a variety of actuarial techniques and updates them as its loss experience develops.</w:t>
      </w:r>
    </w:p>
    <w:p>
      <w:pPr>
        <w:spacing w:after="0" w:line="181" w:lineRule="exact"/>
        <w:rPr>
          <w:sz w:val="20"/>
          <w:szCs w:val="20"/>
          <w:color w:val="auto"/>
        </w:rPr>
      </w:pPr>
    </w:p>
    <w:p>
      <w:pPr>
        <w:ind w:left="500" w:right="9520" w:hanging="492"/>
        <w:spacing w:after="0" w:line="331" w:lineRule="auto"/>
        <w:tabs>
          <w:tab w:leader="none" w:pos="28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2016, under the Company’s amended and restated certificate of incorporation, the Company is authorized to issue 200 million shares of common stock with a par value of $0.0001 per share.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2016, under the Company’s amended and restated certificate of incorporation, the Company is authorized to issue 10 million shares of preferred stock with a par value of $0.0001 per share. The Board of Directors is authorized to provide for the issuance of one or more series of preferred stock and to establish the powers, preferences and rights of the preferred shares.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2011, the Company’s Board of Directors adopted the 2011 Equity Incentive Plan (the “2011 Plan”), which became effective on the date of the Company’s initial public offering. The 2011 Plan provides for the issuance of incentive stock options, non-qualified stock options, stock appreciation rights, restricted shares of the Company’s common stock and stock units to employees, directors and non-employees. The Board of Directors initially reserved 1,500,000 shares of common stock for future issuance under the 2011 Plan pursuant to automatic increases permitted under the 2011 Plan. During 2016 and 2015, the Company reserved an additional 2,000,000 and 1,000,000 shares, respectively, of common stock for future issuance under the 2011 Plan. As of December 31, 2016, there were 3,586,000 shares available for grant under the 2011 Plan.</w:t>
      </w:r>
    </w:p>
    <w:p>
      <w:pPr>
        <w:spacing w:after="0" w:line="188"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August 2008, the Company’s Board of Directors adopted the 2008 Plan (the “2008 Plan”) which provided for the issuance of incentive stock options, non-qualified stock options, as well as the direct award or sale of shares of common stock to employees, directors and non-employees for up to 9,019,474 shares of common stock, as amended. No further awards have been made under the 2008 Plan since the 2011 plan became effective; however, all awards outstanding under the 2008 Plan will continue to be governed by the existing terms.</w:t>
      </w:r>
    </w:p>
    <w:p>
      <w:pPr>
        <w:spacing w:after="0" w:line="180"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Under both the 2011 Plan and 2008 Plan, incentive stock options and non-qualified stock options are to be granted at a price that is not less than 100% of the fair value of the stock at the date of grant. Stock options granted to newly hired employees vest 25% on the first anniversary of the date of hire and ratably each month over the ensuing 36-month period. Stock options granted to existing employees generally vest ratably over the 48-months following the date of grant. Stock options are exercisable for a maximum period of 10 years after date of grant. Incentive stock options granted to stockholders who own more than 10% of the outstanding stock of the Company at the time of grant must be issued at an exercise price not to be less than 110% of the fair value of the stock on the date of grant. RSUs granted to newly hired employees vest 25% on the first Company-established vest date after the first anniversary of the employee’s date of hire and ratably each quarter over the ensuing 12-quarter period. RSUs granted to existing employees generally vest ratably each quarter over the 16 quarters following the date of grant. PBRSUs with market conditions granted to employees may vest 25% on each anniversary of the grant date, provided that the average closing price per share of the Company’s common stock for any 90-calendar day period during the year preceding such anniversary date is equal to or greater than 1.25 times the Company’s stock price on the grant date or on the anniversary of the grant date. To the extent that a portion of the award does not vest on a specific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anniversary date, it will remain eligible to vest in any of following three successive anniversaries of the grant date, provided that any applicable market conditions have been satisfied at that time. PBRSUs with performance conditions granted to employees generally vest 25% annually if the performance criteria is satisfied.</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under its equity-settled award plans and related information is as follows (in thousands, except per share data and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Shares Available</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Grant</w:t>
            </w:r>
          </w:p>
        </w:tc>
        <w:tc>
          <w:tcPr>
            <w:tcW w:w="12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7"/>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 December 31, 2015</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withheld related to net share settlement</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 December 31, 2016</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2,939</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exercisable - December 31, 2016</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2,939</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 December 31, 2016</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2,939</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2016, 2015 and 2014 was $0.9 million, $6.8 million and $7.0 million, respectively. The total fair value of stock options vested during the years ended December 31, 2016, 2015 and 2014 was $1.3 million, $3.3 million and $6.2 million,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summary of restricted stock unit activity, which includes PBRSUs, is as follows (in thousands,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674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40" w:type="dxa"/>
            <w:vAlign w:val="bottom"/>
          </w:tcPr>
          <w:p>
            <w:pPr>
              <w:spacing w:after="0"/>
              <w:rPr>
                <w:sz w:val="18"/>
                <w:szCs w:val="18"/>
                <w:color w:val="auto"/>
              </w:rPr>
            </w:pPr>
          </w:p>
        </w:tc>
        <w:tc>
          <w:tcPr>
            <w:tcW w:w="1140" w:type="dxa"/>
            <w:vAlign w:val="bottom"/>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units - December 31,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units - December 31, 2016</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36,979</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2016, 2015 and 2014 was $11.9 million, $14.4 million and $13.7 million, respectively.</w:t>
      </w:r>
    </w:p>
    <w:p>
      <w:pPr>
        <w:spacing w:after="0" w:line="16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October 2013, the Board of Directors approved net-share settlement for tax withholdings on RSU vesting. In 2016 and 2015, the Company withheld issuing 418,201 and 354,446 shares of its common stock, respectively, based on the value of the RSUs on their vesting dates as determined by the Company’s closing common stock price. Total payments for the employees’ minimum tax obligations to taxing authorities were $4.2 million and $5.1 million for the years ended December 31, 2016 and 2015, respectively, and were recorded as a reduction to additional paid-in capital and reflected as a financing activity within the consolidated statements of cash flows. The net-share settlements reduced the number of shares that would have otherwise been issued on the vesting date and increased the number of shares reserved for future issuance under the 2011 Plan.</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Related to Employees and Directors</w:t>
      </w:r>
    </w:p>
    <w:p>
      <w:pPr>
        <w:spacing w:after="0" w:line="8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RSUs granted to employees and non-employee directors is measured by reference to the fair value of the underlying shares on the date of grant.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PBRSUs granted during the year ended December 31, 2016 contain service, performance, and market conditions that affect the quantity of awards that will vest. PBRSUs granted during the year ended December 31, 2015 contain both service and performance conditions that affect the quantity of awards that will vest. PBRSUs granted during the year ended December 31, 2014 contain both service and market conditions that affect the quantity of awards that will vest. During the years ended December 31, 2016, 2015, and 2014, the Company granted 115,657, 54,375, and 200,000 PBRSUs, respectively. The Company estimates the grant date fair value of PBRSUs which include performance conditions by reference to the fair value of the underlying shares on the date of grant. The Company estimates the grant date fair value of PBRSUs which include market conditions using the Monte Carlo simulation model.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PBRSUs with market conditions and the resulting fair values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0" w:type="dxa"/>
            <w:vAlign w:val="bottom"/>
            <w:gridSpan w:val="5"/>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rate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date fair value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7.47</w:t>
            </w:r>
          </w:p>
        </w:tc>
      </w:tr>
    </w:tbl>
    <w:p>
      <w:pPr>
        <w:spacing w:after="0" w:line="22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related to stock options granted to employees and non-employee directors was $0.9 million, $2.9 million and $5.4 million for the years ended December 31, 2016, 2015 and 2014, respectively. Stock-based compensation expense related to RSUs granted to employees and non-employee directors was $16.9 million, $14.2 million and $11.6 million for the years ended December 31, 2016, 2015 and 2014, respectively. Stock-based compensation expense related to PBRSUs granted to employees was $0.6 million, $0.7 million, and $0.8 million for the years ended December 31, 2016, 2015 and 2014, respectively.</w:t>
      </w:r>
    </w:p>
    <w:p>
      <w:pPr>
        <w:spacing w:after="0" w:line="18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2016, there was $34.5 million of unrecognized compensation cost related to RSUs, including PBRSUs, which is expected to be recognized over a weighted-average period of 2.6 years. Future grants of equity awards will increase the amount of stock-based compensation expense to be recorded.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8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and May 2016, the Company increased its share repurchase program by $25 million and $50 million, respectively, for a total amount authorized of $150 million. As of December 31, 2016, the Company repurchased $86.3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are reflected as a reduction to common stock and retained earnings in the Company's consolidated balance sheet during the period presented as follows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Value of Shares</w:t>
            </w:r>
          </w:p>
        </w:tc>
      </w:tr>
      <w:tr>
        <w:trPr>
          <w:trHeight w:val="212"/>
        </w:trPr>
        <w:tc>
          <w:tcPr>
            <w:tcW w:w="538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Average Price per Share</w:t>
            </w:r>
          </w:p>
        </w:tc>
        <w:tc>
          <w:tcPr>
            <w:tcW w:w="280" w:type="dxa"/>
            <w:vAlign w:val="bottom"/>
          </w:tcPr>
          <w:p>
            <w:pPr>
              <w:spacing w:after="0"/>
              <w:rPr>
                <w:sz w:val="18"/>
                <w:szCs w:val="18"/>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Repurchased</w:t>
            </w:r>
          </w:p>
        </w:tc>
      </w:tr>
      <w:tr>
        <w:trPr>
          <w:trHeight w:val="33"/>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shares repurchased as of January 1, 2016</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26,175</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60,101</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shares repurchased as of December 31, 2016</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86,276</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before provision for income tax consists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294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28,536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64,238</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income before provision for income taxes</w:t>
            </w:r>
          </w:p>
        </w:tc>
        <w:tc>
          <w:tcPr>
            <w:tcW w:w="294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32,309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64,282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71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0" w:type="dxa"/>
            <w:vAlign w:val="bottom"/>
          </w:tcPr>
          <w:p>
            <w:pPr>
              <w:spacing w:after="0"/>
              <w:rPr>
                <w:sz w:val="1"/>
                <w:szCs w:val="1"/>
                <w:color w:val="auto"/>
              </w:rPr>
            </w:pPr>
          </w:p>
        </w:tc>
      </w:tr>
      <w:tr>
        <w:trPr>
          <w:trHeight w:val="22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13,668</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benefit for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12,575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14,218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5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8"/>
                <w:szCs w:val="18"/>
                <w:color w:val="auto"/>
              </w:rPr>
              <w:t>Net deferred tax assets consist of the following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Reserves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5,017</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5,560</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17,716</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16,619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to the Company’s effective tax (in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5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 – net of federal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9,576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income not taxed at federal rate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5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2016, the Company had federal and state capital loss carryforwards of $1.5 million available to reduce future taxable income which expire in 2020 if not utilized. As of December 31, 2016, the Company had federal and state net operating loss carryforwards of $38.0 million which will begin to expire in 2023 if not utilized. The utilization of these carryforwards may be limited if there are certain changes in the Company's ownership.</w:t>
      </w:r>
    </w:p>
    <w:p>
      <w:pPr>
        <w:spacing w:after="0" w:line="2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more-likely-than-not that some portion or all of deferred assets will not be realized. The ultimate realization of the deferred tax asset is dependent upon the generation of future taxable income during the periods in which those temporary differences become deductible. Based on the available objective evidence as of December 31, 2016, management believes it is more-likely-than-not that the U.S. net deferred tax asset, other than certain capital losses, will be fully realized. The Company's valuation allowance decreased by $0.2 million during the year ended December 31, 2016 due to the utilization of current year capital loss carryforwards.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900" w:firstLine="486"/>
        <w:spacing w:after="0" w:line="258" w:lineRule="auto"/>
        <w:rPr>
          <w:sz w:val="20"/>
          <w:szCs w:val="20"/>
          <w:color w:val="auto"/>
        </w:rPr>
      </w:pPr>
      <w:r>
        <w:rPr>
          <w:rFonts w:ascii="Times New Roman" w:cs="Times New Roman" w:eastAsia="Times New Roman" w:hAnsi="Times New Roman"/>
          <w:sz w:val="18"/>
          <w:szCs w:val="18"/>
          <w:color w:val="auto"/>
        </w:rPr>
        <w:t>Internal Revenue Code Section 382 places a limitation (the Section 382 Limitation) on the amount of taxable income that can be offset by net operating loss carryforwards after a change in control (generally greater than 50% change in ownership) of a loss corporation. California has similar rules. Generally, after a change in control, a loss corporation cannot deduct operating loss carryforwards in excess of the Section 382 Limitation. Management has considered the impact of such limitation in determining the utilization of its operating loss carryforwards against taxable income in future periods.</w:t>
      </w:r>
    </w:p>
    <w:p>
      <w:pPr>
        <w:spacing w:after="0" w:line="18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Deferred tax liabilities have not been recognized for undistributed earnings for foreign subsidiaries because it is management’s intention to indefinitely reinvest such undistributed earnings outside the U.S. Generally, such earnings are subject to potential foreign withholding tax and the U.S. tax upon remittance of dividends and under certain other circumstances. The Company believes that the potential liability would not be material.</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81"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Company’s total amount of unrecognized tax benefits was $8.3 million, all of which would impact the Company’s effective tax rate, if recognized.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2,036</w:t>
            </w: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increase related to current period tax positions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increase related to prior period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decrease related to prior period tax 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3,707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believe it is reasonably possible that its unrecognized tax benefits will materially change within the next twelve months.</w:t>
      </w:r>
    </w:p>
    <w:p>
      <w:pPr>
        <w:spacing w:after="0" w:line="17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accrued on any unrecognized tax benefits as a component of income tax expense. During the years ended December 31, 2016, 2015 and 2014, the Company recognized $0.6 million, $0.4 million, and $0.7 million, respectively, of interest and penalties associated with unrecognized tax benefits.</w:t>
      </w:r>
    </w:p>
    <w:p>
      <w:pPr>
        <w:spacing w:after="0" w:line="17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During 2016, the statute of limitations expired with respect to the Company’s 2011 tax year which was under examination by the State of California Franchise Tax Board. The conclusion of this examination did not have a material impact on the Company's consolidated financial statements. The 2013 through 2016 tax periods remain open to examination by the Internal Revenue Service and the 2012 through 2016 tax periods remain open to examination by most state tax authorities. Inventus's federal income tax return for fiscal year 2013 is currently under examination by the Internal Revenue Service and at this time, although the outcome is subject to significant uncertainty, the Company believes it has valid positions supporting its tax return and does not expect that proposed adjustments, if any, would be material to the Company's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both years ended December 31, 2016 and 2015, four members of the Company’s Board of Directors also served on the boards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RPX clients. During the year ended December 31, 2014, five members of the Company’s Board of Directors also served on the board of directors of RPX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clients. The Company recognized revenue from these clients in the amount of $9.8 million, $9.3 million and $9.4 million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2016, 2015 and 2014, respectively. The Company recognized selling, general, and administrative expenses from products and services provided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these clients of $0.8 million, $0.3 million, and $0.2 million for the years ended December 31, 2016, 2015 and 2014, respectively. There were $1.3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nil of receivables due from these clients as of December 31, 2016 and 2015,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Savings Plan</w:t>
      </w:r>
    </w:p>
    <w:p>
      <w:pPr>
        <w:spacing w:after="0" w:line="81"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The Company has savings plans, which qualify under Section 401(k) of the Internal Revenue Code (the “Plans”), available for its employees in the United States who meet the certain age and service requirements. Under the terms of the Plans, employees may make voluntary contributions up to maximum statutory limits, and the Company matches contributions based on the amount of the employees' contributions subject to certain limits. The Company recorded contribution expense of $0.6 million, $0.5 million, and $0.4 million during the years ended December 31, 2016, 2015, and 2014.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8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its Chief Executive Officer. Prior to the acquisition of Inventus in January 2016, the Company’s Chief Executive Officer reviewed financial information presented on a consolidated basis and, as a result, the Company concluded that there was only one operating and reportable segment. Subsequent to the acquisition of Inventus (see Note 7, "Business Combinations"), the Company's Chief Executive Officer reviews separate financial information for the patent risk management and discovery services businesses. Therefore as of January 2016, the Company has two reportable segments: 1) patent risk management which generates its revenues primarily from membership subscriptions, premiums earned from insurance policies, and management fees for marketing, underwriting, and claim management and 2) discovery services which generates its revenues primarily from fees generated for data collection, hosting and processing, project management, and document review services. There are no material internal revenue transactions between these two reportable segments.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Although adjusted EBITDA is not a measure of financial performance determined in accordance with GAAP, the Company's chief operating decision maker evaluates segment financial performance by utilizing the segment's adjusted EBITDA because the Company believes it is a useful supplemental measure that reflects core operating performance and provides an indicator of the segment's ability to generate cash. The Company defines adjusted EBITDA as net income exclusive of provision for income taxes, interest and other income (expense), net, stock-based compensation and related employer payroll taxes, depreciation, and amortization. There are limitations in using the Company's measures of financial performance that are not determined in accordance with GAAP and these may be different from other financial measures not determined in accordance with GAAP used by other companies. These financial measures are limited in value because they exclude certain items that may have a material impact on the Company's reported financial results. In addition, they are subject to inherent limitations as they reflect the exercise of judgment by the Company about which items are adjusted to calculate its financial measures not determined in accordance with GAAP. The presentation of financial measures not determined in accordance with GAAP should not be considered in isolation or as a substitute for or superior to financial results determined in accordance with GAAP.</w:t>
      </w:r>
    </w:p>
    <w:p>
      <w:pPr>
        <w:spacing w:after="0" w:line="186"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by segment for the year ended December 31, 2016 utilized by the Company's chief operating decision maker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4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Patent Risk Management</w:t>
            </w:r>
          </w:p>
        </w:tc>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4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266,995</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4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163,865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76,467</w:t>
            </w:r>
          </w:p>
        </w:tc>
        <w:tc>
          <w:tcPr>
            <w:tcW w:w="0" w:type="dxa"/>
            <w:vAlign w:val="bottom"/>
          </w:tcPr>
          <w:p>
            <w:pPr>
              <w:spacing w:after="0"/>
              <w:rPr>
                <w:sz w:val="1"/>
                <w:szCs w:val="1"/>
                <w:color w:val="auto"/>
              </w:rPr>
            </w:pPr>
          </w:p>
        </w:tc>
      </w:tr>
      <w:tr>
        <w:trPr>
          <w:trHeight w:val="237"/>
        </w:trPr>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4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26,663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including related taxes</w:t>
            </w:r>
          </w:p>
        </w:tc>
        <w:tc>
          <w:tcPr>
            <w:tcW w:w="4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17,633</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162,262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4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206,558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Discovery Services</w:t>
            </w:r>
          </w:p>
        </w:tc>
        <w:tc>
          <w:tcPr>
            <w:tcW w:w="4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4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66,112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4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33,397</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23,990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4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including related taxes</w:t>
            </w:r>
          </w:p>
        </w:tc>
        <w:tc>
          <w:tcPr>
            <w:tcW w:w="4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43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19,021</w:t>
            </w:r>
          </w:p>
        </w:tc>
        <w:tc>
          <w:tcPr>
            <w:tcW w:w="0" w:type="dxa"/>
            <w:vAlign w:val="bottom"/>
          </w:tcPr>
          <w:p>
            <w:pPr>
              <w:spacing w:after="0"/>
              <w:rPr>
                <w:sz w:val="1"/>
                <w:szCs w:val="1"/>
                <w:color w:val="auto"/>
              </w:rPr>
            </w:pPr>
          </w:p>
        </w:tc>
      </w:tr>
      <w:tr>
        <w:trPr>
          <w:trHeight w:val="311"/>
        </w:trPr>
        <w:tc>
          <w:tcPr>
            <w:tcW w:w="472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4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333,107</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4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197,262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100,457</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4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35,388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300" w:type="dxa"/>
            <w:vAlign w:val="bottom"/>
            <w:vMerge w:val="restart"/>
          </w:tcPr>
          <w:p>
            <w:pPr>
              <w:jc w:val="right"/>
              <w:ind w:right="313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Company's subtotal segment adjusted EBITDA to consolidated net income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2016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8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segment adjusted EBITDA</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225,579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including related taxes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18,235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9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total assets by segment (in thousands):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 w:type="dxa"/>
            <w:vAlign w:val="bottom"/>
          </w:tcPr>
          <w:p>
            <w:pPr>
              <w:spacing w:after="0"/>
              <w:rPr>
                <w:sz w:val="24"/>
                <w:szCs w:val="24"/>
                <w:color w:val="auto"/>
              </w:rPr>
            </w:pPr>
          </w:p>
        </w:tc>
        <w:tc>
          <w:tcPr>
            <w:tcW w:w="8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2016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90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risk management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501,540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0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Discovery services </w:t>
            </w:r>
            <w:r>
              <w:rPr>
                <w:rFonts w:ascii="Times New Roman" w:cs="Times New Roman" w:eastAsia="Times New Roman" w:hAnsi="Times New Roman"/>
                <w:sz w:val="25"/>
                <w:szCs w:val="25"/>
                <w:color w:val="auto"/>
                <w:vertAlign w:val="superscript"/>
              </w:rPr>
              <w:t>(1)</w:t>
            </w: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233,749</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8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goodwill and intangible assets acquired through the Company's acquisition of Inventus in January 2016.</w:t>
      </w:r>
    </w:p>
    <w:p>
      <w:pPr>
        <w:spacing w:after="0" w:line="190"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markets its services to companies around the world. Revenue is generally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194,196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186,439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166,593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37,200</w:t>
            </w:r>
          </w:p>
        </w:tc>
        <w:tc>
          <w:tcPr>
            <w:tcW w:w="1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36,195</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36,849</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Korea</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25,288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17,847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76,423</w:t>
            </w:r>
          </w:p>
        </w:tc>
        <w:tc>
          <w:tcPr>
            <w:tcW w:w="1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40,928</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38,046</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333,107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291,881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259,335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Information (Unaudited)</w:t>
      </w:r>
    </w:p>
    <w:p>
      <w:pPr>
        <w:spacing w:after="0" w:line="8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Summarized quarterly financial information for the years ended December 31, 2016 and 2015 is as follows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79,735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47,666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and other income (expense), net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 per share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including current portion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139,992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123,133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102,691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130,408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72,831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34,759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39,475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48,528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patent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29,069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29,190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13,095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18,031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Net income per share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Data:</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including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158,411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142,623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117,431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115,652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60" w:hanging="152"/>
        <w:spacing w:after="0"/>
        <w:tabs>
          <w:tab w:leader="none" w:pos="16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Note 12, "Commitments and Contingencies" and Note 11, "Debt" for further information regarding interest and other income (expense), net.</w:t>
      </w:r>
    </w:p>
    <w:p>
      <w:pPr>
        <w:spacing w:after="0" w:line="50" w:lineRule="exact"/>
        <w:rPr>
          <w:rFonts w:ascii="Times New Roman" w:cs="Times New Roman" w:eastAsia="Times New Roman" w:hAnsi="Times New Roman"/>
          <w:sz w:val="19"/>
          <w:szCs w:val="19"/>
          <w:color w:val="auto"/>
          <w:vertAlign w:val="superscript"/>
        </w:rPr>
      </w:pPr>
    </w:p>
    <w:p>
      <w:pPr>
        <w:ind w:right="140" w:firstLine="8"/>
        <w:spacing w:after="0" w:line="260" w:lineRule="auto"/>
        <w:tabs>
          <w:tab w:leader="none" w:pos="153"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Basic and diluted earnings per share are computed independently for each of the quarters presented. Therefore, the sum of quarterly basic and diluted per share information may not equal annual basic and diluted earnings per share.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maintain a set of disclosure controls and procedures designed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the Chief Executive Officer and Chief Financial Officer, as appropriate to allow timely decisions regarding required disclosure. In accordance with Rule 13a-15(b) of the Exchange Act, as of the end of the period covered by this Annual Report on Form 10-K, an evaluation was carried out under the supervision and with the participation of our management, including our Chief Executive Officer and Chief Financial Officer, of the effectiveness of our disclosure controls and procedures. Based on that evaluation, our Chief Executive Officer and Chief Financial Officer concluded that our disclosure controls and procedures, as of the end of the period covered by this Annual Report on Form 10-K, were effective to provide reasonable assurance.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8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2016 based on the guidelines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Our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 The scope of management’s assessment of the effectiveness of our internal control over financial reporting included all of our consolidated operations except for the operations of Inventus Solutions, Inc., which we acquired in January 2016. This exclusion is in accordance with the SEC’s general guidance that an assessment of a recently acquired business may be omitted from the scope of our evaluation in the year of acquisition. Inventus Solutions, Inc. constituted 6 percent of our total assets and 20 percent of our revenue as of and for the year ended December 31, 2016.</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Based on the results of our evaluation, our management concluded that our internal control over financial reporting was effective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7"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2016 has been audited by PricewaterhouseCoopers LLP, an independent registered public accounting firm, as stated in its report which is included in Item 8 of this Annual Report on Form 10-K.</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8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our most recent fiscal quarter that has materially affected, or is reasonably likely to materially affect, our internal control over financial reporting.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8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219"/>
          </w:cols>
          <w:pgMar w:left="240" w:top="121" w:right="1440"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8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 our directors, officers and employees, including our principal executive officer and principal financial officer. The Code of Business Conduct is posted on our Web site at http://ir.rpxcorp.com/governance.cfm.</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Business Conduct by posting such information on our Web site, at the address and location specified above and, to the extent required by the listing standards of The NASDAQ Stock Market, by filing a Current Report on Form 8-K with the SEC, disclosing such information.</w:t>
      </w:r>
    </w:p>
    <w:p>
      <w:pPr>
        <w:spacing w:after="0" w:line="176"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will be contained in our definitive proxy statement to be filed with the SEC in connection with our 2017 annual meeting of stockholders (the “2017 Proxy Statement”), which we expect to file within 120 days of our fiscal year ended December 31, 2016, and is incorporated herein by reference.</w:t>
      </w:r>
    </w:p>
    <w:p>
      <w:pPr>
        <w:spacing w:after="0" w:line="1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8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regarding executive compensation required by this item will be included under the caption “Executive Compensation” in the 2017 Proxy Statement and is incorporated herein by reference.</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regarding securities authorized for issuance under equity compensation plans required by this item will be included under the caption “Equity Compensation Plan Information” in the 2017 Proxy Statement and is incorporated herein by reference. The information regarding security ownership of certain beneficial owners and management required by this item will be included under the caption “Security Ownership of Certain Beneficial Owners and Management” in the 2017 Proxy Statement and is incorporated herein by reference.</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8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regarding transactions with related persons required by this item is included under the caption “Certain Relationships and Related Persons Transactions” in the 2017 Proxy Statement and will be incorporated herein by reference. The information regarding director independence required by this item is included under the caption “Corporate Governance” in the 2017 Proxy Statement and is incorporated herein by reference.</w:t>
      </w:r>
    </w:p>
    <w:p>
      <w:pPr>
        <w:spacing w:after="0" w:line="1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8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incorporated under the captions “Independent Registered Public Accounting Firm’s Fees” and “Pre-Approval Policies and Procedures” in the 2017 Proxy Statement and is incorporated herein by reference.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60"/>
          </w:cols>
          <w:pgMar w:left="240" w:top="121" w:right="29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Consolidated Financial Statement Schedules.</w:t>
      </w:r>
    </w:p>
    <w:p>
      <w:pPr>
        <w:spacing w:after="0" w:line="81" w:lineRule="exact"/>
        <w:rPr>
          <w:sz w:val="20"/>
          <w:szCs w:val="20"/>
          <w:color w:val="auto"/>
        </w:rPr>
      </w:pPr>
    </w:p>
    <w:p>
      <w:pPr>
        <w:ind w:left="820" w:hanging="326"/>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7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financial statements as set forth under Item 8 of this Annual Report on Form 10-K are incorporated herein by reference.</w:t>
      </w:r>
    </w:p>
    <w:p>
      <w:pPr>
        <w:spacing w:after="0" w:line="77" w:lineRule="exact"/>
        <w:rPr>
          <w:sz w:val="20"/>
          <w:szCs w:val="20"/>
          <w:color w:val="auto"/>
        </w:rPr>
      </w:pPr>
    </w:p>
    <w:p>
      <w:pPr>
        <w:ind w:left="820" w:hanging="326"/>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77" w:lineRule="exact"/>
        <w:rPr>
          <w:sz w:val="20"/>
          <w:szCs w:val="20"/>
          <w:color w:val="auto"/>
        </w:rPr>
      </w:pPr>
    </w:p>
    <w:p>
      <w:pPr>
        <w:ind w:left="820" w:right="20"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material, not applicable, or is shown in the financial statements or notes thereto.</w:t>
      </w:r>
    </w:p>
    <w:p>
      <w:pPr>
        <w:spacing w:after="0" w:line="13" w:lineRule="exact"/>
        <w:rPr>
          <w:sz w:val="20"/>
          <w:szCs w:val="20"/>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herein by reference as part of this Annual Report on Form</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10-K.</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80"/>
          </w:cols>
          <w:pgMar w:left="240" w:top="121" w:right="27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219"/>
          </w:cols>
          <w:pgMar w:left="240" w:top="121" w:right="1440"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RPX CORPORATION</w:t>
      </w:r>
    </w:p>
    <w:p>
      <w:pPr>
        <w:spacing w:after="0" w:line="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5220" w:val="left"/>
          <w:tab w:leader="none" w:pos="6320" w:val="left"/>
        </w:tabs>
        <w:rPr>
          <w:sz w:val="20"/>
          <w:szCs w:val="20"/>
          <w:color w:val="auto"/>
        </w:rPr>
      </w:pPr>
      <w:r>
        <w:rPr>
          <w:rFonts w:ascii="Times New Roman" w:cs="Times New Roman" w:eastAsia="Times New Roman" w:hAnsi="Times New Roman"/>
          <w:sz w:val="18"/>
          <w:szCs w:val="18"/>
          <w:color w:val="auto"/>
        </w:rPr>
        <w:t>February 28,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34290</wp:posOffset>
            </wp:positionV>
            <wp:extent cx="3293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Martin E. Roberts</w:t>
      </w:r>
    </w:p>
    <w:p>
      <w:pPr>
        <w:spacing w:after="0" w:line="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00"/>
          </w:cols>
          <w:pgMar w:left="240" w:top="121" w:right="4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Martin E. Roberts and Robert H. Heath, jointly and severally, as his true and lawful attorneys-in-fact and agents, with full power of substitution and resubstitution, for him and in his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618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566"/>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MARTIN E. ROBERTS</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Martin E. Roberts</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ROBERT H. HEATH</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H. Heath</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ANDREW D. AFRICK</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Andrew D. Africk</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SHELBY W. BONNIE</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Shelby W. Bonnie</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FRANK E. DANGEARD</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Frank E. Dangeard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STEVEN L. FINGERHOOD</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Steven L. Fingerhood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GILBERT S. PALTER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Gilbert S. Palter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SANFORD R. ROBERTSON</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Sanford R. Robertson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THOMAS O. RYDER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28, 2017</w:t>
            </w: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Thomas O. Ryder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702"/>
        </w:trPr>
        <w:tc>
          <w:tcPr>
            <w:tcW w:w="2980" w:type="dxa"/>
            <w:vAlign w:val="bottom"/>
          </w:tcPr>
          <w:p>
            <w:pPr>
              <w:spacing w:after="0"/>
              <w:rPr>
                <w:sz w:val="24"/>
                <w:szCs w:val="24"/>
                <w:color w:val="auto"/>
              </w:rPr>
            </w:pPr>
          </w:p>
        </w:tc>
        <w:tc>
          <w:tcPr>
            <w:tcW w:w="6400" w:type="dxa"/>
            <w:vAlign w:val="bottom"/>
            <w:gridSpan w:val="2"/>
          </w:tcPr>
          <w:p>
            <w:pPr>
              <w:jc w:val="right"/>
              <w:ind w:right="3492"/>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24765</wp:posOffset>
            </wp:positionV>
            <wp:extent cx="2452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60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3.1</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3.2</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4.1</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4.2</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4.3</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4.4</w:t>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10.3*</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10.4*</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10.5*</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10.6*</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10.7*</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10.8*</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10.9*</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10.10*</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10.11*</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10.12*</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10.13*</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10.14*</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10.15*</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10.16*</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10.17*</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10.18*</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10.19</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10.20</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24765</wp:posOffset>
            </wp:positionV>
            <wp:extent cx="3190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and Restated Certificate of Incorporation of RPX Corporation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and Restated Bylaws of RPX Corporation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 is made to Exhibits 3.1 and 3.2</w:t>
      </w:r>
    </w:p>
    <w:p>
      <w:pPr>
        <w:spacing w:after="0" w:line="204"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4"/>
          <w:szCs w:val="14"/>
          <w:color w:val="auto"/>
        </w:rPr>
        <w:t>Form of Common Stock Certificate evidencing shares of common stock of the Registrant</w:t>
      </w:r>
    </w:p>
    <w:p>
      <w:pPr>
        <w:spacing w:after="0" w:line="121"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Amended and Restated Investors’ Rights Agreement by and among the Registrant, John Amster, Geoffrey T. Barker, Eran Zur and the Investors (as defined therein), dated as of July 15, 2009</w:t>
      </w:r>
    </w:p>
    <w:p>
      <w:pPr>
        <w:spacing w:after="0" w:line="285"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4"/>
          <w:szCs w:val="14"/>
          <w:color w:val="auto"/>
        </w:rPr>
        <w:t>Waiver and Amendment No. 1 to the Amended and Restated Investors’ Rights Agreement, the Amended and Restated Voting Agreement and the Amended and Restated First Refusal and Co-Sale Agreement, dated as of November 12, 2010</w:t>
      </w:r>
    </w:p>
    <w:p>
      <w:pPr>
        <w:spacing w:after="0" w:line="13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Form of Indemnification Agreement between the Registrant and each officer and director</w:t>
      </w:r>
    </w:p>
    <w:p>
      <w:pPr>
        <w:spacing w:after="0" w:line="1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Employment Offer Letter by and between the Registrant and John Amster, dated as of August 9, 2008</w:t>
      </w:r>
    </w:p>
    <w:p>
      <w:pPr>
        <w:spacing w:after="0" w:line="1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Employment Offer Letter by and between the Registrant and Geoffrey Barker, dated as of August 10, 2008</w:t>
      </w:r>
    </w:p>
    <w:p>
      <w:pPr>
        <w:spacing w:after="0" w:line="1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Employment Offer Letter by and between the Registrant and Henri Linde, dated as of October 8, 2008</w:t>
      </w:r>
    </w:p>
    <w:p>
      <w:pPr>
        <w:spacing w:after="0" w:line="1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Revised Employment Offer Letter by and between the Registrant and Adam Spiegel, dated as of February 10, 2010</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Employment Offer Letter by and between the Registrant and Mallun Yen, dated as of October 25, 2010</w:t>
      </w:r>
    </w:p>
    <w:p>
      <w:pPr>
        <w:spacing w:after="0" w:line="12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Director Offer Letter by and between the Registrant and Shelby Bonnie, dated as of January 29, 2011</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Director Offer Letter by and between the Registrant and Sanford R. Robertson, dated as of March 2, 2011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2008 Stock Plan, as amended</w:t>
      </w:r>
    </w:p>
    <w:p>
      <w:pPr>
        <w:spacing w:after="0" w:line="2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Form of Notice of Stock Option Grant (Early Exercise) and Stock Option Agreement under 2008 Stock Plan</w:t>
      </w:r>
    </w:p>
    <w:p>
      <w:pPr>
        <w:spacing w:after="0" w:line="12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4"/>
          <w:szCs w:val="14"/>
          <w:color w:val="auto"/>
        </w:rPr>
        <w:t>Form of Notice of Stock Option Grant and Stock Option Agreement under 2008 Stock Plan</w:t>
      </w:r>
    </w:p>
    <w:p>
      <w:pPr>
        <w:spacing w:after="0" w:line="14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Form of Notice of Stock Option Exercise (Early Exercise) under 2008 Stock Plan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Notice of Stock Option Exercise under 2008 Stock Plan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2011 Equity Incentive Plan</w:t>
      </w:r>
    </w:p>
    <w:p>
      <w:pPr>
        <w:spacing w:after="0" w:line="204"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4"/>
          <w:szCs w:val="14"/>
          <w:color w:val="auto"/>
        </w:rPr>
        <w:t>Form of Notice of Stock Option Grant and Stock Option Agreement under 2011 Equity Incentive Plan</w:t>
      </w:r>
    </w:p>
    <w:p>
      <w:pPr>
        <w:spacing w:after="0" w:line="12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Form of Notice of Stock Option Grant (Non-Employee Directors) and Stock Option Agreement (Non-Employee Directors) under 2011 Equity Incentive Plan</w:t>
      </w:r>
    </w:p>
    <w:p>
      <w:pPr>
        <w:spacing w:after="0" w:line="12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Form of Notice of Stock Unit Award and Stock Unit Agreement under 2011 Equity Incentive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and Restated Compensation Program for Non-Employee Directors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 is made to Exhibit 4.3</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 is made to Exhibit 4.4</w:t>
      </w:r>
    </w:p>
    <w:p>
      <w:pPr>
        <w:spacing w:after="0" w:line="20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Common Stock Purchase Agreement by and among the Registrant and the Investors (as defined therein), dated as of April 7, 2011</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4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12/11/2015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4/18/2011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10-Q</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3/7/2013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333-171817</w:t>
            </w: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10.29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4/18/2011</w:t>
            </w:r>
          </w:p>
        </w:tc>
      </w:tr>
    </w:tbl>
    <w:p>
      <w:pPr>
        <w:spacing w:after="0" w:line="295" w:lineRule="exact"/>
        <w:rPr>
          <w:sz w:val="20"/>
          <w:szCs w:val="20"/>
          <w:color w:val="auto"/>
        </w:rPr>
      </w:pPr>
    </w:p>
    <w:p>
      <w:pPr>
        <w:sectPr>
          <w:pgSz w:w="11900" w:h="16838" w:orient="portrait"/>
          <w:cols w:equalWidth="0" w:num="3">
            <w:col w:w="780" w:space="420"/>
            <w:col w:w="4940" w:space="180"/>
            <w:col w:w="5100"/>
          </w:cols>
          <w:pgMar w:left="240" w:top="121" w:right="239" w:bottom="1440" w:gutter="0" w:footer="0" w:header="0"/>
          <w:type w:val="continuous"/>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0900"/>
          </w:cols>
          <w:pgMar w:left="240" w:top="121" w:right="7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10.22</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10.23</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10.24</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10.25</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10.26*</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10.27*</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10.28†</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10.29*</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10.30</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10.31</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10.32*</w:t>
      </w:r>
    </w:p>
    <w:p>
      <w:pPr>
        <w:spacing w:after="0" w:line="3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10.33</w:t>
      </w: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21.1</w:t>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23.1</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24.1</w:t>
      </w: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31.1</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31.2</w:t>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32.1</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32.2</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101.INS</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101.SCH</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101.CAL</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101.DEF</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101.LAB</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4"/>
          <w:szCs w:val="14"/>
          <w:color w:val="auto"/>
        </w:rPr>
        <w:t>Form of Lock-Up Agreement, entered into by MHV Partners LLC and Sanford Robertson</w:t>
      </w:r>
    </w:p>
    <w:p>
      <w:pPr>
        <w:spacing w:after="0" w:line="12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Sublease by and between Registrant and Sedgwick, Detert, Moran &amp; Arnold LLP, dated as of September 29, 2009</w:t>
      </w:r>
    </w:p>
    <w:p>
      <w:pPr>
        <w:spacing w:after="0" w:line="12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Office Lease Agreement between Registrant and PPF Paramount One Market Plaza Owner, L.P., dated as of July 28, 2010</w:t>
      </w:r>
    </w:p>
    <w:p>
      <w:pPr>
        <w:spacing w:after="0" w:line="12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Office Lease Agreement between Registrant and PPF Paramount One Market Plaza Owner, L.P., dated as of March 9, 2012</w:t>
      </w:r>
    </w:p>
    <w:p>
      <w:pPr>
        <w:spacing w:after="0" w:line="12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Employment Offer Letter by and between the Registrant and Ned Segal, dated as of February 7, 2013</w:t>
      </w:r>
    </w:p>
    <w:p>
      <w:pPr>
        <w:spacing w:after="0" w:line="1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Separation Agreement between RPX Corporation and Adam Spiegel dated March 7, 2013</w:t>
      </w:r>
    </w:p>
    <w:p>
      <w:pPr>
        <w:spacing w:after="0" w:line="121"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4"/>
          <w:szCs w:val="14"/>
          <w:color w:val="auto"/>
        </w:rPr>
        <w:t>Asset Purchase Agreement (Redacted), dated December 22, 2014, by and among Rockstar Consortium US LP, Rockstar Consortium LLC, Bockstar Technologies LLC, Constellation Technologies LLC, MobileStar Technologies LLC, NetStar Technologies LLC, RPX Clearinghouse LLC, and the Registrant</w:t>
      </w:r>
    </w:p>
    <w:p>
      <w:pPr>
        <w:spacing w:after="0" w:line="13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Employment Offer Letter by and between the Registrant and Robert Heath, dated as of March 15, 2011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and Plan of Merger entered into on December 13, 2015</w:t>
      </w:r>
    </w:p>
    <w:p>
      <w:pPr>
        <w:spacing w:after="0" w:line="20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4"/>
          <w:szCs w:val="14"/>
          <w:color w:val="auto"/>
        </w:rPr>
        <w:t>Agreement, dated May 25, 2016, by and among RPX Corporation, the Mangrove Partners Master Fund, Ltd. and Mangrove Partners</w:t>
      </w:r>
    </w:p>
    <w:p>
      <w:pPr>
        <w:spacing w:after="0" w:line="1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Employment Offer Letter by and between the Registrant and Trevor Campion, dated as of January 21, 2016</w:t>
      </w:r>
    </w:p>
    <w:p>
      <w:pPr>
        <w:spacing w:after="0" w:line="12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Credit Agreement, dated as of February 26, 2016, by and among RPX Corporation, JPMorgan Chase Bank, N.A., as administrative agent and collateral agent, and the lenders party thereto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List of subsidiaries of the Registrant</w:t>
      </w:r>
    </w:p>
    <w:p>
      <w:pPr>
        <w:spacing w:after="0" w:line="2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Consent of PricewaterhouseCoopers LLP,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Power of Attorney (Included in Signature Page)</w:t>
      </w:r>
    </w:p>
    <w:p>
      <w:pPr>
        <w:spacing w:after="0" w:line="20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Certification of Chief Executive Officer Pursuant to Rule 13-14(a) of the Securities Exchange Act of 1934 as Adopted Pursuant to Section 302 of the Sarbanes-Oxley Act of 2002.</w:t>
      </w:r>
    </w:p>
    <w:p>
      <w:pPr>
        <w:spacing w:after="0" w:line="13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Certification of Chief Financial Officer Pursuant to Rule 13-14(a) of the Securities Exchange Act of 1934 as Adopted Pursuant to Section 302 of the Sarbanes-Oxley Act of 2002.</w:t>
      </w:r>
    </w:p>
    <w:p>
      <w:pPr>
        <w:spacing w:after="0" w:line="136"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 Section 906 of the Sarbanes-Oxley Act of 2002.</w:t>
      </w:r>
    </w:p>
    <w:p>
      <w:pPr>
        <w:spacing w:after="0" w:line="121"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 Section 906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Instance Document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S-1/A</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333-171817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4/18/2011</w:t>
            </w:r>
          </w:p>
        </w:tc>
      </w:tr>
      <w:tr>
        <w:trPr>
          <w:trHeight w:val="473"/>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333-171817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1/21/2011</w:t>
            </w:r>
          </w:p>
        </w:tc>
      </w:tr>
      <w:tr>
        <w:trPr>
          <w:trHeight w:val="473"/>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333-171817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1/21/2011</w:t>
            </w:r>
          </w:p>
        </w:tc>
      </w:tr>
      <w:tr>
        <w:trPr>
          <w:trHeight w:val="473"/>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10-K</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3/26/2012</w:t>
            </w:r>
          </w:p>
        </w:tc>
      </w:tr>
      <w:tr>
        <w:trPr>
          <w:trHeight w:val="473"/>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2/12/2013</w:t>
            </w:r>
          </w:p>
        </w:tc>
      </w:tr>
      <w:tr>
        <w:trPr>
          <w:trHeight w:val="473"/>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3/13/2013</w:t>
            </w:r>
          </w:p>
        </w:tc>
      </w:tr>
      <w:tr>
        <w:trPr>
          <w:trHeight w:val="621"/>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8-K/A</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4/9/2015</w:t>
            </w:r>
          </w:p>
        </w:tc>
      </w:tr>
      <w:tr>
        <w:trPr>
          <w:trHeight w:val="621"/>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10-K</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8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3/2/2015</w:t>
            </w:r>
          </w:p>
        </w:tc>
      </w:tr>
      <w:tr>
        <w:trPr>
          <w:trHeight w:val="432"/>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2.1</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1/28/2016</w:t>
            </w:r>
          </w:p>
        </w:tc>
      </w:tr>
      <w:tr>
        <w:trPr>
          <w:trHeight w:val="432"/>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5/26/2016</w:t>
            </w:r>
          </w:p>
        </w:tc>
      </w:tr>
      <w:tr>
        <w:trPr>
          <w:trHeight w:val="473"/>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10-Q</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8/5/2016</w:t>
            </w:r>
          </w:p>
        </w:tc>
      </w:tr>
      <w:tr>
        <w:trPr>
          <w:trHeight w:val="554"/>
        </w:trPr>
        <w:tc>
          <w:tcPr>
            <w:tcW w:w="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3/1/2016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11" w:lineRule="exact"/>
        <w:rPr>
          <w:sz w:val="20"/>
          <w:szCs w:val="20"/>
          <w:color w:val="auto"/>
        </w:rPr>
      </w:pPr>
    </w:p>
    <w:p>
      <w:pPr>
        <w:sectPr>
          <w:pgSz w:w="11900" w:h="16838" w:orient="portrait"/>
          <w:cols w:equalWidth="0" w:num="4">
            <w:col w:w="580" w:space="620"/>
            <w:col w:w="4940" w:space="400"/>
            <w:col w:w="3540" w:space="720"/>
            <w:col w:w="100"/>
          </w:cols>
          <w:pgMar w:left="240" w:top="121" w:right="7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Indicates a management contract or compensatory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Portions of this exhibit have been omitted and filed separately with the Securities and Exchange Commission pursuant to an order granting confidential treatment.</w:t>
      </w:r>
    </w:p>
    <w:p>
      <w:pPr>
        <w:sectPr>
          <w:pgSz w:w="11900" w:h="16838" w:orient="portrait"/>
          <w:cols w:equalWidth="0" w:num="1">
            <w:col w:w="10900"/>
          </w:cols>
          <w:pgMar w:left="240" w:top="121" w:right="75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00"/>
          </w:cols>
          <w:pgMar w:left="240" w:top="121" w:right="75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62"/>
        </w:trPr>
        <w:tc>
          <w:tcPr>
            <w:tcW w:w="6640" w:type="dxa"/>
            <w:vAlign w:val="bottom"/>
          </w:tcPr>
          <w:p>
            <w:pPr>
              <w:spacing w:after="0"/>
              <w:rPr>
                <w:sz w:val="22"/>
                <w:szCs w:val="22"/>
                <w:color w:val="auto"/>
              </w:rPr>
            </w:pPr>
          </w:p>
        </w:tc>
        <w:tc>
          <w:tcPr>
            <w:tcW w:w="4780" w:type="dxa"/>
            <w:vAlign w:val="bottom"/>
          </w:tcPr>
          <w:p>
            <w:pPr>
              <w:ind w:left="3740"/>
              <w:spacing w:after="0"/>
              <w:rPr>
                <w:sz w:val="20"/>
                <w:szCs w:val="20"/>
                <w:color w:val="auto"/>
              </w:rPr>
            </w:pPr>
            <w:r>
              <w:rPr>
                <w:rFonts w:ascii="Times New Roman" w:cs="Times New Roman" w:eastAsia="Times New Roman" w:hAnsi="Times New Roman"/>
                <w:sz w:val="20"/>
                <w:szCs w:val="20"/>
                <w:b w:val="1"/>
                <w:bCs w:val="1"/>
                <w:color w:val="auto"/>
                <w:w w:val="98"/>
              </w:rPr>
              <w:t>Exhibit 21.1</w:t>
            </w:r>
          </w:p>
        </w:tc>
      </w:tr>
      <w:tr>
        <w:trPr>
          <w:trHeight w:val="608"/>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List of Subsidiaries of RPX Corporation</w:t>
            </w:r>
          </w:p>
        </w:tc>
        <w:tc>
          <w:tcPr>
            <w:tcW w:w="4780" w:type="dxa"/>
            <w:vAlign w:val="bottom"/>
          </w:tcPr>
          <w:p>
            <w:pPr>
              <w:spacing w:after="0"/>
              <w:rPr>
                <w:sz w:val="24"/>
                <w:szCs w:val="24"/>
                <w:color w:val="auto"/>
              </w:rPr>
            </w:pPr>
          </w:p>
        </w:tc>
      </w:tr>
      <w:tr>
        <w:trPr>
          <w:trHeight w:val="608"/>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4780" w:type="dxa"/>
            <w:vAlign w:val="bottom"/>
          </w:tcPr>
          <w:p>
            <w:pPr>
              <w:jc w:val="center"/>
              <w:ind w:left="2861"/>
              <w:spacing w:after="0"/>
              <w:rPr>
                <w:sz w:val="20"/>
                <w:szCs w:val="20"/>
                <w:color w:val="auto"/>
              </w:rPr>
            </w:pPr>
            <w:r>
              <w:rPr>
                <w:rFonts w:ascii="Times New Roman" w:cs="Times New Roman" w:eastAsia="Times New Roman" w:hAnsi="Times New Roman"/>
                <w:sz w:val="20"/>
                <w:szCs w:val="20"/>
                <w:b w:val="1"/>
                <w:bCs w:val="1"/>
                <w:color w:val="auto"/>
                <w:w w:val="99"/>
              </w:rPr>
              <w:t>Jurisdiction</w:t>
            </w:r>
          </w:p>
        </w:tc>
      </w:tr>
      <w:tr>
        <w:trPr>
          <w:trHeight w:val="21"/>
        </w:trPr>
        <w:tc>
          <w:tcPr>
            <w:tcW w:w="6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Inventus, LLC</w:t>
            </w:r>
          </w:p>
        </w:tc>
        <w:tc>
          <w:tcPr>
            <w:tcW w:w="4780" w:type="dxa"/>
            <w:vAlign w:val="bottom"/>
            <w:tcBorders>
              <w:bottom w:val="single" w:sz="8" w:color="CCEEFF"/>
            </w:tcBorders>
            <w:shd w:val="clear" w:color="auto" w:fill="CCEEFF"/>
          </w:tcPr>
          <w:p>
            <w:pPr>
              <w:jc w:val="center"/>
              <w:ind w:left="2861"/>
              <w:spacing w:after="0"/>
              <w:rPr>
                <w:sz w:val="20"/>
                <w:szCs w:val="20"/>
                <w:color w:val="auto"/>
              </w:rPr>
            </w:pPr>
            <w:r>
              <w:rPr>
                <w:rFonts w:ascii="Times New Roman" w:cs="Times New Roman" w:eastAsia="Times New Roman" w:hAnsi="Times New Roman"/>
                <w:sz w:val="20"/>
                <w:szCs w:val="20"/>
                <w:color w:val="auto"/>
                <w:w w:val="96"/>
              </w:rPr>
              <w:t>Texas</w:t>
            </w: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Inventus Solutions, Inc.</w:t>
            </w:r>
          </w:p>
        </w:tc>
        <w:tc>
          <w:tcPr>
            <w:tcW w:w="478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1"/>
        </w:trPr>
        <w:tc>
          <w:tcPr>
            <w:tcW w:w="6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Inventus Holdings UK Ltd.</w:t>
            </w:r>
          </w:p>
        </w:tc>
        <w:tc>
          <w:tcPr>
            <w:tcW w:w="4780" w:type="dxa"/>
            <w:vAlign w:val="bottom"/>
            <w:tcBorders>
              <w:bottom w:val="single" w:sz="8" w:color="CCEEFF"/>
            </w:tcBorders>
            <w:shd w:val="clear" w:color="auto" w:fill="CCEEFF"/>
          </w:tcPr>
          <w:p>
            <w:pPr>
              <w:jc w:val="center"/>
              <w:ind w:left="286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Asia Corporation</w:t>
            </w:r>
          </w:p>
        </w:tc>
        <w:tc>
          <w:tcPr>
            <w:tcW w:w="4780" w:type="dxa"/>
            <w:vAlign w:val="bottom"/>
          </w:tcPr>
          <w:p>
            <w:pPr>
              <w:jc w:val="center"/>
              <w:ind w:left="2861"/>
              <w:spacing w:after="0"/>
              <w:rPr>
                <w:sz w:val="20"/>
                <w:szCs w:val="20"/>
                <w:color w:val="auto"/>
              </w:rPr>
            </w:pPr>
            <w:r>
              <w:rPr>
                <w:rFonts w:ascii="Times New Roman" w:cs="Times New Roman" w:eastAsia="Times New Roman" w:hAnsi="Times New Roman"/>
                <w:sz w:val="20"/>
                <w:szCs w:val="20"/>
                <w:color w:val="auto"/>
              </w:rPr>
              <w:t>Japan</w:t>
            </w:r>
          </w:p>
        </w:tc>
      </w:tr>
      <w:tr>
        <w:trPr>
          <w:trHeight w:val="21"/>
        </w:trPr>
        <w:tc>
          <w:tcPr>
            <w:tcW w:w="6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RPX Clearinghouse LLC</w:t>
            </w:r>
          </w:p>
        </w:tc>
        <w:tc>
          <w:tcPr>
            <w:tcW w:w="4780" w:type="dxa"/>
            <w:vAlign w:val="bottom"/>
            <w:tcBorders>
              <w:bottom w:val="single" w:sz="8" w:color="CCEEFF"/>
            </w:tcBorders>
            <w:shd w:val="clear" w:color="auto" w:fill="CCEEFF"/>
          </w:tcPr>
          <w:p>
            <w:pPr>
              <w:jc w:val="center"/>
              <w:ind w:left="28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Freedom Corporation</w:t>
            </w:r>
          </w:p>
        </w:tc>
        <w:tc>
          <w:tcPr>
            <w:tcW w:w="478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1"/>
        </w:trPr>
        <w:tc>
          <w:tcPr>
            <w:tcW w:w="6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RPX Insurance Services, LLC</w:t>
            </w:r>
          </w:p>
        </w:tc>
        <w:tc>
          <w:tcPr>
            <w:tcW w:w="4780" w:type="dxa"/>
            <w:vAlign w:val="bottom"/>
            <w:tcBorders>
              <w:bottom w:val="single" w:sz="8" w:color="CCEEFF"/>
            </w:tcBorders>
            <w:shd w:val="clear" w:color="auto" w:fill="CCEEFF"/>
          </w:tcPr>
          <w:p>
            <w:pPr>
              <w:jc w:val="center"/>
              <w:ind w:left="28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Reinsurance LLC</w:t>
            </w:r>
          </w:p>
        </w:tc>
        <w:tc>
          <w:tcPr>
            <w:tcW w:w="4780" w:type="dxa"/>
            <w:vAlign w:val="bottom"/>
          </w:tcPr>
          <w:p>
            <w:pPr>
              <w:jc w:val="center"/>
              <w:ind w:left="2861"/>
              <w:spacing w:after="0"/>
              <w:rPr>
                <w:sz w:val="20"/>
                <w:szCs w:val="20"/>
                <w:color w:val="auto"/>
              </w:rPr>
            </w:pPr>
            <w:r>
              <w:rPr>
                <w:rFonts w:ascii="Times New Roman" w:cs="Times New Roman" w:eastAsia="Times New Roman" w:hAnsi="Times New Roman"/>
                <w:sz w:val="20"/>
                <w:szCs w:val="20"/>
                <w:color w:val="auto"/>
              </w:rPr>
              <w:t>Hawaii</w:t>
            </w:r>
          </w:p>
        </w:tc>
      </w:tr>
      <w:tr>
        <w:trPr>
          <w:trHeight w:val="21"/>
        </w:trPr>
        <w:tc>
          <w:tcPr>
            <w:tcW w:w="6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RPX Risk Retention Group, Inc.</w:t>
            </w:r>
          </w:p>
        </w:tc>
        <w:tc>
          <w:tcPr>
            <w:tcW w:w="4780" w:type="dxa"/>
            <w:vAlign w:val="bottom"/>
            <w:tcBorders>
              <w:bottom w:val="single" w:sz="8" w:color="CCEEFF"/>
            </w:tcBorders>
            <w:shd w:val="clear" w:color="auto" w:fill="CCEEFF"/>
          </w:tcPr>
          <w:p>
            <w:pPr>
              <w:jc w:val="center"/>
              <w:ind w:left="2861"/>
              <w:spacing w:after="0"/>
              <w:rPr>
                <w:sz w:val="20"/>
                <w:szCs w:val="20"/>
                <w:color w:val="auto"/>
              </w:rPr>
            </w:pPr>
            <w:r>
              <w:rPr>
                <w:rFonts w:ascii="Times New Roman" w:cs="Times New Roman" w:eastAsia="Times New Roman" w:hAnsi="Times New Roman"/>
                <w:sz w:val="20"/>
                <w:szCs w:val="20"/>
                <w:color w:val="auto"/>
              </w:rPr>
              <w:t>Hawaii</w:t>
            </w: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RRG Holdings, Inc.</w:t>
            </w:r>
          </w:p>
        </w:tc>
        <w:tc>
          <w:tcPr>
            <w:tcW w:w="478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1"/>
        </w:trPr>
        <w:tc>
          <w:tcPr>
            <w:tcW w:w="6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Teris, LLC</w:t>
            </w:r>
          </w:p>
        </w:tc>
        <w:tc>
          <w:tcPr>
            <w:tcW w:w="4780" w:type="dxa"/>
            <w:vAlign w:val="bottom"/>
            <w:tcBorders>
              <w:bottom w:val="single" w:sz="8" w:color="CCEEFF"/>
            </w:tcBorders>
            <w:shd w:val="clear" w:color="auto" w:fill="CCEEFF"/>
          </w:tcPr>
          <w:p>
            <w:pPr>
              <w:jc w:val="center"/>
              <w:ind w:left="28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63"/>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Unified OS Limited</w:t>
            </w:r>
          </w:p>
        </w:tc>
        <w:tc>
          <w:tcPr>
            <w:tcW w:w="4780" w:type="dxa"/>
            <w:vAlign w:val="bottom"/>
          </w:tcPr>
          <w:p>
            <w:pPr>
              <w:jc w:val="center"/>
              <w:ind w:left="2861"/>
              <w:spacing w:after="0"/>
              <w:rPr>
                <w:sz w:val="20"/>
                <w:szCs w:val="20"/>
                <w:color w:val="auto"/>
              </w:rPr>
            </w:pPr>
            <w:r>
              <w:rPr>
                <w:rFonts w:ascii="Times New Roman" w:cs="Times New Roman" w:eastAsia="Times New Roman" w:hAnsi="Times New Roman"/>
                <w:sz w:val="20"/>
                <w:szCs w:val="20"/>
                <w:color w:val="auto"/>
                <w:w w:val="99"/>
              </w:rPr>
              <w:t>United Kingdom</w:t>
            </w:r>
          </w:p>
        </w:tc>
      </w:tr>
    </w:tbl>
    <w:p>
      <w:pPr>
        <w:sectPr>
          <w:pgSz w:w="11900" w:h="16838" w:orient="portrait"/>
          <w:cols w:equalWidth="0" w:num="1">
            <w:col w:w="11420"/>
          </w:cols>
          <w:pgMar w:left="240" w:top="734"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80"/>
        <w:spacing w:after="0" w:line="22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333-173911, 333-180357, 333-187152, 333-194438, 333-202433, and 333-209780) of RPX Corporation of our report dated February 28, 2017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2017</w:t>
      </w:r>
    </w:p>
    <w:p>
      <w:pPr>
        <w:sectPr>
          <w:pgSz w:w="11900" w:h="16838" w:orient="portrait"/>
          <w:cols w:equalWidth="0" w:num="1">
            <w:col w:w="11420"/>
          </w:cols>
          <w:pgMar w:left="240" w:top="1008"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E. Roberts, certify that:</w:t>
      </w:r>
    </w:p>
    <w:p>
      <w:pPr>
        <w:spacing w:after="0" w:line="20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RPX Corporation;</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760" w:right="80" w:hanging="334"/>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60" w:right="140" w:hanging="334"/>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760" w:right="240" w:hanging="334"/>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60" w:right="360" w:hanging="334"/>
        <w:spacing w:after="0" w:line="266"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60" w:right="180" w:hanging="334"/>
        <w:spacing w:after="0" w:line="282"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60" w:right="480" w:hanging="334"/>
        <w:spacing w:after="0" w:line="282"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2017</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Martin E. Roberts</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Heath,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RPX Corporation;</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760" w:right="80" w:hanging="334"/>
        <w:spacing w:after="0" w:line="266" w:lineRule="auto"/>
        <w:tabs>
          <w:tab w:leader="none" w:pos="1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60" w:right="140" w:hanging="334"/>
        <w:spacing w:after="0" w:line="266" w:lineRule="auto"/>
        <w:tabs>
          <w:tab w:leader="none" w:pos="1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760" w:right="240" w:hanging="334"/>
        <w:spacing w:after="0" w:line="266" w:lineRule="auto"/>
        <w:tabs>
          <w:tab w:leader="none" w:pos="1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60" w:right="360" w:hanging="334"/>
        <w:spacing w:after="0" w:line="266" w:lineRule="auto"/>
        <w:tabs>
          <w:tab w:leader="none" w:pos="1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60" w:right="180" w:hanging="334"/>
        <w:spacing w:after="0" w:line="282" w:lineRule="auto"/>
        <w:tabs>
          <w:tab w:leader="none" w:pos="1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60" w:right="480" w:hanging="334"/>
        <w:spacing w:after="0" w:line="282" w:lineRule="auto"/>
        <w:tabs>
          <w:tab w:leader="none" w:pos="1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2017</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2016 of RPX Corporation, (the “Company”) as filed with the Securities and Exchange Commission on the date hereof (the “Report”), I, Martin E. Roberts, Chief Executive Officer of the Company, certify, pursuant to 18 U.S.C. Section 1350, as adopted pursuant to Section 906 of the Sarbanes-Oxley Act of 2002,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2017</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Martin E. Roberts</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2016 of RPX Corporation (the “Company”) as filed with the Securities and Exchange Commission on the date hereof (the “Report”), I, Robert H. Heath, Chief Financial Officer and Senior Vice President, Finance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2017</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2"/>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3"/>
    </w:lvl>
  </w:abstractNum>
  <w:abstractNum w:abstractNumId="35">
    <w:nsid w:val="1D4ED43B"/>
    <w:multiLevelType w:val="hybridMultilevel"/>
    <w:lvl w:ilvl="0">
      <w:lvlJc w:val="left"/>
      <w:lvlText w:val="%1."/>
      <w:numFmt w:val="decimal"/>
      <w:start w:val="4"/>
    </w:lvl>
  </w:abstractNum>
  <w:abstractNum w:abstractNumId="36">
    <w:nsid w:val="725A06FB"/>
    <w:multiLevelType w:val="hybridMultilevel"/>
    <w:lvl w:ilvl="0">
      <w:lvlJc w:val="left"/>
      <w:lvlText w:val="%1."/>
      <w:numFmt w:val="decimal"/>
      <w:start w:val="5"/>
    </w:lvl>
  </w:abstractNum>
  <w:abstractNum w:abstractNumId="37">
    <w:nsid w:val="2CD89A32"/>
    <w:multiLevelType w:val="hybridMultilevel"/>
    <w:lvl w:ilvl="0">
      <w:lvlJc w:val="left"/>
      <w:lvlText w:val="%1."/>
      <w:numFmt w:val="decimal"/>
      <w:start w:val="6"/>
    </w:lvl>
  </w:abstractNum>
  <w:abstractNum w:abstractNumId="38">
    <w:nsid w:val="57E4CCAF"/>
    <w:multiLevelType w:val="hybridMultilevel"/>
    <w:lvl w:ilvl="0">
      <w:lvlJc w:val="left"/>
      <w:lvlText w:val="%1."/>
      <w:numFmt w:val="decimal"/>
      <w:start w:val="7"/>
    </w:lvl>
  </w:abstractNum>
  <w:abstractNum w:abstractNumId="39">
    <w:nsid w:val="7A6D8D3C"/>
    <w:multiLevelType w:val="hybridMultilevel"/>
    <w:lvl w:ilvl="0">
      <w:lvlJc w:val="left"/>
      <w:lvlText w:val="%1."/>
      <w:numFmt w:val="decimal"/>
      <w:start w:val="11"/>
    </w:lvl>
  </w:abstractNum>
  <w:abstractNum w:abstractNumId="40">
    <w:nsid w:val="4B588F54"/>
    <w:multiLevelType w:val="hybridMultilevel"/>
    <w:lvl w:ilvl="0">
      <w:lvlJc w:val="left"/>
      <w:lvlText w:val="%1."/>
      <w:numFmt w:val="decimal"/>
      <w:start w:val="12"/>
    </w:lvl>
  </w:abstractNum>
  <w:abstractNum w:abstractNumId="41">
    <w:nsid w:val="542289EC"/>
    <w:multiLevelType w:val="hybridMultilevel"/>
    <w:lvl w:ilvl="0">
      <w:lvlJc w:val="left"/>
      <w:lvlText w:val="%1."/>
      <w:numFmt w:val="decimal"/>
      <w:start w:val="13"/>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8"/>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2"/>
    </w:lvl>
  </w:abstractNum>
  <w:abstractNum w:abstractNumId="47">
    <w:nsid w:val="579478FE"/>
    <w:multiLevelType w:val="hybridMultilevel"/>
    <w:lvl w:ilvl="0">
      <w:lvlJc w:val="left"/>
      <w:lvlText w:val="%1."/>
      <w:numFmt w:val="decimal"/>
      <w:start w:val="3"/>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2019-12-29T06:42:18Z</dcterms:created>
  <dcterms:modified xsi:type="dcterms:W3CDTF">2019-12-29T06:42:18Z</dcterms:modified>
</cp:coreProperties>
</file>