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18"/>
          <w:szCs w:val="18"/>
          <w:b w:val="1"/>
          <w:bCs w:val="1"/>
          <w:color w:val="auto"/>
        </w:rPr>
        <w:t>As filed with the Securities and Exchange Commission on June 19, 2018</w:t>
      </w:r>
    </w:p>
    <w:p>
      <w:pPr>
        <w:spacing w:after="0" w:line="27" w:lineRule="exact"/>
        <w:rPr>
          <w:sz w:val="24"/>
          <w:szCs w:val="24"/>
          <w:color w:val="auto"/>
        </w:rPr>
      </w:pPr>
    </w:p>
    <w:p>
      <w:pPr>
        <w:ind w:left="5880"/>
        <w:spacing w:after="0"/>
        <w:rPr>
          <w:sz w:val="20"/>
          <w:szCs w:val="20"/>
          <w:color w:val="auto"/>
        </w:rPr>
      </w:pPr>
      <w:r>
        <w:rPr>
          <w:rFonts w:ascii="Arial" w:cs="Arial" w:eastAsia="Arial" w:hAnsi="Arial"/>
          <w:sz w:val="16"/>
          <w:szCs w:val="16"/>
          <w:b w:val="1"/>
          <w:bCs w:val="1"/>
          <w:color w:val="auto"/>
        </w:rPr>
        <w:t>Registration No. 333-216305; 333-209780;</w:t>
      </w:r>
    </w:p>
    <w:p>
      <w:pPr>
        <w:spacing w:after="0" w:line="32" w:lineRule="exact"/>
        <w:rPr>
          <w:sz w:val="24"/>
          <w:szCs w:val="24"/>
          <w:color w:val="auto"/>
        </w:rPr>
      </w:pPr>
    </w:p>
    <w:p>
      <w:pPr>
        <w:ind w:left="5880"/>
        <w:spacing w:after="0"/>
        <w:rPr>
          <w:sz w:val="20"/>
          <w:szCs w:val="20"/>
          <w:color w:val="auto"/>
        </w:rPr>
      </w:pPr>
      <w:r>
        <w:rPr>
          <w:rFonts w:ascii="Arial" w:cs="Arial" w:eastAsia="Arial" w:hAnsi="Arial"/>
          <w:sz w:val="18"/>
          <w:szCs w:val="18"/>
          <w:b w:val="1"/>
          <w:bCs w:val="1"/>
          <w:color w:val="auto"/>
        </w:rPr>
        <w:t>333-202433; 333-194438; 333-187152;</w:t>
      </w:r>
    </w:p>
    <w:p>
      <w:pPr>
        <w:spacing w:after="0" w:line="9" w:lineRule="exact"/>
        <w:rPr>
          <w:sz w:val="24"/>
          <w:szCs w:val="24"/>
          <w:color w:val="auto"/>
        </w:rPr>
      </w:pPr>
    </w:p>
    <w:p>
      <w:pPr>
        <w:ind w:left="5880"/>
        <w:spacing w:after="0"/>
        <w:rPr>
          <w:sz w:val="20"/>
          <w:szCs w:val="20"/>
          <w:color w:val="auto"/>
        </w:rPr>
      </w:pPr>
      <w:r>
        <w:rPr>
          <w:rFonts w:ascii="Arial" w:cs="Arial" w:eastAsia="Arial" w:hAnsi="Arial"/>
          <w:sz w:val="18"/>
          <w:szCs w:val="18"/>
          <w:b w:val="1"/>
          <w:bCs w:val="1"/>
          <w:color w:val="auto"/>
        </w:rPr>
        <w:t>333-180357; 333-173911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-756285</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108585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210185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POST-EFFECTIVE AMENDMENT NO. 1</w:t>
      </w:r>
    </w:p>
    <w:p>
      <w:pPr>
        <w:spacing w:after="0" w:line="29"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TO</w:t>
      </w:r>
    </w:p>
    <w:p>
      <w:pPr>
        <w:jc w:val="both"/>
        <w:ind w:left="1120" w:right="1200"/>
        <w:spacing w:after="0" w:line="268" w:lineRule="auto"/>
        <w:rPr>
          <w:sz w:val="20"/>
          <w:szCs w:val="20"/>
          <w:color w:val="auto"/>
        </w:rPr>
      </w:pPr>
      <w:r>
        <w:rPr>
          <w:rFonts w:ascii="Arial" w:cs="Arial" w:eastAsia="Arial" w:hAnsi="Arial"/>
          <w:sz w:val="29"/>
          <w:szCs w:val="29"/>
          <w:b w:val="1"/>
          <w:bCs w:val="1"/>
          <w:color w:val="auto"/>
        </w:rPr>
        <w:t>Form S-8 Registration Statement No. 333-216305 Form S-8 Registration Statement No. 333-209780 Form S-8 Registration Statement No. 333-202433 Form S-8 Registration Statement No. 333-194438 Form S-8 Registration Statement No. 333-187152 Form S-8 Registration Statement No. 333-180357 Form S-8 Registration Statement No. 333-173911</w:t>
      </w:r>
    </w:p>
    <w:p>
      <w:pPr>
        <w:spacing w:after="0" w:line="105" w:lineRule="exact"/>
        <w:rPr>
          <w:sz w:val="24"/>
          <w:szCs w:val="24"/>
          <w:color w:val="auto"/>
        </w:rPr>
      </w:pPr>
    </w:p>
    <w:p>
      <w:pPr>
        <w:jc w:val="center"/>
        <w:ind w:right="80"/>
        <w:spacing w:after="0"/>
        <w:rPr>
          <w:sz w:val="20"/>
          <w:szCs w:val="20"/>
          <w:color w:val="auto"/>
        </w:rPr>
      </w:pPr>
      <w:r>
        <w:rPr>
          <w:rFonts w:ascii="Arial" w:cs="Arial" w:eastAsia="Arial" w:hAnsi="Arial"/>
          <w:sz w:val="22"/>
          <w:szCs w:val="22"/>
          <w:b w:val="1"/>
          <w:bCs w:val="1"/>
          <w:i w:val="1"/>
          <w:i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221615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jc w:val="center"/>
        <w:ind w:right="80"/>
        <w:spacing w:after="0"/>
        <w:rPr>
          <w:sz w:val="20"/>
          <w:szCs w:val="20"/>
          <w:color w:val="auto"/>
        </w:rPr>
      </w:pPr>
      <w:r>
        <w:rPr>
          <w:rFonts w:ascii="Arial" w:cs="Arial" w:eastAsia="Arial" w:hAnsi="Arial"/>
          <w:sz w:val="43"/>
          <w:szCs w:val="43"/>
          <w:b w:val="1"/>
          <w:bCs w:val="1"/>
          <w:color w:val="auto"/>
        </w:rPr>
        <w:t>RPX Corporation</w:t>
      </w:r>
    </w:p>
    <w:p>
      <w:pPr>
        <w:spacing w:after="0" w:line="50"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210820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9100"/>
          </w:cols>
          <w:pgMar w:left="1440" w:top="229" w:right="135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3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26-2990113</w:t>
      </w:r>
    </w:p>
    <w:p>
      <w:pPr>
        <w:spacing w:after="0" w:line="50" w:lineRule="exact"/>
        <w:rPr>
          <w:sz w:val="24"/>
          <w:szCs w:val="24"/>
          <w:color w:val="auto"/>
        </w:rPr>
      </w:pPr>
    </w:p>
    <w:p>
      <w:pPr>
        <w:sectPr>
          <w:pgSz w:w="11900" w:h="16838" w:orient="portrait"/>
          <w:cols w:equalWidth="0" w:num="2">
            <w:col w:w="6300" w:space="720"/>
            <w:col w:w="2080"/>
          </w:cols>
          <w:pgMar w:left="1440" w:top="229" w:right="1359" w:bottom="1440" w:gutter="0" w:footer="0" w:header="0"/>
          <w:type w:val="continuous"/>
        </w:sectPr>
      </w:pPr>
    </w:p>
    <w:p>
      <w:pPr>
        <w:ind w:left="96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56" w:lineRule="exact"/>
        <w:rPr>
          <w:sz w:val="24"/>
          <w:szCs w:val="24"/>
          <w:color w:val="auto"/>
        </w:rPr>
      </w:pPr>
    </w:p>
    <w:p>
      <w:pPr>
        <w:sectPr>
          <w:pgSz w:w="11900" w:h="16838" w:orient="portrait"/>
          <w:cols w:equalWidth="0" w:num="2">
            <w:col w:w="5640" w:space="720"/>
            <w:col w:w="2740"/>
          </w:cols>
          <w:pgMar w:left="1440" w:top="229" w:right="1359" w:bottom="1440" w:gutter="0" w:footer="0" w:header="0"/>
          <w:type w:val="continuous"/>
        </w:sectPr>
      </w:pPr>
    </w:p>
    <w:p>
      <w:pPr>
        <w:jc w:val="center"/>
        <w:ind w:right="80"/>
        <w:spacing w:after="0"/>
        <w:rPr>
          <w:sz w:val="20"/>
          <w:szCs w:val="20"/>
          <w:color w:val="auto"/>
        </w:rPr>
      </w:pPr>
      <w:r>
        <w:rPr>
          <w:rFonts w:ascii="Arial" w:cs="Arial" w:eastAsia="Arial" w:hAnsi="Arial"/>
          <w:sz w:val="18"/>
          <w:szCs w:val="18"/>
          <w:b w:val="1"/>
          <w:bCs w:val="1"/>
          <w:color w:val="auto"/>
        </w:rPr>
        <w:t>One Market Plaza, Suite 1100</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San Francisco, CA 94105</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(866) 779-7641</w:t>
      </w:r>
    </w:p>
    <w:p>
      <w:pPr>
        <w:spacing w:after="0" w:line="2" w:lineRule="exact"/>
        <w:rPr>
          <w:sz w:val="24"/>
          <w:szCs w:val="24"/>
          <w:color w:val="auto"/>
        </w:rPr>
      </w:pPr>
    </w:p>
    <w:p>
      <w:pPr>
        <w:jc w:val="center"/>
        <w:ind w:right="80"/>
        <w:spacing w:after="0"/>
        <w:rPr>
          <w:sz w:val="20"/>
          <w:szCs w:val="20"/>
          <w:color w:val="auto"/>
        </w:rPr>
      </w:pPr>
      <w:r>
        <w:rPr>
          <w:rFonts w:ascii="Arial" w:cs="Arial" w:eastAsia="Arial" w:hAnsi="Arial"/>
          <w:sz w:val="12"/>
          <w:szCs w:val="12"/>
          <w:b w:val="1"/>
          <w:bCs w:val="1"/>
          <w:color w:val="auto"/>
        </w:rPr>
        <w:t>(Address, including zip code, and telephone number, including area code, of registrant’s principal executive offices)</w:t>
      </w:r>
    </w:p>
    <w:p>
      <w:pPr>
        <w:spacing w:after="0" w:line="188" w:lineRule="exact"/>
        <w:rPr>
          <w:sz w:val="24"/>
          <w:szCs w:val="24"/>
          <w:color w:val="auto"/>
        </w:rPr>
      </w:pPr>
    </w:p>
    <w:p>
      <w:pPr>
        <w:ind w:left="3900"/>
        <w:spacing w:after="0"/>
        <w:rPr>
          <w:sz w:val="20"/>
          <w:szCs w:val="20"/>
          <w:color w:val="auto"/>
        </w:rPr>
      </w:pPr>
      <w:r>
        <w:rPr>
          <w:rFonts w:ascii="Arial" w:cs="Arial" w:eastAsia="Arial" w:hAnsi="Arial"/>
          <w:sz w:val="18"/>
          <w:szCs w:val="18"/>
          <w:b w:val="1"/>
          <w:bCs w:val="1"/>
          <w:color w:val="auto"/>
        </w:rPr>
        <w:t>2008 Stock Plan</w:t>
      </w:r>
    </w:p>
    <w:p>
      <w:pPr>
        <w:spacing w:after="0" w:line="27" w:lineRule="exact"/>
        <w:rPr>
          <w:sz w:val="24"/>
          <w:szCs w:val="24"/>
          <w:color w:val="auto"/>
        </w:rPr>
      </w:pPr>
    </w:p>
    <w:p>
      <w:pPr>
        <w:ind w:left="3480"/>
        <w:spacing w:after="0"/>
        <w:rPr>
          <w:sz w:val="20"/>
          <w:szCs w:val="20"/>
          <w:color w:val="auto"/>
        </w:rPr>
      </w:pPr>
      <w:r>
        <w:rPr>
          <w:rFonts w:ascii="Arial" w:cs="Arial" w:eastAsia="Arial" w:hAnsi="Arial"/>
          <w:sz w:val="18"/>
          <w:szCs w:val="18"/>
          <w:b w:val="1"/>
          <w:bCs w:val="1"/>
          <w:color w:val="auto"/>
        </w:rPr>
        <w:t>2011 Equity Incentive Plan</w:t>
      </w:r>
    </w:p>
    <w:p>
      <w:pPr>
        <w:spacing w:after="0" w:line="2" w:lineRule="exact"/>
        <w:rPr>
          <w:sz w:val="24"/>
          <w:szCs w:val="24"/>
          <w:color w:val="auto"/>
        </w:rPr>
      </w:pPr>
    </w:p>
    <w:p>
      <w:pPr>
        <w:jc w:val="center"/>
        <w:ind w:right="80"/>
        <w:spacing w:after="0"/>
        <w:rPr>
          <w:sz w:val="20"/>
          <w:szCs w:val="20"/>
          <w:color w:val="auto"/>
        </w:rPr>
      </w:pPr>
      <w:r>
        <w:rPr>
          <w:rFonts w:ascii="Arial" w:cs="Arial" w:eastAsia="Arial" w:hAnsi="Arial"/>
          <w:sz w:val="14"/>
          <w:szCs w:val="14"/>
          <w:b w:val="1"/>
          <w:bCs w:val="1"/>
          <w:color w:val="auto"/>
        </w:rPr>
        <w:t>(Full titles of the plans)</w:t>
      </w:r>
    </w:p>
    <w:p>
      <w:pPr>
        <w:spacing w:after="0" w:line="152"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Martin E. Roberts</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One Market Plaza</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Suite 1100</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San Francisco, CA 94105</w:t>
      </w:r>
    </w:p>
    <w:p>
      <w:pPr>
        <w:spacing w:after="0" w:line="2" w:lineRule="exact"/>
        <w:rPr>
          <w:sz w:val="24"/>
          <w:szCs w:val="24"/>
          <w:color w:val="auto"/>
        </w:rPr>
      </w:pPr>
    </w:p>
    <w:p>
      <w:pPr>
        <w:jc w:val="center"/>
        <w:ind w:right="80"/>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152"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(866) 779-7641</w:t>
      </w:r>
    </w:p>
    <w:p>
      <w:pPr>
        <w:spacing w:after="0" w:line="21" w:lineRule="exact"/>
        <w:rPr>
          <w:sz w:val="24"/>
          <w:szCs w:val="24"/>
          <w:color w:val="auto"/>
        </w:rPr>
      </w:pPr>
    </w:p>
    <w:p>
      <w:pPr>
        <w:jc w:val="center"/>
        <w:ind w:right="80"/>
        <w:spacing w:after="0"/>
        <w:rPr>
          <w:sz w:val="20"/>
          <w:szCs w:val="20"/>
          <w:color w:val="auto"/>
        </w:rPr>
      </w:pPr>
      <w:r>
        <w:rPr>
          <w:rFonts w:ascii="Arial" w:cs="Arial" w:eastAsia="Arial" w:hAnsi="Arial"/>
          <w:sz w:val="14"/>
          <w:szCs w:val="14"/>
          <w:b w:val="1"/>
          <w:bCs w:val="1"/>
          <w:color w:val="auto"/>
        </w:rPr>
        <w:t>(Telephone Number, Including Area Code, of Agent For Service)</w:t>
      </w:r>
    </w:p>
    <w:p>
      <w:pPr>
        <w:sectPr>
          <w:pgSz w:w="11900" w:h="16838" w:orient="portrait"/>
          <w:cols w:equalWidth="0" w:num="1">
            <w:col w:w="9100"/>
          </w:cols>
          <w:pgMar w:left="1440" w:top="229" w:right="13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Leif King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Skadden, Arps, Slate, Meagher &amp; Flom LLP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525 University Avenue, Suite 1400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Palo Alto, California 94301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(650) 470-4500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211455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54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860" w:type="dxa"/>
            <w:vAlign w:val="bottom"/>
          </w:tcPr>
          <w:p>
            <w:pPr>
              <w:ind w:left="168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540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860" w:type="dxa"/>
            <w:vAlign w:val="bottom"/>
          </w:tcPr>
          <w:p>
            <w:pPr>
              <w:ind w:left="168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3860" w:type="dxa"/>
            <w:vAlign w:val="bottom"/>
          </w:tcPr>
          <w:p>
            <w:pPr>
              <w:ind w:left="168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201930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 / DEREGISTRATION OF UNSOLD SECURITIES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This post-effective amendment (the “</w:t>
      </w:r>
      <w:r>
        <w:rPr>
          <w:rFonts w:ascii="Arial" w:cs="Arial" w:eastAsia="Arial" w:hAnsi="Arial"/>
          <w:sz w:val="17"/>
          <w:szCs w:val="17"/>
          <w:b w:val="1"/>
          <w:bCs w:val="1"/>
          <w:color w:val="auto"/>
        </w:rPr>
        <w:t>Post-Effective Amendment</w:t>
      </w:r>
      <w:r>
        <w:rPr>
          <w:rFonts w:ascii="Arial" w:cs="Arial" w:eastAsia="Arial" w:hAnsi="Arial"/>
          <w:sz w:val="17"/>
          <w:szCs w:val="17"/>
          <w:color w:val="auto"/>
        </w:rPr>
        <w:t>”) relates to the following Registration Statements filed by RPX Corporation, a</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Delaware corporation (the “</w:t>
      </w:r>
      <w:r>
        <w:rPr>
          <w:rFonts w:ascii="Arial" w:cs="Arial" w:eastAsia="Arial" w:hAnsi="Arial"/>
          <w:sz w:val="18"/>
          <w:szCs w:val="18"/>
          <w:b w:val="1"/>
          <w:bCs w:val="1"/>
          <w:color w:val="auto"/>
        </w:rPr>
        <w:t>Registrant</w:t>
      </w:r>
      <w:r>
        <w:rPr>
          <w:rFonts w:ascii="Arial" w:cs="Arial" w:eastAsia="Arial" w:hAnsi="Arial"/>
          <w:sz w:val="18"/>
          <w:szCs w:val="18"/>
          <w:color w:val="auto"/>
        </w:rPr>
        <w:t>”), on Form S-8 (collectively, the “</w:t>
      </w:r>
      <w:r>
        <w:rPr>
          <w:rFonts w:ascii="Arial" w:cs="Arial" w:eastAsia="Arial" w:hAnsi="Arial"/>
          <w:sz w:val="18"/>
          <w:szCs w:val="18"/>
          <w:b w:val="1"/>
          <w:bCs w:val="1"/>
          <w:color w:val="auto"/>
        </w:rPr>
        <w:t>Registration Statements</w:t>
      </w:r>
      <w:r>
        <w:rPr>
          <w:rFonts w:ascii="Arial" w:cs="Arial" w:eastAsia="Arial" w:hAnsi="Arial"/>
          <w:sz w:val="18"/>
          <w:szCs w:val="18"/>
          <w:color w:val="auto"/>
        </w:rPr>
        <w: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Registration</w:t>
            </w: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Date Filed</w:t>
            </w:r>
          </w:p>
        </w:tc>
        <w:tc>
          <w:tcPr>
            <w:tcW w:w="250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2"/>
              </w:rPr>
              <w:t>Number of Shares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With</w:t>
            </w:r>
          </w:p>
        </w:tc>
        <w:tc>
          <w:tcPr>
            <w:tcW w:w="2500" w:type="dxa"/>
            <w:vAlign w:val="bottom"/>
          </w:tcPr>
          <w:p>
            <w:pPr>
              <w:spacing w:after="0"/>
              <w:rPr>
                <w:sz w:val="12"/>
                <w:szCs w:val="12"/>
                <w:color w:val="auto"/>
              </w:rPr>
            </w:pPr>
          </w:p>
        </w:tc>
        <w:tc>
          <w:tcPr>
            <w:tcW w:w="510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Name of Equity Plan</w:t>
            </w:r>
          </w:p>
        </w:tc>
        <w:tc>
          <w:tcPr>
            <w:tcW w:w="166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Common Stock</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No.</w:t>
            </w: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the SEC</w:t>
            </w:r>
          </w:p>
        </w:tc>
        <w:tc>
          <w:tcPr>
            <w:tcW w:w="2500" w:type="dxa"/>
            <w:vAlign w:val="bottom"/>
          </w:tcPr>
          <w:p>
            <w:pPr>
              <w:spacing w:after="0"/>
              <w:rPr>
                <w:sz w:val="14"/>
                <w:szCs w:val="14"/>
                <w:color w:val="auto"/>
              </w:rPr>
            </w:pPr>
          </w:p>
        </w:tc>
        <w:tc>
          <w:tcPr>
            <w:tcW w:w="5100" w:type="dxa"/>
            <w:vAlign w:val="bottom"/>
            <w:gridSpan w:val="2"/>
            <w:vMerge w:val="continue"/>
          </w:tcPr>
          <w:p>
            <w:pPr>
              <w:spacing w:after="0"/>
              <w:rPr>
                <w:sz w:val="14"/>
                <w:szCs w:val="14"/>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2"/>
              </w:rPr>
              <w:t>Originally Registered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333-216305</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2/28/2017</w:t>
            </w:r>
          </w:p>
        </w:tc>
        <w:tc>
          <w:tcPr>
            <w:tcW w:w="280" w:type="dxa"/>
            <w:vAlign w:val="bottom"/>
            <w:tcBorders>
              <w:top w:val="single" w:sz="8" w:color="CCEEFF"/>
            </w:tcBorders>
            <w:shd w:val="clear" w:color="auto" w:fill="CCEEFF"/>
          </w:tcPr>
          <w:p>
            <w:pPr>
              <w:spacing w:after="0"/>
              <w:rPr>
                <w:sz w:val="18"/>
                <w:szCs w:val="18"/>
                <w:color w:val="auto"/>
              </w:rPr>
            </w:pPr>
          </w:p>
        </w:tc>
        <w:tc>
          <w:tcPr>
            <w:tcW w:w="2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2011 Equity Incentive Plan</w:t>
            </w:r>
          </w:p>
        </w:tc>
        <w:tc>
          <w:tcPr>
            <w:tcW w:w="4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3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80" w:type="dxa"/>
            <w:vAlign w:val="bottom"/>
            <w:gridSpan w:val="2"/>
          </w:tcPr>
          <w:p>
            <w:pPr>
              <w:jc w:val="center"/>
              <w:spacing w:after="0"/>
              <w:rPr>
                <w:sz w:val="20"/>
                <w:szCs w:val="20"/>
                <w:color w:val="auto"/>
              </w:rPr>
            </w:pPr>
            <w:r>
              <w:rPr>
                <w:rFonts w:ascii="Arial" w:cs="Arial" w:eastAsia="Arial" w:hAnsi="Arial"/>
                <w:sz w:val="18"/>
                <w:szCs w:val="18"/>
                <w:color w:val="auto"/>
                <w:w w:val="91"/>
              </w:rPr>
              <w:t>333-209780</w:t>
            </w:r>
          </w:p>
        </w:tc>
        <w:tc>
          <w:tcPr>
            <w:tcW w:w="200" w:type="dxa"/>
            <w:vAlign w:val="bottom"/>
          </w:tcPr>
          <w:p>
            <w:pPr>
              <w:spacing w:after="0"/>
              <w:rPr>
                <w:sz w:val="24"/>
                <w:szCs w:val="2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2/29/2016</w:t>
            </w:r>
          </w:p>
        </w:tc>
        <w:tc>
          <w:tcPr>
            <w:tcW w:w="2500" w:type="dxa"/>
            <w:vAlign w:val="bottom"/>
          </w:tcPr>
          <w:p>
            <w:pPr>
              <w:spacing w:after="0"/>
              <w:rPr>
                <w:sz w:val="20"/>
                <w:szCs w:val="20"/>
                <w:color w:val="auto"/>
              </w:rPr>
            </w:pPr>
            <w:r>
              <w:rPr>
                <w:rFonts w:ascii="Arial" w:cs="Arial" w:eastAsia="Arial" w:hAnsi="Arial"/>
                <w:sz w:val="18"/>
                <w:szCs w:val="18"/>
                <w:color w:val="auto"/>
              </w:rPr>
              <w:t>2011 Equity Incentive Plan</w:t>
            </w:r>
          </w:p>
        </w:tc>
        <w:tc>
          <w:tcPr>
            <w:tcW w:w="4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2,000,000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500" w:type="dxa"/>
            <w:vAlign w:val="bottom"/>
          </w:tcPr>
          <w:p>
            <w:pPr>
              <w:spacing w:after="0"/>
              <w:rPr>
                <w:sz w:val="9"/>
                <w:szCs w:val="9"/>
                <w:color w:val="auto"/>
              </w:rPr>
            </w:pPr>
          </w:p>
        </w:tc>
        <w:tc>
          <w:tcPr>
            <w:tcW w:w="4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333-202433</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3/2/2015</w:t>
            </w: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2011 Equity Incentive Plan</w:t>
            </w:r>
          </w:p>
        </w:tc>
        <w:tc>
          <w:tcPr>
            <w:tcW w:w="4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324"/>
        </w:trPr>
        <w:tc>
          <w:tcPr>
            <w:tcW w:w="880" w:type="dxa"/>
            <w:vAlign w:val="bottom"/>
            <w:gridSpan w:val="2"/>
          </w:tcPr>
          <w:p>
            <w:pPr>
              <w:jc w:val="center"/>
              <w:spacing w:after="0"/>
              <w:rPr>
                <w:sz w:val="20"/>
                <w:szCs w:val="20"/>
                <w:color w:val="auto"/>
              </w:rPr>
            </w:pPr>
            <w:r>
              <w:rPr>
                <w:rFonts w:ascii="Arial" w:cs="Arial" w:eastAsia="Arial" w:hAnsi="Arial"/>
                <w:sz w:val="18"/>
                <w:szCs w:val="18"/>
                <w:color w:val="auto"/>
                <w:w w:val="91"/>
              </w:rPr>
              <w:t>333-194438</w:t>
            </w:r>
          </w:p>
        </w:tc>
        <w:tc>
          <w:tcPr>
            <w:tcW w:w="200" w:type="dxa"/>
            <w:vAlign w:val="bottom"/>
          </w:tcPr>
          <w:p>
            <w:pPr>
              <w:spacing w:after="0"/>
              <w:rPr>
                <w:sz w:val="24"/>
                <w:szCs w:val="2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3/10/2014</w:t>
            </w:r>
          </w:p>
        </w:tc>
        <w:tc>
          <w:tcPr>
            <w:tcW w:w="2500" w:type="dxa"/>
            <w:vAlign w:val="bottom"/>
          </w:tcPr>
          <w:p>
            <w:pPr>
              <w:spacing w:after="0"/>
              <w:rPr>
                <w:sz w:val="20"/>
                <w:szCs w:val="20"/>
                <w:color w:val="auto"/>
              </w:rPr>
            </w:pPr>
            <w:r>
              <w:rPr>
                <w:rFonts w:ascii="Arial" w:cs="Arial" w:eastAsia="Arial" w:hAnsi="Arial"/>
                <w:sz w:val="18"/>
                <w:szCs w:val="18"/>
                <w:color w:val="auto"/>
              </w:rPr>
              <w:t>2011 Equity Incentive Plan</w:t>
            </w:r>
          </w:p>
        </w:tc>
        <w:tc>
          <w:tcPr>
            <w:tcW w:w="4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500" w:type="dxa"/>
            <w:vAlign w:val="bottom"/>
          </w:tcPr>
          <w:p>
            <w:pPr>
              <w:spacing w:after="0"/>
              <w:rPr>
                <w:sz w:val="9"/>
                <w:szCs w:val="9"/>
                <w:color w:val="auto"/>
              </w:rPr>
            </w:pPr>
          </w:p>
        </w:tc>
        <w:tc>
          <w:tcPr>
            <w:tcW w:w="4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333-187152</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3/11/2013</w:t>
            </w: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2011 Equity Incentive Plan</w:t>
            </w:r>
          </w:p>
        </w:tc>
        <w:tc>
          <w:tcPr>
            <w:tcW w:w="4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324"/>
        </w:trPr>
        <w:tc>
          <w:tcPr>
            <w:tcW w:w="880" w:type="dxa"/>
            <w:vAlign w:val="bottom"/>
            <w:gridSpan w:val="2"/>
          </w:tcPr>
          <w:p>
            <w:pPr>
              <w:jc w:val="center"/>
              <w:spacing w:after="0"/>
              <w:rPr>
                <w:sz w:val="20"/>
                <w:szCs w:val="20"/>
                <w:color w:val="auto"/>
              </w:rPr>
            </w:pPr>
            <w:r>
              <w:rPr>
                <w:rFonts w:ascii="Arial" w:cs="Arial" w:eastAsia="Arial" w:hAnsi="Arial"/>
                <w:sz w:val="18"/>
                <w:szCs w:val="18"/>
                <w:color w:val="auto"/>
                <w:w w:val="91"/>
              </w:rPr>
              <w:t>333-180357</w:t>
            </w:r>
          </w:p>
        </w:tc>
        <w:tc>
          <w:tcPr>
            <w:tcW w:w="200" w:type="dxa"/>
            <w:vAlign w:val="bottom"/>
          </w:tcPr>
          <w:p>
            <w:pPr>
              <w:spacing w:after="0"/>
              <w:rPr>
                <w:sz w:val="24"/>
                <w:szCs w:val="2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3/26/2012</w:t>
            </w:r>
          </w:p>
        </w:tc>
        <w:tc>
          <w:tcPr>
            <w:tcW w:w="2500" w:type="dxa"/>
            <w:vAlign w:val="bottom"/>
          </w:tcPr>
          <w:p>
            <w:pPr>
              <w:spacing w:after="0"/>
              <w:rPr>
                <w:sz w:val="20"/>
                <w:szCs w:val="20"/>
                <w:color w:val="auto"/>
              </w:rPr>
            </w:pPr>
            <w:r>
              <w:rPr>
                <w:rFonts w:ascii="Arial" w:cs="Arial" w:eastAsia="Arial" w:hAnsi="Arial"/>
                <w:sz w:val="18"/>
                <w:szCs w:val="18"/>
                <w:color w:val="auto"/>
              </w:rPr>
              <w:t>2011 Equity Incentive Plan</w:t>
            </w:r>
          </w:p>
        </w:tc>
        <w:tc>
          <w:tcPr>
            <w:tcW w:w="4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2,457,269</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500" w:type="dxa"/>
            <w:vAlign w:val="bottom"/>
          </w:tcPr>
          <w:p>
            <w:pPr>
              <w:spacing w:after="0"/>
              <w:rPr>
                <w:sz w:val="9"/>
                <w:szCs w:val="9"/>
                <w:color w:val="auto"/>
              </w:rPr>
            </w:pPr>
          </w:p>
        </w:tc>
        <w:tc>
          <w:tcPr>
            <w:tcW w:w="4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333-173911</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5/4/2011</w:t>
            </w: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2008 Stock Plan</w:t>
            </w:r>
          </w:p>
        </w:tc>
        <w:tc>
          <w:tcPr>
            <w:tcW w:w="4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7,386,846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2011 Equity Incentive Plan</w:t>
            </w:r>
          </w:p>
        </w:tc>
        <w:tc>
          <w:tcPr>
            <w:tcW w:w="4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1,828,076</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Registrant is filing this Post-Effective Amendment to the Registration Statements to withdraw and remove any unissued and unsold securities issuable by the Registrant pursuant to the Registration Statements.</w:t>
      </w:r>
    </w:p>
    <w:p>
      <w:pPr>
        <w:spacing w:after="0" w:line="166" w:lineRule="exact"/>
        <w:rPr>
          <w:sz w:val="20"/>
          <w:szCs w:val="20"/>
          <w:color w:val="auto"/>
        </w:rPr>
      </w:pPr>
    </w:p>
    <w:p>
      <w:pPr>
        <w:ind w:right="60" w:firstLine="456"/>
        <w:spacing w:after="0" w:line="261" w:lineRule="auto"/>
        <w:rPr>
          <w:sz w:val="20"/>
          <w:szCs w:val="20"/>
          <w:color w:val="auto"/>
        </w:rPr>
      </w:pPr>
      <w:r>
        <w:rPr>
          <w:rFonts w:ascii="Arial" w:cs="Arial" w:eastAsia="Arial" w:hAnsi="Arial"/>
          <w:sz w:val="18"/>
          <w:szCs w:val="18"/>
          <w:color w:val="auto"/>
        </w:rPr>
        <w:t>Pursuant to the Agreement and Plan of Merger, dated April 30, 2018 (the “</w:t>
      </w:r>
      <w:r>
        <w:rPr>
          <w:rFonts w:ascii="Arial" w:cs="Arial" w:eastAsia="Arial" w:hAnsi="Arial"/>
          <w:sz w:val="18"/>
          <w:szCs w:val="18"/>
          <w:b w:val="1"/>
          <w:bCs w:val="1"/>
          <w:color w:val="auto"/>
        </w:rPr>
        <w:t>Merger Agreement</w:t>
      </w:r>
      <w:r>
        <w:rPr>
          <w:rFonts w:ascii="Arial" w:cs="Arial" w:eastAsia="Arial" w:hAnsi="Arial"/>
          <w:sz w:val="18"/>
          <w:szCs w:val="18"/>
          <w:color w:val="auto"/>
        </w:rPr>
        <w:t>”), by and among the Registrant, Riptide Parent, LLC, a Delaware limited liability company (“</w:t>
      </w:r>
      <w:r>
        <w:rPr>
          <w:rFonts w:ascii="Arial" w:cs="Arial" w:eastAsia="Arial" w:hAnsi="Arial"/>
          <w:sz w:val="18"/>
          <w:szCs w:val="18"/>
          <w:b w:val="1"/>
          <w:bCs w:val="1"/>
          <w:color w:val="auto"/>
        </w:rPr>
        <w:t>Parent</w:t>
      </w:r>
      <w:r>
        <w:rPr>
          <w:rFonts w:ascii="Arial" w:cs="Arial" w:eastAsia="Arial" w:hAnsi="Arial"/>
          <w:sz w:val="18"/>
          <w:szCs w:val="18"/>
          <w:color w:val="auto"/>
        </w:rPr>
        <w:t>”), and Riptide Purchaser, Inc., a Delaware corporation and a wholly owned subsidiary of Parent (“</w:t>
      </w:r>
      <w:r>
        <w:rPr>
          <w:rFonts w:ascii="Arial" w:cs="Arial" w:eastAsia="Arial" w:hAnsi="Arial"/>
          <w:sz w:val="18"/>
          <w:szCs w:val="18"/>
          <w:b w:val="1"/>
          <w:bCs w:val="1"/>
          <w:color w:val="auto"/>
        </w:rPr>
        <w:t>Purchaser</w:t>
      </w:r>
      <w:r>
        <w:rPr>
          <w:rFonts w:ascii="Arial" w:cs="Arial" w:eastAsia="Arial" w:hAnsi="Arial"/>
          <w:sz w:val="18"/>
          <w:szCs w:val="18"/>
          <w:color w:val="auto"/>
        </w:rPr>
        <w:t>”), on June 19, 2018, Purchaser merged with and into the Registrant, with the Registrant surviving the merger as a wholly owned subsidiary of Parent (the “</w:t>
      </w:r>
      <w:r>
        <w:rPr>
          <w:rFonts w:ascii="Arial" w:cs="Arial" w:eastAsia="Arial" w:hAnsi="Arial"/>
          <w:sz w:val="18"/>
          <w:szCs w:val="18"/>
          <w:b w:val="1"/>
          <w:bCs w:val="1"/>
          <w:color w:val="auto"/>
        </w:rPr>
        <w:t>Merger</w:t>
      </w:r>
      <w:r>
        <w:rPr>
          <w:rFonts w:ascii="Arial" w:cs="Arial" w:eastAsia="Arial" w:hAnsi="Arial"/>
          <w:sz w:val="18"/>
          <w:szCs w:val="18"/>
          <w:color w:val="auto"/>
        </w:rPr>
        <w:t>”). Parent is beneficially owned by affiliates of HGGC, LLC.</w:t>
      </w:r>
    </w:p>
    <w:p>
      <w:pPr>
        <w:spacing w:after="0" w:line="180"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The Registrant previously registered shares of the Registrant’s common stock, $0.0001 par value per share (“</w:t>
      </w:r>
      <w:r>
        <w:rPr>
          <w:rFonts w:ascii="Arial" w:cs="Arial" w:eastAsia="Arial" w:hAnsi="Arial"/>
          <w:sz w:val="17"/>
          <w:szCs w:val="17"/>
          <w:b w:val="1"/>
          <w:bCs w:val="1"/>
          <w:color w:val="auto"/>
        </w:rPr>
        <w:t>Common Stock</w:t>
      </w:r>
      <w:r>
        <w:rPr>
          <w:rFonts w:ascii="Arial" w:cs="Arial" w:eastAsia="Arial" w:hAnsi="Arial"/>
          <w:sz w:val="17"/>
          <w:szCs w:val="17"/>
          <w:color w:val="auto"/>
        </w:rPr>
        <w:t>”), under its existing registration statements under the Securities Act of 1933, as amended, including the Registration Statements, concerning shares issuable or issued under certain employee benefit and equity plans and agreements. As a result of the consummation of the Merger and the transactions contemplated by the Merger Agreement, the Registrant has terminated all offerings of its securities pursuant to the above referenced Registration Statements. As a result of the consummation of the Merger and the transactions contemplated by the Merger Agreement, and in accordance with an undertaking made by the Registrant in each of the Registration Statements to remove from registration by means of a post-effective amendment any securities which remain unsold at the termination of the offering subject to the Registration Statements, the Registrant hereby removes and withdraws from registration any and all securities of the Registrant registered pursuant to the Registration Statements that remain unsold as of the date hereof. Each Registration Statement is hereby amended, as appropriate, to reflect the deregistration of such securities.</w:t>
      </w:r>
    </w:p>
    <w:p>
      <w:pPr>
        <w:sectPr>
          <w:pgSz w:w="11900" w:h="16838" w:orient="portrait"/>
          <w:cols w:equalWidth="0" w:num="1">
            <w:col w:w="11420"/>
          </w:cols>
          <w:pgMar w:left="240" w:top="270" w:right="23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as amended, and Rule 478 thereunder, the Registrant certifies that it has reasonable grounds to believe that it meets all of the requirements for filing on Form S-8 and has duly caused this Post-Effective Amendment to the Registration Statements on Form S-8 to be signed on its behalf by the undersigned, thereunto duly authorized, in the City of San Francisco, State of California, on this 19th day of June, 2018.</w:t>
      </w:r>
    </w:p>
    <w:p>
      <w:pPr>
        <w:spacing w:after="0" w:line="21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RPX CORPORATION</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Martin Roberts</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Martin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No other person is required to sign this Post-Effective Amendment to the Registration Statements in reliance on Rule 478 of the Securities Act of 1933, as amended.</w:t>
      </w:r>
    </w:p>
    <w:sectPr>
      <w:pgSz w:w="11900" w:h="16838" w:orient="portrait"/>
      <w:cols w:equalWidth="0" w:num="1">
        <w:col w:w="11380"/>
      </w:cols>
      <w:pgMar w:left="240" w:top="27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2019-12-07T21:12:04Z</dcterms:created>
  <dcterms:modified xsi:type="dcterms:W3CDTF">2019-12-07T21:12:04Z</dcterms:modified>
</cp:coreProperties>
</file>