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Arial" w:cs="Arial" w:eastAsia="Arial" w:hAnsi="Arial"/>
                <w:sz w:val="20"/>
                <w:szCs w:val="20"/>
                <w:b w:val="1"/>
                <w:bCs w:val="1"/>
                <w:color w:val="auto"/>
                <w:w w:val="89"/>
              </w:rPr>
              <w:t>Commission File Number: 001-35146</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606"/>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43"/>
                <w:szCs w:val="43"/>
                <w:b w:val="1"/>
                <w:bCs w:val="1"/>
                <w:color w:val="auto"/>
                <w:w w:val="95"/>
              </w:rPr>
              <w:t>RPX Corporation</w:t>
            </w:r>
          </w:p>
        </w:tc>
      </w:tr>
      <w:tr>
        <w:trPr>
          <w:trHeight w:val="261"/>
        </w:trPr>
        <w:tc>
          <w:tcPr>
            <w:tcW w:w="2000" w:type="dxa"/>
            <w:vAlign w:val="bottom"/>
          </w:tcPr>
          <w:p>
            <w:pPr>
              <w:spacing w:after="0"/>
              <w:rPr>
                <w:sz w:val="22"/>
                <w:szCs w:val="22"/>
                <w:color w:val="auto"/>
              </w:rPr>
            </w:pPr>
          </w:p>
        </w:tc>
        <w:tc>
          <w:tcPr>
            <w:tcW w:w="5240" w:type="dxa"/>
            <w:vAlign w:val="bottom"/>
          </w:tcPr>
          <w:p>
            <w:pPr>
              <w:jc w:val="center"/>
              <w:ind w:right="1501"/>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345"/>
        </w:trPr>
        <w:tc>
          <w:tcPr>
            <w:tcW w:w="200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center"/>
              <w:ind w:left="4001"/>
              <w:spacing w:after="0"/>
              <w:rPr>
                <w:sz w:val="20"/>
                <w:szCs w:val="20"/>
                <w:color w:val="auto"/>
              </w:rPr>
            </w:pPr>
            <w:r>
              <w:rPr>
                <w:rFonts w:ascii="Arial" w:cs="Arial" w:eastAsia="Arial" w:hAnsi="Arial"/>
                <w:sz w:val="18"/>
                <w:szCs w:val="18"/>
                <w:b w:val="1"/>
                <w:bCs w:val="1"/>
                <w:color w:val="auto"/>
                <w:w w:val="89"/>
              </w:rPr>
              <w:t>26-2990113</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40" w:type="dxa"/>
            <w:vAlign w:val="bottom"/>
          </w:tcPr>
          <w:p>
            <w:pPr>
              <w:jc w:val="center"/>
              <w:ind w:left="40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240" w:type="dxa"/>
            <w:vAlign w:val="bottom"/>
          </w:tcPr>
          <w:p>
            <w:pPr>
              <w:jc w:val="center"/>
              <w:ind w:left="40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000" w:type="dxa"/>
            <w:vAlign w:val="bottom"/>
          </w:tcPr>
          <w:p>
            <w:pPr>
              <w:spacing w:after="0"/>
              <w:rPr>
                <w:sz w:val="24"/>
                <w:szCs w:val="24"/>
                <w:color w:val="auto"/>
              </w:rPr>
            </w:pPr>
          </w:p>
        </w:tc>
        <w:tc>
          <w:tcPr>
            <w:tcW w:w="5240" w:type="dxa"/>
            <w:vAlign w:val="bottom"/>
          </w:tcPr>
          <w:p>
            <w:pPr>
              <w:jc w:val="center"/>
              <w:ind w:right="1501"/>
              <w:spacing w:after="0"/>
              <w:rPr>
                <w:sz w:val="20"/>
                <w:szCs w:val="20"/>
                <w:color w:val="auto"/>
              </w:rPr>
            </w:pPr>
            <w:r>
              <w:rPr>
                <w:rFonts w:ascii="Arial" w:cs="Arial" w:eastAsia="Arial" w:hAnsi="Arial"/>
                <w:sz w:val="18"/>
                <w:szCs w:val="18"/>
                <w:b w:val="1"/>
                <w:bCs w:val="1"/>
                <w:color w:val="auto"/>
              </w:rPr>
              <w:t>ONE MARKET PLAZA SUITE 800</w:t>
            </w:r>
          </w:p>
        </w:tc>
      </w:tr>
      <w:tr>
        <w:trPr>
          <w:trHeight w:val="212"/>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Arial" w:cs="Arial" w:eastAsia="Arial" w:hAnsi="Arial"/>
                <w:sz w:val="18"/>
                <w:szCs w:val="18"/>
                <w:b w:val="1"/>
                <w:bCs w:val="1"/>
                <w:color w:val="auto"/>
                <w:w w:val="98"/>
              </w:rPr>
              <w:t>SAN FRANCISCO, CALIFORNIA 94105</w:t>
            </w:r>
          </w:p>
        </w:tc>
      </w:tr>
      <w:tr>
        <w:trPr>
          <w:trHeight w:val="186"/>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080" w:space="720"/>
            <w:col w:w="5100" w:space="720"/>
            <w:col w:w="1760" w:space="720"/>
            <w:col w:w="280"/>
          </w:cols>
          <w:pgMar w:left="240" w:top="233"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4920" w:space="720"/>
            <w:col w:w="1760" w:space="720"/>
            <w:col w:w="280"/>
          </w:cols>
          <w:pgMar w:left="240" w:top="233"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59" w:lineRule="exact"/>
        <w:rPr>
          <w:sz w:val="24"/>
          <w:szCs w:val="24"/>
          <w:color w:val="auto"/>
        </w:rPr>
      </w:pPr>
    </w:p>
    <w:p>
      <w:pPr>
        <w:sectPr>
          <w:pgSz w:w="11900" w:h="16838" w:orient="portrait"/>
          <w:cols w:equalWidth="0" w:num="4">
            <w:col w:w="7380" w:space="140"/>
            <w:col w:w="320" w:space="80"/>
            <w:col w:w="14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53,720,314 shares of the registrant’s common stock issued and outstanding as of July 31, 2014.</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2014 and December 31, 2013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Operations for the Three and Six Months Ended June 30, 2014 and 2013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and Six Months Ended June 30, 2014 and 2013</w:t>
              </w:r>
            </w:hyperlink>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2014 and 2013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4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38">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rPr>
              <w:t>PART I. FINANCIAL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5"/>
              </w:rPr>
              <w:t>RPX Corporation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8"/>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100,155</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190,567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38,477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10,546</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3,817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343,926</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235,501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219,954</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4,667</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1,718</w:t>
            </w: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1,454</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r>
      <w:tr>
        <w:trPr>
          <w:trHeight w:val="297"/>
        </w:trPr>
        <w:tc>
          <w:tcPr>
            <w:tcW w:w="37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614,366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588,801</w:t>
            </w:r>
          </w:p>
        </w:tc>
      </w:tr>
      <w:tr>
        <w:trPr>
          <w:trHeight w:val="217"/>
        </w:trPr>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8,784</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129,009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131,808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143,062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5,935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3,227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163,878</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305,343</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119,527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454,688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424,923</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614,366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588,801</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31,542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available to common stockholders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3"/>
              </w:rPr>
              <w:t>Weighted-average shares used in computing net income available to</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common stockholders per common share: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53,203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54,776</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53,463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54,622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53,055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9,399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Less: reclassification adjustment for (gains) losses included in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09"/>
        </w:trPr>
        <w:tc>
          <w:tcPr>
            <w:tcW w:w="5160" w:type="dxa"/>
            <w:vAlign w:val="bottom"/>
          </w:tcPr>
          <w:p>
            <w:pPr>
              <w:ind w:left="180"/>
              <w:spacing w:after="0"/>
              <w:rPr>
                <w:sz w:val="20"/>
                <w:szCs w:val="20"/>
                <w:color w:val="auto"/>
              </w:rPr>
            </w:pPr>
            <w:r>
              <w:rPr>
                <w:rFonts w:ascii="Arial" w:cs="Arial" w:eastAsia="Arial" w:hAnsi="Arial"/>
                <w:sz w:val="18"/>
                <w:szCs w:val="18"/>
                <w:color w:val="auto"/>
                <w:w w:val="92"/>
              </w:rPr>
              <w:t>Net unrealized gains (losses) on available-for-sale securities, net of</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tax</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9,398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25,450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sale of patent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premium on investments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123,379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investments classified as available-for-sale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of investments classified as available-for-sale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Decrease in restricted cash</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 of patent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patent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(102,475)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 related to net-share settlements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73,638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118,589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99,278</w:t>
            </w:r>
          </w:p>
        </w:tc>
      </w:tr>
      <w:tr>
        <w:trPr>
          <w:trHeight w:val="311"/>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other assets purchased and accrued but not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Unpaid cash consideration for business acquisition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some portion of the underwriting risk on insurance policies that the Company issues on behalf of a Lloyd’s of London underwriting syndicate. The Company began placing new policies under the reinsurance model in May 2014. As of, and for the three and six months ended June 30, 2014, the effect of the insurance policies that the Company has issued or assumed through our reinsurance business was not material to the Company’s results of operations, financial condition or cash flows.</w:t>
      </w:r>
    </w:p>
    <w:p>
      <w:pPr>
        <w:spacing w:after="0" w:line="15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accompanying condensed consolidated balance sheet as of June 30, 2014, the condensed consolidated statements of operations and the condensed consolidated statements of comprehensive income for the three and six months ended June 30, 2014 and 2013, and the condensed consolidated statements of cash flows for the six months ended June 30, 2014 and 2013, are unaudited. The condensed consolidated balance sheet as of December 31, 2013 was derived from the audited consolidated financial statements which are included in the Company’s Form 10-K for the fiscal year ended December 31, 2013, which was filed with the U.S. Securities and Exchange Commission (“SEC”) on March 10, 2014. The unaudited condensed consolidated financial statements should be read in conjunction with the audited financial statements and accompanying notes included in the Company’s Annual Report on Form 10-K for the year ended December 31, 2013.</w:t>
      </w:r>
    </w:p>
    <w:p>
      <w:pPr>
        <w:spacing w:after="0" w:line="18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and six months ended June 30, 2014 are not necessarily indicative of the results that may be expected for any subsequent interim period or for the year ending December 31, 2014.</w:t>
      </w:r>
    </w:p>
    <w:p>
      <w:pPr>
        <w:spacing w:after="0" w:line="193" w:lineRule="exact"/>
        <w:rPr>
          <w:sz w:val="20"/>
          <w:szCs w:val="20"/>
          <w:color w:val="auto"/>
        </w:rPr>
      </w:pPr>
    </w:p>
    <w:p>
      <w:pPr>
        <w:ind w:right="400" w:firstLine="486"/>
        <w:spacing w:after="0" w:line="312" w:lineRule="auto"/>
        <w:rPr>
          <w:sz w:val="20"/>
          <w:szCs w:val="20"/>
          <w:color w:val="auto"/>
        </w:rPr>
      </w:pPr>
      <w:r>
        <w:rPr>
          <w:rFonts w:ascii="Arial" w:cs="Arial" w:eastAsia="Arial" w:hAnsi="Arial"/>
          <w:sz w:val="16"/>
          <w:szCs w:val="16"/>
          <w:color w:val="auto"/>
        </w:rPr>
        <w:t>There have been no material changes to the Company’s significant accounting policies during the three and six months ended June 30, 2014,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March 10, 2014.</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77"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2014-12, </w:t>
      </w:r>
      <w:r>
        <w:rPr>
          <w:rFonts w:ascii="Arial" w:cs="Arial" w:eastAsia="Arial" w:hAnsi="Arial"/>
          <w:sz w:val="16"/>
          <w:szCs w:val="16"/>
          <w:i w:val="1"/>
          <w:iCs w:val="1"/>
          <w:color w:val="auto"/>
        </w:rPr>
        <w:t xml:space="preserve">Accounting for Share-Based Payments When the Terms of an Award Provide That a Performance Target Could Be Achieved after the Requisite Service Period </w:t>
      </w:r>
      <w:r>
        <w:rPr>
          <w:rFonts w:ascii="Arial" w:cs="Arial" w:eastAsia="Arial" w:hAnsi="Arial"/>
          <w:sz w:val="16"/>
          <w:szCs w:val="16"/>
          <w:color w:val="auto"/>
        </w:rPr>
        <w:t>(“ASU 2014-12”),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amends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in the Accounting Standards Codification (“ASC”). ASU 2014-12 requires that a performance target that affects vesting and that could be achieved after the requisite service period be treated as a performance condition. A reporting entity should apply existing guidance in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as it relates to awards with performance conditions that affect vesting to account for such awards. The amendments in ASU 2014-12 will be effective for annual and interim periods beginning after December 15, 2015 and early adoption is permitted. The adoption of ASU 2014-12 is not expected to have a material impact on the Company’s consolidated financial statements.</w:t>
      </w:r>
    </w:p>
    <w:p>
      <w:pPr>
        <w:spacing w:after="0" w:line="16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The Company is currently evaluating the impact of the adoption of ASU 2014-12 on its consolidated financial statements.</w:t>
      </w:r>
    </w:p>
    <w:p>
      <w:pPr>
        <w:spacing w:after="0" w:line="193"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w:t>
      </w:r>
      <w:r>
        <w:rPr>
          <w:rFonts w:ascii="Arial" w:cs="Arial" w:eastAsia="Arial" w:hAnsi="Arial"/>
          <w:sz w:val="16"/>
          <w:szCs w:val="16"/>
          <w:color w:val="auto"/>
        </w:rPr>
        <w:t xml:space="preserve"> (“ASU 2014-08”), which amends the requirements for reporting discontinued operations and enhances disclosure requirements. The amendments in ASU 2014-08 will be effective for all disposals (or classifications as held for sale) of components of an entity beginning on or after December 15, 2014 and early adoption is permitted. The adoption of ASU 2014-08 is not expected to have a material impact on the Company’s consolidated financial statements.</w:t>
      </w:r>
    </w:p>
    <w:p>
      <w:pPr>
        <w:spacing w:after="0" w:line="11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81" w:lineRule="exact"/>
        <w:rPr>
          <w:sz w:val="20"/>
          <w:szCs w:val="20"/>
          <w:color w:val="auto"/>
        </w:rPr>
      </w:pPr>
    </w:p>
    <w:p>
      <w:pPr>
        <w:ind w:right="800" w:firstLine="446"/>
        <w:spacing w:after="0" w:line="308" w:lineRule="auto"/>
        <w:rPr>
          <w:sz w:val="20"/>
          <w:szCs w:val="20"/>
          <w:color w:val="auto"/>
        </w:rPr>
      </w:pPr>
      <w:r>
        <w:rPr>
          <w:rFonts w:ascii="Arial" w:cs="Arial" w:eastAsia="Arial" w:hAnsi="Arial"/>
          <w:sz w:val="17"/>
          <w:szCs w:val="17"/>
          <w:color w:val="auto"/>
        </w:rPr>
        <w:t>Basic and diluted net income per share available to common stockholders are presented in conformity with the two-class method required for participating securities. The holders of restricted common stock are entitled to receive non-forfeitable dividends if declared.</w:t>
      </w:r>
    </w:p>
    <w:p>
      <w:pPr>
        <w:spacing w:after="0" w:line="14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between common and restricted common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calculation of basic and diluted net income per share available to common stockholders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9,399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9,399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25,370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Weighted-average shares used in computing basic net income</w:t>
            </w:r>
          </w:p>
        </w:tc>
        <w:tc>
          <w:tcPr>
            <w:tcW w:w="3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53,203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51,489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 to common stockholders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Weighted-average shares used in computing basic net income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 to common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53,203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51,489</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treasury-stock method</w:t>
            </w: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Weighted-average shares used in computing diluted net income</w:t>
            </w:r>
          </w:p>
        </w:tc>
        <w:tc>
          <w:tcPr>
            <w:tcW w:w="3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54,776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53,463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54,622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53,055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 to common stockholders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6"/>
              </w:rPr>
              <w:t>Net income per common share available to common stockholders: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06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60" w:type="dxa"/>
            <w:vAlign w:val="bottom"/>
            <w:gridSpan w:val="2"/>
          </w:tcPr>
          <w:p>
            <w:pPr>
              <w:ind w:left="5740"/>
              <w:spacing w:after="0"/>
              <w:rPr>
                <w:sz w:val="20"/>
                <w:szCs w:val="20"/>
                <w:color w:val="auto"/>
              </w:rPr>
            </w:pPr>
            <w:r>
              <w:rPr>
                <w:rFonts w:ascii="Arial" w:cs="Arial" w:eastAsia="Arial" w:hAnsi="Arial"/>
                <w:sz w:val="16"/>
                <w:szCs w:val="16"/>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1,586</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45</w:t>
            </w:r>
          </w:p>
        </w:tc>
      </w:tr>
    </w:tbl>
    <w:p>
      <w:pPr>
        <w:spacing w:after="0" w:line="18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the Company’s financial assets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2014</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20"/>
                <w:szCs w:val="20"/>
                <w:color w:val="auto"/>
              </w:rPr>
            </w:pP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31,499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31,499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5,477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Short-term investments: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152,969</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152,969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11,243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198,965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198,965</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34,498</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34,498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146,100</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146,100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190,567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190,567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As of June 30, 2014 and December 31, 2013, the Company did not use Level 3 inputs to measure financial assets or liabilities at fair value.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82"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the Company’s investments in available-for-sale securities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right"/>
              <w:ind w:right="553"/>
              <w:spacing w:after="0"/>
              <w:rPr>
                <w:sz w:val="20"/>
                <w:szCs w:val="20"/>
                <w:color w:val="auto"/>
              </w:rPr>
            </w:pPr>
            <w:r>
              <w:rPr>
                <w:rFonts w:ascii="Arial" w:cs="Arial" w:eastAsia="Arial" w:hAnsi="Arial"/>
                <w:sz w:val="16"/>
                <w:szCs w:val="16"/>
                <w:b w:val="1"/>
                <w:bCs w:val="1"/>
                <w:color w:val="auto"/>
              </w:rPr>
              <w:t>June 30, 2014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152,969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27,771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27,743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198,965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rPr>
              <w:t>December 31, 2013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Arial" w:cs="Arial" w:eastAsia="Arial" w:hAnsi="Arial"/>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Gains</w:t>
            </w:r>
          </w:p>
        </w:tc>
        <w:tc>
          <w:tcPr>
            <w:tcW w:w="1060" w:type="dxa"/>
            <w:vAlign w:val="bottom"/>
          </w:tcPr>
          <w:p>
            <w:pPr>
              <w:jc w:val="right"/>
              <w:ind w:right="13"/>
              <w:spacing w:after="0"/>
              <w:rPr>
                <w:sz w:val="20"/>
                <w:szCs w:val="20"/>
                <w:color w:val="auto"/>
              </w:rPr>
            </w:pPr>
            <w:r>
              <w:rPr>
                <w:rFonts w:ascii="Arial" w:cs="Arial" w:eastAsia="Arial" w:hAnsi="Arial"/>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31,597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31,597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190,567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Realized gains and losses on available-for-sale securities are included in other income, net in the Company’s condensed consolidated statements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remaining maturity of the Company’s investment portfolio was less than one year as of June 30, 2014 and December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no individual securities incurred continuous unrealized losses for greater than 12 months.</w:t>
      </w:r>
    </w:p>
    <w:p>
      <w:pPr>
        <w:spacing w:after="0" w:line="16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tcPr>
          <w:p>
            <w:pPr>
              <w:jc w:val="right"/>
              <w:ind w:right="433"/>
              <w:spacing w:after="0"/>
              <w:rPr>
                <w:sz w:val="20"/>
                <w:szCs w:val="20"/>
                <w:color w:val="auto"/>
              </w:rPr>
            </w:pPr>
            <w:r>
              <w:rPr>
                <w:rFonts w:ascii="Arial" w:cs="Arial" w:eastAsia="Arial" w:hAnsi="Arial"/>
                <w:sz w:val="16"/>
                <w:szCs w:val="16"/>
                <w:b w:val="1"/>
                <w:bCs w:val="1"/>
                <w:color w:val="auto"/>
              </w:rPr>
              <w:t>Disposals</w:t>
            </w: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529,526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602,701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(367,200)</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219,954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235,501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June 30, 2014, the estimated economic useful lives of the Company’s patent assets generally ranged from 24 to 60 months. As of June 30, 2014, the weighted-average estimated economic useful life at the time of acquisition of all patents acquired since the Company’s inception was 46 months.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9940" w:type="dxa"/>
            <w:vAlign w:val="bottom"/>
            <w:gridSpan w:val="2"/>
          </w:tcPr>
          <w:p>
            <w:pPr>
              <w:ind w:left="460"/>
              <w:spacing w:after="0"/>
              <w:rPr>
                <w:sz w:val="20"/>
                <w:szCs w:val="20"/>
                <w:color w:val="auto"/>
              </w:rPr>
            </w:pPr>
            <w:r>
              <w:rPr>
                <w:rFonts w:ascii="Arial" w:cs="Arial" w:eastAsia="Arial" w:hAnsi="Arial"/>
                <w:sz w:val="18"/>
                <w:szCs w:val="18"/>
                <w:color w:val="auto"/>
              </w:rPr>
              <w:t>As of June 30, 2014, the Company expects amortization expense in future periods to be as follows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56,211</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2015</w:t>
            </w:r>
          </w:p>
        </w:tc>
        <w:tc>
          <w:tcPr>
            <w:tcW w:w="8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90,442</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61,538</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2017</w:t>
            </w:r>
          </w:p>
        </w:tc>
        <w:tc>
          <w:tcPr>
            <w:tcW w:w="8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22,106</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235,501</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Amortization expense was $30.1 million and $23.7 million for the three months ended June 30, 2014 and 2013, respectively, and $57.7 million and $46.3 million for the six months ended June 30, 2014 and 2013, respectively.</w:t>
      </w:r>
    </w:p>
    <w:p>
      <w:pPr>
        <w:spacing w:after="0" w:line="12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4,198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4,667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Depreciation and amortization expense was $0.5 million and $0.4 million for the three months ended June 30, 2014 and 2013, respectively, and $1.0 million and $0.8 million for the six months ended June 30, 2014 and 2013, respectively. Stock-based compensation capitalized as part of the cost of internal-use software was $0.1 million and nil for the three months ended June 30, 2014 and 2013, respectively, and $0.1 million and nil for the six months ended June 30, 2014 and 2013, respectively.</w:t>
      </w:r>
    </w:p>
    <w:p>
      <w:pPr>
        <w:spacing w:after="0" w:line="14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June 19, 2014, the Company completed its acquisition of all of the issued and outstanding membership interests in DCML Services Corporation (“DCML”), a provider of data, intelligence and consulting on NPEs (operating under the trade name PatentFreedom). The final purchase price for DCML was approximately $6.2 million, consisting of $3.0 million in cash and 182,408 shares of the Company’s common stock. The fair value of the equity component of the final purchase price of $3.2 million was determined for accounting purposes based on the fair value of the Company’s common stock on the closing date of the acquisition. As of June 30, 2014, the Company has paid $2.5 million of the cash consideration. The shares of common stock were issued in July 2014 and are restricted pursuant to the terms of the agreement. The Company has preliminarily recorded $3.3 million of intangible assets which includes covenant not to compete, proprietary data and customer relationships, $1.1 million in net deferred tax liabilities, $0.5 million in net tangible assets, and $3.5 million of residual goodwill. As additional information becomes available, such as finalization of certain valuations of acquired assets and tax related matters, the Company may revise its preliminary purchase price allocation. The goodwill recorded pertains to the cost benefits and operational synergies realized by integrating DCML’s data with the Company’s proprietary database that cross-references all patent, litigation and entity information. Acquisition-related costs of $0.1 million were expensed as incurred and included in the Company's selling, general and administrative expenses. The Company has included the financial results of DCML in its consolidated financial statements from the acquisition date and the results are not individually material to its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9780" w:type="dxa"/>
            <w:vAlign w:val="bottom"/>
          </w:tcPr>
          <w:p>
            <w:pPr>
              <w:ind w:left="340"/>
              <w:spacing w:after="0"/>
              <w:rPr>
                <w:sz w:val="20"/>
                <w:szCs w:val="20"/>
                <w:color w:val="auto"/>
              </w:rPr>
            </w:pPr>
            <w:r>
              <w:rPr>
                <w:rFonts w:ascii="Arial" w:cs="Arial" w:eastAsia="Arial" w:hAnsi="Arial"/>
                <w:sz w:val="18"/>
                <w:szCs w:val="18"/>
                <w:b w:val="1"/>
                <w:bCs w:val="1"/>
                <w:color w:val="auto"/>
              </w:rPr>
              <w:t>Goodwill</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160" w:type="dxa"/>
            <w:vAlign w:val="bottom"/>
          </w:tcPr>
          <w:p>
            <w:pPr>
              <w:spacing w:after="0"/>
              <w:rPr>
                <w:sz w:val="24"/>
                <w:szCs w:val="24"/>
                <w:color w:val="auto"/>
              </w:rPr>
            </w:pPr>
          </w:p>
        </w:tc>
        <w:tc>
          <w:tcPr>
            <w:tcW w:w="9780" w:type="dxa"/>
            <w:vAlign w:val="bottom"/>
          </w:tcPr>
          <w:p>
            <w:pPr>
              <w:ind w:left="300"/>
              <w:spacing w:after="0"/>
              <w:rPr>
                <w:sz w:val="20"/>
                <w:szCs w:val="20"/>
                <w:color w:val="auto"/>
              </w:rPr>
            </w:pPr>
            <w:r>
              <w:rPr>
                <w:rFonts w:ascii="Arial" w:cs="Arial" w:eastAsia="Arial" w:hAnsi="Arial"/>
                <w:sz w:val="18"/>
                <w:szCs w:val="18"/>
                <w:color w:val="auto"/>
              </w:rPr>
              <w:t>The changes in the carrying amounts of goodwill were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994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16,460</w:t>
            </w:r>
          </w:p>
        </w:tc>
      </w:tr>
      <w:tr>
        <w:trPr>
          <w:trHeight w:val="243"/>
        </w:trPr>
        <w:tc>
          <w:tcPr>
            <w:tcW w:w="160" w:type="dxa"/>
            <w:vAlign w:val="bottom"/>
          </w:tcPr>
          <w:p>
            <w:pPr>
              <w:spacing w:after="0"/>
              <w:rPr>
                <w:sz w:val="21"/>
                <w:szCs w:val="21"/>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Goodwill from business acquisition</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3,518</w:t>
            </w:r>
          </w:p>
        </w:tc>
      </w:tr>
      <w:tr>
        <w:trPr>
          <w:trHeight w:val="27"/>
        </w:trPr>
        <w:tc>
          <w:tcPr>
            <w:tcW w:w="994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r>
      <w:tr>
        <w:trPr>
          <w:trHeight w:val="20"/>
        </w:trPr>
        <w:tc>
          <w:tcPr>
            <w:tcW w:w="16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08"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w:t>
        <w:tab/>
        <w:t>Intangible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December 31, 2013</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Net Carrying</w:t>
            </w: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6"/>
                <w:szCs w:val="16"/>
                <w:b w:val="1"/>
                <w:bCs w:val="1"/>
                <w:color w:val="auto"/>
                <w:w w:val="97"/>
              </w:rPr>
              <w:t>Net Carrying</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700" w:type="dxa"/>
            <w:vAlign w:val="bottom"/>
            <w:gridSpan w:val="12"/>
          </w:tcPr>
          <w:p>
            <w:pPr>
              <w:ind w:left="460"/>
              <w:spacing w:after="0"/>
              <w:rPr>
                <w:sz w:val="20"/>
                <w:szCs w:val="20"/>
                <w:color w:val="auto"/>
              </w:rPr>
            </w:pPr>
            <w:r>
              <w:rPr>
                <w:rFonts w:ascii="Arial" w:cs="Arial" w:eastAsia="Arial" w:hAnsi="Arial"/>
                <w:sz w:val="18"/>
                <w:szCs w:val="18"/>
                <w:color w:val="auto"/>
                <w:w w:val="90"/>
              </w:rPr>
              <w:t>As of June 30, 2014, the Company expects amortization expense in future periods to be as follows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(remainder)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Total estimated future amortization expense</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Amortization expense was $0.3 million and $0.4 million for the three months ended June 30, 2014 and 2013, respectively, and $0.6 million and $0.8 million for the six months ended June 30, 2014 and 2013, respectively.</w:t>
      </w:r>
    </w:p>
    <w:p>
      <w:pPr>
        <w:spacing w:after="0" w:line="12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1,993</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8,784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Consideration payable for business acquisition</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and other assets purchased but not paid</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other current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97" w:lineRule="auto"/>
        <w:tabs>
          <w:tab w:leader="none" w:pos="5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Company generally does not enter into long-term minimum purchase commitments. Its principal long-term commitments consist of obligations under operating leases for office space. There were no substantial changes to the Company’s contractual obligations or commitments during the six months ended June 30, 2014 as compared to those presented under the heading “Commitments and Contingencies” in Note 12 of the Notes to Consolidated Financial Statements in Part II, Item 8 of the Company’s Annual Report on Form 10-K filed with the SEC on March 10, 2014.</w:t>
      </w:r>
    </w:p>
    <w:p>
      <w:pPr>
        <w:spacing w:after="0" w:line="171"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Rent expense related to non-cancelable operating leases was $0.9 million and $0.8 million for the three months ended June 30, 2014 and 2013, respectively, net of sublease income of $0.2 million and nil, respectively. Rent expense related to non-cancelable operating leases was $1.8 million and $1.4 million for the six months ended June 30, 2014 and 2013, respectively, net of sublease income of $0.3 million and nil,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need to record a liability for litigation or contingencies. A liability is recorded when and if it is determined that such a liability for litigation or contingencies is both probable and reasonably estimable. No liability for litigation or contingencies was recorded as of June 30, 2014 or December 31, 2013.</w:t>
      </w:r>
    </w:p>
    <w:p>
      <w:pPr>
        <w:spacing w:after="0" w:line="1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in July 2014 continued the stay. The Company is not currently able to determine whether there is a reasonable possibility that a loss has been incurred, nor can it estimate the potential loss or range of the potential loss that may result from this litigation.</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June 30, 2014 or December 31, 2013.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In August 2012, the Company began offering insurance to cover certain costs of litigation brought against its insured clients by NPEs. As of June 30, 2014, the Company had a total of 33 active policies and had recorded a reserve of $0.9 million, net of amounts recoverable from reinsurers, for known and incurred but not reported claims that represent estimated claim costs and related expenses.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regularly reviews its loss reserves using a variety of actuarial techniques and updates them as its loss experience develops.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Shares Available</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Weighted-Average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7"/>
                <w:szCs w:val="17"/>
                <w:color w:val="auto"/>
              </w:rPr>
            </w:pPr>
          </w:p>
        </w:tc>
        <w:tc>
          <w:tcPr>
            <w:tcW w:w="1220" w:type="dxa"/>
            <w:vAlign w:val="bottom"/>
          </w:tcPr>
          <w:p>
            <w:pPr>
              <w:jc w:val="right"/>
              <w:ind w:right="23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 Grant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Arial" w:cs="Arial" w:eastAsia="Arial" w:hAnsi="Arial"/>
                <w:sz w:val="16"/>
                <w:szCs w:val="16"/>
                <w:b w:val="1"/>
                <w:bCs w:val="1"/>
                <w:color w:val="auto"/>
                <w:w w:val="95"/>
              </w:rPr>
              <w:t>Intrinsic Value</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2013</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18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Options forfeited/canceled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Restricted stock units withheld related to net-share</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restricted stock units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June 30, 2014</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28,107</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June 30, 2014</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17,678</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Vested and expected to vest - June 30, 2014</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26,785</w:t>
            </w: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 March 2014, the Company reserved an additional 1,000,000 shares of its common stock for future issuance under the 2011 Plan.</w:t>
      </w:r>
    </w:p>
    <w:p>
      <w:pPr>
        <w:spacing w:after="0" w:line="202"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The aggregate intrinsic value of stock options exercised during the three months ended June 30, 2014 and 2013 was $3.6 million and $4.7 million, respectively, and $5.3 million and $8.7 million for stock options exercised during the six months ended June 30, 2014 and 2013, respectively. The total fair value of stock options vested during the three months ended June 30, 2014 and 2013 was $1.8 million and $3.1 million, respectively, and $3.5 million and $5.3 million for stock options vested during the six months ended June 30, 2014 and 2013, respectively.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summary of restricted stock unit activity, which includes performance-based restricted stock units with a market condition (“PBRSUs”), is as follows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2013</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June 30, 2014</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46,949</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The total fair value of restricted stock units (“RSUs”) vested during the three months ended June 30, 2014 and 2013 was $5.5 million and $2.3 million, respectively, and $7.9 million and $2.7 million for RSUs vested during the six months ended June 30, 2014 and 2013, respectively.</w:t>
      </w:r>
    </w:p>
    <w:p>
      <w:pPr>
        <w:spacing w:after="0" w:line="14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six months ended June 30, 2014, the Company withheld issuing 166,020 shares of its common stock based on the value of the RSUs on their vesting dates as determined by the Company’s closing common stock price. Total payments for the employees’ minimum tax obligations to taxing authorities were $2.7 million for the six months ended June 30, 2014,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PBRSUs contain both service and market conditions that affect the quantity of awards that will vest. During the three months ended June 30, 2014 and 2013, the Company granted nil and 50,000 PBRSUs, respectively. During the six months ended June 30, 2014 and 2013, the Company granted 200,000 and 175,000 PBRSUs, respectively. The Company estimates the grant date fair value of PBRSUs using the Monte Carlo simulation model. The weighted-average assumptions used to estimate the fair value of PBRSUs and the resulting fair values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1"/>
              </w:rPr>
              <w:t>Three Months Ended June 30,</w:t>
            </w:r>
          </w:p>
        </w:tc>
        <w:tc>
          <w:tcPr>
            <w:tcW w:w="420" w:type="dxa"/>
            <w:vAlign w:val="bottom"/>
          </w:tcPr>
          <w:p>
            <w:pPr>
              <w:spacing w:after="0"/>
              <w:rPr>
                <w:sz w:val="18"/>
                <w:szCs w:val="18"/>
                <w:color w:val="auto"/>
              </w:rPr>
            </w:pPr>
          </w:p>
        </w:tc>
        <w:tc>
          <w:tcPr>
            <w:tcW w:w="318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500" w:type="dxa"/>
            <w:vAlign w:val="bottom"/>
          </w:tcPr>
          <w:p>
            <w:pPr>
              <w:ind w:left="60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2013</w:t>
            </w:r>
          </w:p>
        </w:tc>
      </w:tr>
      <w:tr>
        <w:trPr>
          <w:trHeight w:val="33"/>
        </w:trPr>
        <w:tc>
          <w:tcPr>
            <w:tcW w:w="43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0.59%</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3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6.39</w:t>
            </w:r>
          </w:p>
        </w:tc>
      </w:tr>
    </w:tbl>
    <w:p>
      <w:pPr>
        <w:spacing w:after="0" w:line="22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Stock-based compensation expense related to stock options granted to employees and directors was $1.5 million and $2.4 million for the three months ended June 30, 2014 and 2013, respectively, and $3.0 million and $4.9 million for the six months ended June 30, 2014 and 2013, respectively. Stock-based compensation expense related to RSUs granted to employees and directors was $3.4 million and $1.8 million for the three months ended June 30, 2014 and 2013, respectively, and $5.6 million and $3.0 million for the six months ended June 30, 2014 and 2013, respectively. Stock-based compensation expense related to PBRSUs granted to employees was $0.2 million for both the three months ended June 30, 2014 and 2013, respectively, and $0.4 million and $0.2 million for the six months ended June 30, 2014 and 2013, respectively.</w:t>
      </w:r>
    </w:p>
    <w:p>
      <w:pPr>
        <w:spacing w:after="0" w:line="178"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As of June 30, 2014, there was $7.2 million and $32.3 million of unrecognized compensation cost related to stock options and RSUs, including PBRSUs, respectively, which is expected to be recognized over a weighted-average period of 1.8 years and 2.9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Company periodically grants equity awards to non-employees in exchange for goods and services. No equity awards were granted to non-employees in exchange for goods and services during the three or six months ended June 30, 2014 and 2013.</w:t>
      </w:r>
    </w:p>
    <w:p>
      <w:pPr>
        <w:spacing w:after="0" w:line="170"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stock option or RSU is revalued until the award vests on the measurement date.</w:t>
      </w:r>
    </w:p>
    <w:p>
      <w:pPr>
        <w:spacing w:after="0" w:line="14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Non-employee stock-based compensation expense related to stock options was nil for both the three months ended June 30, 2014 and 2013, respectively, and nil and $0.1 million for the six months ended June 30, 2014 and 2013, respectively. Non-employee stock-based compensation expense related to RSUs was nil and $0.1 million for the three months ended June 30, 2014 and 2013, respectively, and nil and $0.2 million for the six months ended June 30, 2014 and 2013, respectively.</w:t>
      </w:r>
    </w:p>
    <w:p>
      <w:pPr>
        <w:spacing w:after="0" w:line="14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for each of the three and six months ended June 30, 2014 and 2013, respectively.</w:t>
      </w:r>
    </w:p>
    <w:p>
      <w:pPr>
        <w:spacing w:after="0" w:line="18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Company’s 2010 tax year is currently under examination by the State of California Franchise Tax Board. The Company does not expect a material impact on its condensed consolidated financial statements as a result of this examination. The 2010 through 2012 tax periods remain open to examination by the Internal Revenue Service and the 2009 through 2012 tax periods remain open to examination by most state tax authorities. For the Company’s foreign jurisdictions, the 2009 through 2012 tax years remain open to examination by their respective tax authorities.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During the three and six months ended June 30, 2014, five members of the Company’s Board of Directors also served on the boards of directors of RPX clients. During the three and six months ended June 30, 2013, four members of the Company’s Board of Directors also served on the boards of directors of RPX clients. The Company recognized subscription revenue from these clients in the amount of $2.2 million and $1.3 million for the three months ended June 30, 2014 and 2013, respectively, and $4.3 million and $2.5 million for the six months ended June 30, 2014 and 2013, respectively. As of December 31, 2013, there was $4.4 million of receivables due from these clients. There were no receivables due from these clients on June 30, 2014.</w:t>
      </w:r>
    </w:p>
    <w:p>
      <w:pPr>
        <w:spacing w:after="0" w:line="11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5"/>
              </w:rPr>
              <w:t>Three Months Ended 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4"/>
              </w:rPr>
              <w:t>Six Months Ended June 30,</w:t>
            </w:r>
          </w:p>
        </w:tc>
        <w:tc>
          <w:tcPr>
            <w:tcW w:w="980" w:type="dxa"/>
            <w:vAlign w:val="bottom"/>
          </w:tcPr>
          <w:p>
            <w:pPr>
              <w:spacing w:after="0"/>
              <w:rPr>
                <w:sz w:val="18"/>
                <w:szCs w:val="18"/>
                <w:color w:val="auto"/>
              </w:rPr>
            </w:pPr>
          </w:p>
        </w:tc>
      </w:tr>
      <w:tr>
        <w:trPr>
          <w:trHeight w:val="33"/>
        </w:trPr>
        <w:tc>
          <w:tcPr>
            <w:tcW w:w="1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980" w:type="dxa"/>
            <w:vAlign w:val="bottom"/>
          </w:tcPr>
          <w:p>
            <w:pPr>
              <w:spacing w:after="0"/>
              <w:rPr>
                <w:sz w:val="20"/>
                <w:szCs w:val="20"/>
                <w:color w:val="auto"/>
              </w:rPr>
            </w:pPr>
          </w:p>
        </w:tc>
      </w:tr>
      <w:tr>
        <w:trPr>
          <w:trHeight w:val="33"/>
        </w:trPr>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40,839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77,944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75,403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9,293</w:t>
            </w:r>
          </w:p>
        </w:tc>
        <w:tc>
          <w:tcPr>
            <w:tcW w:w="1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9,432</w:t>
            </w:r>
          </w:p>
        </w:tc>
        <w:tc>
          <w:tcPr>
            <w:tcW w:w="1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18,849</w:t>
            </w:r>
          </w:p>
        </w:tc>
        <w:tc>
          <w:tcPr>
            <w:tcW w:w="1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29,388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57"/>
        </w:trPr>
        <w:tc>
          <w:tcPr>
            <w:tcW w:w="18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64,293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57,481</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126,181</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118,675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46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March 10, 2014.</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March 10, 2014.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4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During the six months ended June 30, 2014, our revenue grew to $126.2 million from $118.7 million for the six months ended June 30, 2013. Our client count increased by 16 clients during the six months ended June 30, 2014, bringing our total client network to 184 as of June 30, 2014. At June 30, 2014, we had deferred revenue of $131.2 million.</w:t>
      </w:r>
    </w:p>
    <w:p>
      <w:pPr>
        <w:spacing w:after="0" w:line="181" w:lineRule="exact"/>
        <w:rPr>
          <w:sz w:val="20"/>
          <w:szCs w:val="20"/>
          <w:color w:val="auto"/>
        </w:rPr>
      </w:pPr>
    </w:p>
    <w:p>
      <w:pPr>
        <w:ind w:right="180" w:firstLine="446"/>
        <w:spacing w:after="0" w:line="255" w:lineRule="auto"/>
        <w:rPr>
          <w:sz w:val="20"/>
          <w:szCs w:val="20"/>
          <w:color w:val="auto"/>
        </w:rPr>
      </w:pPr>
      <w:r>
        <w:rPr>
          <w:rFonts w:ascii="Arial" w:cs="Arial" w:eastAsia="Arial" w:hAnsi="Arial"/>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six months ended June 30, 2014, we completed 29 acquisitions of patent assets and our gross and net acquisition spend totaled $77.4 million and $73.4 million, respectively. From our inception through June 30, 2014, we have completed 196 acquisitions of patent assets with gross and net acquisition spend of $833.2 million and $606.3 million, respectively.</w:t>
      </w:r>
    </w:p>
    <w:p>
      <w:pPr>
        <w:spacing w:after="0" w:line="193"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whom we historically have required to be members of our client network, to better manage and mitigate the risk of NPE patent litigation. As of June 30, 2014, we had a total of 33 active insurance policies. The effect of the insurance policies that have been issued was not material to our results of operations or financial condition for the six months ended June 30, 2014 or 2013. In connection with an evolution of the way that we will sell insurance policies, during March 2014 we formed a reinsurance company to assume some portion of the underwriting risk on insurance policies that the we issue on behalf of a Lloyd’s of London underwriting syndicate. We began issuing new policies under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reinsurance model in May 2014. As of, and for the three and six months ended June 30, 2014, the effect of the insurance policies issued under the reinsurance model was not material to our results of operations or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Subscription revenue includes membership subscription services and premiums earned from insurance policies.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revenue from insurance premiums. We had been recognizing insurance premiums as revenue, however, under the new reinsurance model we only recognize the portion ceded to us. In addition, we receive management fees for marketing, underwriting, and claims management services. Although we expect this revenue to increase as we sell more policies in the future, for the three and six months ended June 30, 2014 and 2013, revenue from insurance premiums was not material to our results of operations. We also recognize revenue from the sale of licenses and advisory fee income in connection with syndicated acquisitions, which we collectively refer to as fee-related revenue. Although we expect to continue to generate fee-related revenue, these transactions are unpredictable and vary quarter to quarter.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Cost of revenue primarily consists of amortization expense related to acquired patent assets. Acquired patent assets are capitalized and amortized ratably over their estimated useful lives which are typically derived based on the anticipated cash flows from clients and prospects that may benefit from the transaction.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also includes premiums ceded to reinsurers and loss reserves. We began to issue new policies under the reinsurance model in May 2014 and as a result we will no longer be ceding premiums.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we believe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the remaining statutory life of the underlying patents, which could result in shorter amortization periods. Recent trends suggest that amortization periods on patent assets acquired in future periods may be amortized over shorter periods than the historical weighted-average of 46 months.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2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continue to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net primarily consists of interest income earned on our cash, cash equivalents and short-term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estimates during the six months ended June 30, 2014, as compared to the critical accounting policies and estimates presented under the heading “Critical Accounting Policies and Estimates” in Part II, Item 7 of the Company’s Annual Report on Form 10-K filed with the SEC on March 10, 2014.</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77"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(“ASU”) 2014-12, </w:t>
      </w:r>
      <w:r>
        <w:rPr>
          <w:rFonts w:ascii="Arial" w:cs="Arial" w:eastAsia="Arial" w:hAnsi="Arial"/>
          <w:sz w:val="16"/>
          <w:szCs w:val="16"/>
          <w:i w:val="1"/>
          <w:iCs w:val="1"/>
          <w:color w:val="auto"/>
        </w:rPr>
        <w:t xml:space="preserve">Accounting for Share-Based Payments When the Terms of an Award Provide That a Performance Target Could Be Achieved after the Requisite Service Period </w:t>
      </w:r>
      <w:r>
        <w:rPr>
          <w:rFonts w:ascii="Arial" w:cs="Arial" w:eastAsia="Arial" w:hAnsi="Arial"/>
          <w:sz w:val="16"/>
          <w:szCs w:val="16"/>
          <w:color w:val="auto"/>
        </w:rPr>
        <w:t>(“ASU 2014-12”),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amends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in the Accounting Standards Codification (“ASC”). ASU 2014-12 requires that a performance target that affects vesting and that could be achieved after the requisite service period be treated as a performance condition. A reporting entity should apply existing guidance in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as it relates to awards with performance conditions that affect vesting to account for such awards. The amendments in ASU 2014-12 will be effective for annual and interim periods beginning after December 15, 2015 and early adoption is permitted. The adoption of ASU 2014-12 is not expected to have a material impact on our consolidated financial statements.</w:t>
      </w:r>
    </w:p>
    <w:p>
      <w:pPr>
        <w:spacing w:after="0" w:line="16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We are currently evaluating the impact of the adoption of ASU 2014-12 to our consolidated financial statements.</w:t>
      </w:r>
    </w:p>
    <w:p>
      <w:pPr>
        <w:spacing w:after="0" w:line="166"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Presentation of Financial Statements (Topic 205) and Property, Plant and Equipment (Topic 360)</w:t>
      </w:r>
      <w:r>
        <w:rPr>
          <w:rFonts w:ascii="Arial" w:cs="Arial" w:eastAsia="Arial" w:hAnsi="Arial"/>
          <w:sz w:val="16"/>
          <w:szCs w:val="16"/>
          <w:color w:val="auto"/>
        </w:rPr>
        <w:t>, (“ASU 2014-08”) which amends the requirements for reporting discontinued operations and enhances disclosure requirements. The amendments in ASU 2014-08 will be effective for all disposals (or classifications as held for sale) of components of an entity beginning on or after December 15, 2014 and early adoption is permitted. The adoption of ASU 2014-08 is not expected to have a material impact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31,542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48,364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5580"/>
              <w:spacing w:after="0"/>
              <w:rPr>
                <w:sz w:val="20"/>
                <w:szCs w:val="20"/>
                <w:color w:val="auto"/>
              </w:rPr>
            </w:pPr>
            <w:r>
              <w:rPr>
                <w:rFonts w:ascii="Arial" w:cs="Arial" w:eastAsia="Arial" w:hAnsi="Arial"/>
                <w:sz w:val="16"/>
                <w:szCs w:val="16"/>
                <w:b w:val="1"/>
                <w:bCs w:val="1"/>
                <w:color w:val="auto"/>
              </w:rPr>
              <w:t>2014</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2013</w:t>
            </w:r>
          </w:p>
        </w:tc>
      </w:tr>
      <w:tr>
        <w:trPr>
          <w:trHeight w:val="33"/>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16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revenue for the three months ended June 30, 2014 was $64.3 million compared to $57.5 million during the same period a year ago, an increase of $6.8 million, or 12%. Subscription revenue, which includes membership subscription services and premiums earned from insurance policies, for the three months ended June 30, 2014 was $64.3 million compared to $55.0 million for the three months ended June 30, 2013. The increase in subscription revenue was primarily attributable to an increase in membership fees and insurance premiums of $7.7 million from new clients who joined our network subsequent to June 30, 2013 and $1.6 million from clients who joined our network prior to June 30, 2013. This will increase or decrease over time as clients leave the network or we adjust their membership fees from the prior period. As of June 30, 2014, we had a total client network of 184 companies as compared to 157 as of June 30, 2013. Revenue for the three months ended June 30, 2013 also included fee-related revenue of $2.5 million. There was no fee-related revenue recorded during the three months ended June 30, 2014.</w:t>
      </w:r>
    </w:p>
    <w:p>
      <w:pPr>
        <w:spacing w:after="0" w:line="17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revenue for the six months ended June 30, 2014 was $126.2 million compared to $118.7 million during the same period a year ago, an increase of $7.5 million, or 6%. Subscription revenue, which includes membership subscription services and premiums earned from insurance policies, for the six months ended June 30, 2014 was $125.1 million compared to $109.0 million for the six months ended June 30, 2013. The increase in subscription revenue was primarily attributable to an increase in membership fees and insurance premiums of $12.9 million from new clients who joined our network subsequent to June 30, 2013 and $3.2 million from clients who joined our network prior to June 30, 2013. Revenue for the six months ended June 30, 2014 also included $1.1 million of fee-related revenue compared to $9.7 million in the same period in 2013.</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cost of revenue for the three months ended June 30, 2014 was $31.5 million compared to $24.7 million during the same period a year ago, an increase of $6.8 million, or 28%. The increase was primarily attributable to a $6.4 million increase in patent amortization expense as a result of an increase in our patent assets and shorter than historical amortization periods for certain patent assets acquired subsequent to June 30, 2013. Patent assets acquired during the three months ended June 30, 2014 had a weighted-average amortization period of 37 months compared with the historical weighted-average since our inception of 46 months. We also had a $0.3 million increase in expenses incurred to maintain and prosecute patents and patent applications included in our portfolio.</w:t>
      </w:r>
    </w:p>
    <w:p>
      <w:pPr>
        <w:spacing w:after="0" w:line="193"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cost of revenue for the six months ended June 30, 2014 was $60.5 million compared to $48.4 million during the same period a year ago, an increase of $12.1 million, or 25%. The increase was primarily attributable to a $11.4 million increase in patent amortization expense as a result of an increase in our patent assets, and shorter than historical amortization periods for certain patent assets acquired subsequent to June 30, 2013. We also had a $0.7 million increase in expenses incurred to maintain and prosecute patents and patent applications included in our portfolio.</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Our selling, general and administrative expenses for the three months ended June 30, 2014 were $18.6 million compared to $15.7 million during the same period a year ago, an increase of $2.8 million, or 18%. The increase was primarily due to a $2.2 million increase in personnel-related costs, including a $0.6 million increase in stock-based compensation expense, primarily attributable to increasing our headcount to 138 employees as of June 30, 2014.</w:t>
      </w:r>
    </w:p>
    <w:p>
      <w:pPr>
        <w:spacing w:after="0" w:line="14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selling, general and administrative expenses for the six months ended June 30, 2014 were $35.8 million compared to $30.2 million during the same period a year ago, an increase of $5.6 million, or 19%. The increase was primarily due to a $4.0 million increase in personnel-related costs, including a $0.7 million increase in stock-based compensation expense, primarily attributable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increasing our headcount to 138 employees as of June 30, 2014, a $0.5 million increase in legal and other professional services due to the growth of our business and a $0.4 million increase in rent expense for leasing additional office space at our San Francisco headquarters.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provision for income taxes was $5.6 million and $6.3 million for the three months ended June 30, 2014 and 2013, respectively, and $11.5 million and $14.7 million for the six months ended June 30, 2014 and 2013, respectively. Our effective tax rate, including the impact of discrete benefit items, was 37% for each of the three and six months ended June 30, 2014 and 2013,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We have financed substantially all of our operations and patent asset acquisitions through the sale of equity securities and subscription and other fees collected from our clients. As of June 30, 2014, we had $118.6 million of cash and cash equivalents and $199.0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25,640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six months ended June 30, 2014 was $100.3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$67.4 million, changes in working capital and non-current assets and liabilities of $13.7 million and net income of $19.3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primarily consisted of $59.3 million of depreciation and amortization, $8.9 million of stock-based compensation, $3.4 million of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a reduction of $2.0 million due to excess tax benefit from stock-based compensation and a $1.0 million net decrease in our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liabilities. The change in working capital and non-current assets and liabilities resulted primarily from a $26.4 million decrease in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$6.6 million decrease in deferred revenue, a $5.3 million increase in prepaid expenses and other assets and a $0.8 million decrease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and other liabilities. The decrease in accounts receivable was due to $145.1 million in cash collections, partially offset by billings to new and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of $118.7 million. The decrease in deferred revenue was due to revenue and other adjustments recognized during the period of $125.3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$118.7 million in billings to new and existing clients. The amount of deferred revenue in any given period varies with the addition of new clients,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mix of payment terms that we offer and the timing of invoicing existing clients.</w:t>
      </w:r>
    </w:p>
    <w:p>
      <w:pPr>
        <w:spacing w:after="0" w:line="21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Cash provided by operating activities for the six months ended June 30, 2013 was $123.4 million, consisting of adjustments for non-cash items totaling $55.2 million, changes in working capital and non-current assets and liabilities of $42.8 million and net income of $25.4 million. Non-cash adjustments to net income primarily consisted of $47.8 million of depreciation and amortization, $8.2 million of stock-based compensation, $3.0 million of amortization of premium on investments, a reduction of $2.0 million due to excess tax benefit from stock-based compensation and a $1.9 million net decrease in our deferred tax liabilities. The change in working capital resulted primarily from a $33.8 million decrease in other receivables representing the collection of client contributions outstanding as a result of the completion of a syndicated patent acquisition and licensing transaction and a $13.2 million increase in deferred revenue. The increase in deferred revenue was due to $122.2 million in revenue billings to new and existing clients, partially offset by revenue recognized during the period of $109.0 million.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Cash used in investing activities for the six months ended June 30, 2014 was $83.6 million, of which $73.9 million was used to acquire patent assets, $7.7 million represented net purchases of short-term marketable securities, $2.2 million was used in the acquisition of DCML Services Corporation, and $0.8 million was used to acquire property and equipment. This decrease was partially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offset by $0.9 million in proceeds from the sale of patent assets. We expect our cash used in investing activities to increase in the future as we acquire additional patent assets.</w:t>
      </w:r>
    </w:p>
    <w:p>
      <w:pPr>
        <w:spacing w:after="0" w:line="170"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Cash used in investing activities for the six months ended June 30, 2013 was $102.5 million, of which $69.6 million was used to acquire patent assets, $32.1 million represented net purchases of short-term marketable securities and $0.9 million was used to acquire property and equipment.</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Cash provided by financing activities for the six months ended June 30, 2014 was $1.7 million, of which $2.4 million was the result of proceeds from the exercise of stock options and other common stock issuances and $2.0 million was due to excess tax benefit from stock-based compensation. This increase was partially offset by $2.7 million in taxes paid related to net-share settlements of restricted stock units.</w:t>
      </w:r>
    </w:p>
    <w:p>
      <w:pPr>
        <w:spacing w:after="0" w:line="18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Cash provided by financing activities for the six months ended June 30, 2013 was $4.7 million, of which $2.7 million was the result of proceeds from the exercise of stock options and other common stock issuances and $2.0 million was due to excess tax benefit from stock-based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7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generally do not enter into long-term minimum purchase commitments. Our principal long-term commitments consist of obligations under operating leases for office space. There were no substantial changes to our contractual obligations and commitments during the six months ended June 30, 2014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March 10, 2014.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At June 30, 2014,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had cash, cash equivalents and short-term investments of $317.6 million as of June 30, 2014. Our cash balances deposited in U.S. banks are non-interest bearing and insured up to the Federal Deposit Insurance Corporation (“FDIC”) limits. Cash equivalents consist of commercial paper, municipal bonds and institutional money market funds denominated primarily in U.S. Dollars. Interest rate fluctuations affect the returns on our invested funds.</w:t>
      </w:r>
    </w:p>
    <w:p>
      <w:pPr>
        <w:spacing w:after="0" w:line="14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June 30, 2014, our short-term investments of $199.0 million were primarily invested in municipal and corporate bonds maturing between 90 days and 12 months, U.S. government and agency securities and commercial paper. As of June 30, 2014, our investments were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2014, we had not recorded an impairment related to our investments in the condensed consolidated statement of operations.</w:t>
      </w:r>
    </w:p>
    <w:p>
      <w:pPr>
        <w:spacing w:after="0" w:line="19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If overall interest rates had changed by 10% during the six months ended June 30, 2014, the fair value of our investments would not have been materially affected.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believe that inflation has not had a material impact on our results of operations for the six months ended June 30, 2014. There can be no assurance that future inflation will not have an adverse impact on our results of operations or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the Company’s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which occurred during the period covered by this Quarterly Report on Form 10-Q which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820" w:right="100" w:hanging="326"/>
        <w:spacing w:after="0" w:line="325"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7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solutions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67"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fee schedule in the future, it may be more difficult for us to attract new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70"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June 30, 2014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312" w:lineRule="auto"/>
        <w:rPr>
          <w:sz w:val="20"/>
          <w:szCs w:val="20"/>
          <w:color w:val="auto"/>
        </w:rPr>
      </w:pPr>
      <w:r>
        <w:rPr>
          <w:rFonts w:ascii="Arial" w:cs="Arial" w:eastAsia="Arial" w:hAnsi="Arial"/>
          <w:sz w:val="16"/>
          <w:szCs w:val="16"/>
          <w:color w:val="auto"/>
        </w:rPr>
        <w:t>Subscription fees are typically reset annually based on a client’s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may be affected by conditions outside of our control that impact the operating results of our clients.</w:t>
      </w:r>
    </w:p>
    <w:p>
      <w:pPr>
        <w:spacing w:after="0" w:line="147"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acquires another client, our future revenue could be reduced as a result of the application of our fee schedule to the combined entity rather than to each entity separately. Any reduction in subscription fees could harm our business and operating results.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a published fee schedule applicable to all of our clients that commence their membership while that fee schedule is in effect. Clients under such agreements are able to renew their memberships perpetually under the fee schedule in effect at the time that they became members with periodic adjustments by us only based on changes in the Consumer Price Index. This means that any increases to our fee schedule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7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patent assets we have acquired may become less valuable or obsolete before we have had the opportunity to obtain significant value from those assets.</w:t>
      </w:r>
    </w:p>
    <w:p>
      <w:pPr>
        <w:spacing w:after="0" w:line="24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2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To further one of those new solutions, in August 2012 we formed a risk retention group which issues insurance policies to cover the costs of NPE patent claims, and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we recently acquired DCML Services Corporation, a provider of data, intelligence and consulting on NPEs.</w:t>
      </w:r>
    </w:p>
    <w:p>
      <w:pPr>
        <w:spacing w:after="0" w:line="254"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six months ended June 30, 2014, our 10 highest revenue-generating clients accounted for approximately 27%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8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or as executive officers.</w:t>
      </w:r>
    </w:p>
    <w:p>
      <w:pPr>
        <w:spacing w:after="0" w:line="167"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7"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520" w:firstLine="446"/>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7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NPE insurance product.</w:t>
      </w:r>
    </w:p>
    <w:p>
      <w:pPr>
        <w:spacing w:after="0" w:line="77"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As of June 30, 2014,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8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As of June 30, 2014, some of our existing stockholders have demand and piggyback rights to require us to register with the SEC approximately 1,850,000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4"/>
              </w:rPr>
              <w:t>Amended and Restated RPX Corporation Compensation Program for Non-Employee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Directors</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200" w:space="120"/>
            <w:col w:w="510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700" w:type="dxa"/>
            <w:vAlign w:val="bottom"/>
            <w:gridSpan w:val="3"/>
          </w:tcPr>
          <w:p>
            <w:pPr>
              <w:ind w:left="1740"/>
              <w:spacing w:after="0"/>
              <w:rPr>
                <w:sz w:val="20"/>
                <w:szCs w:val="20"/>
                <w:color w:val="auto"/>
              </w:rPr>
            </w:pPr>
            <w:r>
              <w:rPr>
                <w:rFonts w:ascii="Arial" w:cs="Arial" w:eastAsia="Arial" w:hAnsi="Arial"/>
                <w:sz w:val="18"/>
                <w:szCs w:val="18"/>
                <w:color w:val="auto"/>
              </w:rPr>
              <w:t>RPX CORPORATION</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700" w:type="dxa"/>
            <w:vAlign w:val="bottom"/>
            <w:gridSpan w:val="2"/>
          </w:tcPr>
          <w:p>
            <w:pPr>
              <w:ind w:left="1740"/>
              <w:spacing w:after="0"/>
              <w:rPr>
                <w:sz w:val="20"/>
                <w:szCs w:val="20"/>
                <w:color w:val="auto"/>
              </w:rPr>
            </w:pPr>
            <w:r>
              <w:rPr>
                <w:rFonts w:ascii="Arial" w:cs="Arial" w:eastAsia="Arial" w:hAnsi="Arial"/>
                <w:sz w:val="18"/>
                <w:szCs w:val="18"/>
                <w:color w:val="auto"/>
                <w:w w:val="99"/>
              </w:rPr>
              <w:t>(Registrant)</w:t>
            </w:r>
          </w:p>
        </w:tc>
        <w:tc>
          <w:tcPr>
            <w:tcW w:w="4000" w:type="dxa"/>
            <w:vAlign w:val="bottom"/>
          </w:tcPr>
          <w:p>
            <w:pPr>
              <w:spacing w:after="0"/>
              <w:rPr>
                <w:sz w:val="23"/>
                <w:szCs w:val="23"/>
                <w:color w:val="auto"/>
              </w:rPr>
            </w:pPr>
          </w:p>
        </w:tc>
      </w:tr>
      <w:tr>
        <w:trPr>
          <w:trHeight w:val="59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6, 2014</w:t>
            </w:r>
          </w:p>
        </w:tc>
        <w:tc>
          <w:tcPr>
            <w:tcW w:w="270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00" w:type="dxa"/>
            <w:vAlign w:val="bottom"/>
          </w:tcPr>
          <w:p>
            <w:pPr>
              <w:ind w:left="80"/>
              <w:spacing w:after="0"/>
              <w:rPr>
                <w:sz w:val="20"/>
                <w:szCs w:val="20"/>
                <w:color w:val="auto"/>
              </w:rPr>
            </w:pPr>
            <w:r>
              <w:rPr>
                <w:rFonts w:ascii="Arial" w:cs="Arial" w:eastAsia="Arial" w:hAnsi="Arial"/>
                <w:sz w:val="18"/>
                <w:szCs w:val="18"/>
                <w:color w:val="auto"/>
              </w:rPr>
              <w:t>/s/ JOHN A. AMSTER</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John A. Amster</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960" w:type="dxa"/>
            <w:vAlign w:val="bottom"/>
          </w:tcPr>
          <w:p>
            <w:pPr>
              <w:ind w:left="120"/>
              <w:spacing w:after="0"/>
              <w:rPr>
                <w:sz w:val="20"/>
                <w:szCs w:val="20"/>
                <w:color w:val="auto"/>
              </w:rPr>
            </w:pPr>
            <w:r>
              <w:rPr>
                <w:rFonts w:ascii="Arial" w:cs="Arial" w:eastAsia="Arial" w:hAnsi="Arial"/>
                <w:sz w:val="18"/>
                <w:szCs w:val="18"/>
                <w:color w:val="auto"/>
              </w:rPr>
              <w:t>August 6, 2014</w:t>
            </w:r>
          </w:p>
        </w:tc>
        <w:tc>
          <w:tcPr>
            <w:tcW w:w="270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000" w:type="dxa"/>
            <w:vAlign w:val="bottom"/>
          </w:tcPr>
          <w:p>
            <w:pPr>
              <w:ind w:left="80"/>
              <w:spacing w:after="0"/>
              <w:rPr>
                <w:sz w:val="20"/>
                <w:szCs w:val="20"/>
                <w:color w:val="auto"/>
              </w:rPr>
            </w:pPr>
            <w:r>
              <w:rPr>
                <w:rFonts w:ascii="Arial" w:cs="Arial" w:eastAsia="Arial" w:hAnsi="Arial"/>
                <w:sz w:val="18"/>
                <w:szCs w:val="18"/>
                <w:color w:val="auto"/>
              </w:rPr>
              <w:t>/s/ NED D. SEGAL</w:t>
            </w:r>
          </w:p>
        </w:tc>
      </w:tr>
      <w:tr>
        <w:trPr>
          <w:trHeight w:val="27"/>
        </w:trPr>
        <w:tc>
          <w:tcPr>
            <w:tcW w:w="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Ned D. Segal</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w w:val="99"/>
              </w:rPr>
              <w:t>Senior Vice President and Chief Financial Officer</w:t>
            </w:r>
          </w:p>
        </w:tc>
      </w:tr>
      <w:tr>
        <w:trPr>
          <w:trHeight w:val="270"/>
        </w:trPr>
        <w:tc>
          <w:tcPr>
            <w:tcW w:w="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00" w:type="dxa"/>
            <w:vAlign w:val="bottom"/>
            <w:gridSpan w:val="2"/>
          </w:tcPr>
          <w:p>
            <w:pPr>
              <w:ind w:left="2120"/>
              <w:spacing w:after="0"/>
              <w:rPr>
                <w:sz w:val="20"/>
                <w:szCs w:val="20"/>
                <w:color w:val="auto"/>
              </w:rPr>
            </w:pPr>
            <w:r>
              <w:rPr>
                <w:rFonts w:ascii="Arial" w:cs="Arial" w:eastAsia="Arial" w:hAnsi="Arial"/>
                <w:sz w:val="18"/>
                <w:szCs w:val="18"/>
                <w:color w:val="auto"/>
              </w:rPr>
              <w:t>36</w:t>
            </w:r>
          </w:p>
        </w:tc>
        <w:tc>
          <w:tcPr>
            <w:tcW w:w="400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39" w:name="page40"/>
    <w:bookmarkEnd w:id="39"/>
    <w:p>
      <w:pPr>
        <w:jc w:val="center"/>
        <w:spacing w:after="0"/>
        <w:rPr>
          <w:sz w:val="20"/>
          <w:szCs w:val="20"/>
          <w:color w:val="auto"/>
        </w:rPr>
      </w:pPr>
      <w:r>
        <w:rPr>
          <w:rFonts w:ascii="Arial" w:cs="Arial" w:eastAsia="Arial" w:hAnsi="Arial"/>
          <w:sz w:val="27"/>
          <w:szCs w:val="27"/>
          <w:b w:val="1"/>
          <w:bCs w:val="1"/>
          <w:color w:val="auto"/>
        </w:rPr>
        <w:t>RPX Corporation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Compensation Program for Non-Employee Directors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May 19, 2014)</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8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Directors will not receive any cash compensation for their service on the Board of Directors (the “Board”) or Board committees.</w:t>
      </w:r>
    </w:p>
    <w:p>
      <w:pPr>
        <w:spacing w:after="0" w:line="7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reasonable expenses incurred by directors in connection with attendance at Board and Board committee meetings will be reimbursed upon submission of appropriate documentation.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p>
    <w:p>
      <w:pPr>
        <w:spacing w:after="0" w:line="80" w:lineRule="exact"/>
        <w:rPr>
          <w:rFonts w:ascii="Arial" w:cs="Arial" w:eastAsia="Arial" w:hAnsi="Arial"/>
          <w:sz w:val="18"/>
          <w:szCs w:val="18"/>
          <w:b w:val="1"/>
          <w:bCs w:val="1"/>
          <w:color w:val="auto"/>
        </w:rPr>
      </w:pPr>
    </w:p>
    <w:p>
      <w:pPr>
        <w:jc w:val="both"/>
        <w:ind w:left="1300" w:hanging="644"/>
        <w:spacing w:after="0" w:line="25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Initial award of restricted stock units (“RSUs”) with a target value of $175,000. The RSUs will vest in equal annual installments over 3 years of continuous service, with immediate full vesting in the event of a change in control of the Company. The Board or Compensation Committee will grant the RSUs under the Company’s 2011 Equity Incentive Plan (the “EIP”) to newly elected directors in conjunction with the non-employee director’s initial appointment or election to the Board. A non-employee director who previously was an employee of the Company will not receive an initial award.</w:t>
      </w:r>
    </w:p>
    <w:p>
      <w:pPr>
        <w:spacing w:after="0" w:line="39"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Annual award of RSUs with a target value determined based on Board and committee service as set forth in the table below. The RSUs will vest in full on the earlier of the one-year anniversary of the date of grant or on the date of the following year’s Annual Meeting of Stockholders, provided the director remains in continuous service through the applicable vesting date, with immediate full vesting in the event of a change in control of the Company. The Board or Compensation Committee will grant the RSUs under the EIP in conjunction with the Company’s Annual Meeting of stockholders. A non-employee director who previously was an employee is eligible for annual awards. A non-employee director who joined the Board within 12 months prior to an Annual Meeting will receive a pro-rated annual award, with the target value determined based on the number of days of Board service provided during the prior 12-month period.</w:t>
      </w:r>
    </w:p>
    <w:p>
      <w:pPr>
        <w:spacing w:after="0" w:line="200" w:lineRule="exact"/>
        <w:rPr>
          <w:sz w:val="20"/>
          <w:szCs w:val="20"/>
          <w:color w:val="auto"/>
        </w:rPr>
      </w:pPr>
    </w:p>
    <w:p>
      <w:pPr>
        <w:spacing w:after="0" w:line="313"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7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Board service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plus (as applicable):</w:t>
            </w:r>
          </w:p>
        </w:tc>
        <w:tc>
          <w:tcPr>
            <w:tcW w:w="38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243"/>
        </w:trPr>
        <w:tc>
          <w:tcPr>
            <w:tcW w:w="750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chair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22,500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Audit Committee members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chair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Compensation Committee members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Nominating &amp; Corporate Governance chair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Nominating &amp; Corporate Governance members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r>
        <w:trPr>
          <w:trHeight w:val="237"/>
        </w:trPr>
        <w:tc>
          <w:tcPr>
            <w:tcW w:w="7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Lead Independent Director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750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number of RSUs subject to each initial and annual grant will be determined by dividing the target value of a director’s grant by the then current denominator for RSUs as established from time to time by the Compensation Committee. The Compensation Committee will determine the value of the denominator at least quarterly based on the average value of the Company’s common stock for the previous quarter.</w:t>
      </w:r>
    </w:p>
    <w:p>
      <w:pPr>
        <w:spacing w:after="0" w:line="38"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RSUs will be settled by issuing shares upon vesting, unless a deferral program is adopted.</w:t>
      </w:r>
    </w:p>
    <w:p>
      <w:pPr>
        <w:sectPr>
          <w:pgSz w:w="11900" w:h="16838" w:orient="portrait"/>
          <w:cols w:equalWidth="0" w:num="1">
            <w:col w:w="11420"/>
          </w:cols>
          <w:pgMar w:left="240" w:top="80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Ned D. Segal,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2014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2014 of RPX Corporation, (the “Company”) as filed with the Securities and Exchange Commission on the date hereof (the “Report”), I, Ned D. Segal,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2014</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11"/>
    </w:lvl>
  </w:abstractNum>
  <w:abstractNum w:abstractNumId="10">
    <w:nsid w:val="62BBD95A"/>
    <w:multiLevelType w:val="hybridMultilevel"/>
    <w:lvl w:ilvl="0">
      <w:lvlJc w:val="left"/>
      <w:lvlText w:val="%1."/>
      <w:numFmt w:val="decimal"/>
      <w:start w:val="12"/>
    </w:lvl>
  </w:abstractNum>
  <w:abstractNum w:abstractNumId="11">
    <w:nsid w:val="436C6125"/>
    <w:multiLevelType w:val="hybridMultilevel"/>
    <w:lvl w:ilvl="0">
      <w:lvlJc w:val="left"/>
      <w:lvlText w:val="%1."/>
      <w:numFmt w:val="decimal"/>
      <w:start w:val="13"/>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4"/>
    </w:lvl>
  </w:abstractNum>
  <w:abstractNum w:abstractNumId="14">
    <w:nsid w:val="721DA317"/>
    <w:multiLevelType w:val="hybridMultilevel"/>
    <w:lvl w:ilvl="0">
      <w:lvlJc w:val="left"/>
      <w:lvlText w:val="%1."/>
      <w:numFmt w:val="decimal"/>
      <w:start w:val="15"/>
    </w:lvl>
  </w:abstractNum>
  <w:abstractNum w:abstractNumId="15">
    <w:nsid w:val="2443A858"/>
    <w:multiLevelType w:val="hybridMultilevel"/>
    <w:lvl w:ilvl="0">
      <w:lvlJc w:val="left"/>
      <w:lvlText w:val="%1."/>
      <w:numFmt w:val="decimal"/>
      <w:start w:val="16"/>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upperLetter"/>
      <w:start w:val="1"/>
    </w:lvl>
    <w:lvl w:ilvl="1">
      <w:lvlJc w:val="left"/>
      <w:lvlText w:val="%2."/>
      <w:numFmt w:val="decimal"/>
      <w:start w:val="1"/>
    </w:lvl>
  </w:abstractNum>
  <w:abstractNum w:abstractNumId="24">
    <w:nsid w:val="54E49EB4"/>
    <w:multiLevelType w:val="hybridMultilevel"/>
    <w:lvl w:ilvl="0">
      <w:lvlJc w:val="left"/>
      <w:lvlText w:val="%1."/>
      <w:numFmt w:val="upperLetter"/>
      <w:start w:val="3"/>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2019-12-08T00:12:57Z</dcterms:created>
  <dcterms:modified xsi:type="dcterms:W3CDTF">2019-12-08T00:12:57Z</dcterms:modified>
</cp:coreProperties>
</file>