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229235</wp:posOffset>
            </wp:positionV>
            <wp:extent cx="909320"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932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44"/>
              <w:spacing w:after="0"/>
              <w:rPr>
                <w:sz w:val="20"/>
                <w:szCs w:val="20"/>
                <w:color w:val="auto"/>
              </w:rPr>
            </w:pPr>
            <w:r>
              <w:rPr>
                <w:rFonts w:ascii="Arial" w:cs="Arial" w:eastAsia="Arial" w:hAnsi="Arial"/>
                <w:sz w:val="18"/>
                <w:szCs w:val="18"/>
                <w:b w:val="1"/>
                <w:bCs w:val="1"/>
                <w:color w:val="auto"/>
              </w:rPr>
              <w:t>26-2990113</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3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8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One Market Plaza, Suite 700,</w:t>
            </w:r>
          </w:p>
        </w:tc>
        <w:tc>
          <w:tcPr>
            <w:tcW w:w="5120" w:type="dxa"/>
            <w:vAlign w:val="bottom"/>
          </w:tcPr>
          <w:p>
            <w:pPr>
              <w:spacing w:after="0"/>
              <w:rPr>
                <w:sz w:val="24"/>
                <w:szCs w:val="24"/>
                <w:color w:val="auto"/>
              </w:rPr>
            </w:pPr>
          </w:p>
        </w:tc>
      </w:tr>
      <w:tr>
        <w:trPr>
          <w:trHeight w:val="218"/>
        </w:trPr>
        <w:tc>
          <w:tcPr>
            <w:tcW w:w="238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San Francisco, California</w:t>
            </w:r>
          </w:p>
        </w:tc>
        <w:tc>
          <w:tcPr>
            <w:tcW w:w="5120" w:type="dxa"/>
            <w:vAlign w:val="bottom"/>
          </w:tcPr>
          <w:p>
            <w:pPr>
              <w:jc w:val="right"/>
              <w:ind w:right="244"/>
              <w:spacing w:after="0"/>
              <w:rPr>
                <w:sz w:val="20"/>
                <w:szCs w:val="20"/>
                <w:color w:val="auto"/>
              </w:rPr>
            </w:pPr>
            <w:r>
              <w:rPr>
                <w:rFonts w:ascii="Arial" w:cs="Arial" w:eastAsia="Arial" w:hAnsi="Arial"/>
                <w:sz w:val="18"/>
                <w:szCs w:val="18"/>
                <w:b w:val="1"/>
                <w:bCs w:val="1"/>
                <w:color w:val="auto"/>
              </w:rPr>
              <w:t>94105</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(Zip Code)</w:t>
            </w:r>
          </w:p>
        </w:tc>
      </w:tr>
      <w:tr>
        <w:trPr>
          <w:trHeight w:val="366"/>
        </w:trPr>
        <w:tc>
          <w:tcPr>
            <w:tcW w:w="2380" w:type="dxa"/>
            <w:vAlign w:val="bottom"/>
          </w:tcPr>
          <w:p>
            <w:pPr>
              <w:spacing w:after="0"/>
              <w:rPr>
                <w:sz w:val="24"/>
                <w:szCs w:val="24"/>
                <w:color w:val="auto"/>
              </w:rPr>
            </w:pPr>
          </w:p>
        </w:tc>
        <w:tc>
          <w:tcPr>
            <w:tcW w:w="5120" w:type="dxa"/>
            <w:vAlign w:val="bottom"/>
          </w:tcPr>
          <w:p>
            <w:pPr>
              <w:jc w:val="right"/>
              <w:ind w:right="2884"/>
              <w:spacing w:after="0"/>
              <w:rPr>
                <w:sz w:val="20"/>
                <w:szCs w:val="20"/>
                <w:color w:val="auto"/>
              </w:rPr>
            </w:pPr>
            <w:r>
              <w:rPr>
                <w:rFonts w:ascii="Arial" w:cs="Arial" w:eastAsia="Arial" w:hAnsi="Arial"/>
                <w:sz w:val="18"/>
                <w:szCs w:val="18"/>
                <w:b w:val="1"/>
                <w:bCs w:val="1"/>
                <w:color w:val="auto"/>
              </w:rPr>
              <w:t>(866) 779-7641</w:t>
            </w:r>
          </w:p>
        </w:tc>
      </w:tr>
      <w:tr>
        <w:trPr>
          <w:trHeight w:val="174"/>
        </w:trPr>
        <w:tc>
          <w:tcPr>
            <w:tcW w:w="2380" w:type="dxa"/>
            <w:vAlign w:val="bottom"/>
          </w:tcPr>
          <w:p>
            <w:pPr>
              <w:spacing w:after="0"/>
              <w:rPr>
                <w:sz w:val="15"/>
                <w:szCs w:val="15"/>
                <w:color w:val="auto"/>
              </w:rPr>
            </w:pPr>
          </w:p>
        </w:tc>
        <w:tc>
          <w:tcPr>
            <w:tcW w:w="51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1"/>
              </w:rPr>
              <w:t>On August 8, 2011, 47,121,856 shares of the registrant’s common stock, $0.0001 par value, were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80" w:type="dxa"/>
            <w:vAlign w:val="bottom"/>
            <w:gridSpan w:val="4"/>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280" w:type="dxa"/>
            <w:vAlign w:val="bottom"/>
            <w:vMerge w:val="continue"/>
          </w:tcPr>
          <w:p>
            <w:pPr>
              <w:spacing w:after="0"/>
              <w:rPr>
                <w:sz w:val="16"/>
                <w:szCs w:val="16"/>
                <w:color w:val="auto"/>
              </w:rPr>
            </w:pPr>
          </w:p>
        </w:tc>
        <w:tc>
          <w:tcPr>
            <w:tcW w:w="976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280" w:type="dxa"/>
            <w:vAlign w:val="bottom"/>
          </w:tcPr>
          <w:p>
            <w:pPr>
              <w:ind w:left="440"/>
              <w:spacing w:after="0"/>
              <w:rPr>
                <w:sz w:val="20"/>
                <w:szCs w:val="20"/>
                <w:color w:val="auto"/>
              </w:rPr>
            </w:pPr>
            <w:r>
              <w:rPr>
                <w:rFonts w:ascii="Arial" w:cs="Arial" w:eastAsia="Arial" w:hAnsi="Arial"/>
                <w:sz w:val="18"/>
                <w:szCs w:val="18"/>
                <w:color w:val="auto"/>
              </w:rPr>
              <w:t>Item 1.</w:t>
            </w:r>
          </w:p>
        </w:tc>
        <w:tc>
          <w:tcPr>
            <w:tcW w:w="9760" w:type="dxa"/>
            <w:vAlign w:val="bottom"/>
            <w:gridSpan w:val="14"/>
          </w:tcPr>
          <w:p>
            <w:pPr>
              <w:spacing w:after="0"/>
              <w:rPr>
                <w:sz w:val="20"/>
                <w:szCs w:val="20"/>
                <w:color w:val="auto"/>
              </w:rPr>
            </w:pPr>
            <w:r>
              <w:rPr>
                <w:rFonts w:ascii="Arial" w:cs="Arial" w:eastAsia="Arial" w:hAnsi="Arial"/>
                <w:sz w:val="18"/>
                <w:szCs w:val="18"/>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80" w:type="dxa"/>
            <w:vAlign w:val="bottom"/>
          </w:tcPr>
          <w:p>
            <w:pPr>
              <w:spacing w:after="0"/>
              <w:rPr>
                <w:sz w:val="24"/>
                <w:szCs w:val="24"/>
                <w:color w:val="auto"/>
              </w:rPr>
            </w:pPr>
          </w:p>
        </w:tc>
        <w:tc>
          <w:tcPr>
            <w:tcW w:w="204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77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28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8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Cash Flows</w:t>
              </w:r>
            </w:hyperlink>
          </w:p>
        </w:tc>
        <w:tc>
          <w:tcPr>
            <w:tcW w:w="69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28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66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5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4.</w:t>
            </w:r>
          </w:p>
        </w:tc>
        <w:tc>
          <w:tcPr>
            <w:tcW w:w="976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80" w:type="dxa"/>
            <w:vAlign w:val="bottom"/>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84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1A.</w:t>
            </w:r>
          </w:p>
        </w:tc>
        <w:tc>
          <w:tcPr>
            <w:tcW w:w="976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4">
              <w:r>
                <w:rPr>
                  <w:rFonts w:ascii="Arial" w:cs="Arial" w:eastAsia="Arial" w:hAnsi="Arial"/>
                  <w:sz w:val="18"/>
                  <w:szCs w:val="18"/>
                  <w:color w:val="0000EE"/>
                  <w:w w:val="86"/>
                </w:rPr>
                <w:t>Unregistered Sales of Equity Securities and Use of Proceeds</w:t>
              </w:r>
            </w:hyperlink>
          </w:p>
        </w:tc>
        <w:tc>
          <w:tcPr>
            <w:tcW w:w="55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3.</w:t>
            </w:r>
          </w:p>
        </w:tc>
        <w:tc>
          <w:tcPr>
            <w:tcW w:w="976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Removed and Reserved</w:t>
              </w:r>
            </w:hyperlink>
          </w:p>
        </w:tc>
        <w:tc>
          <w:tcPr>
            <w:tcW w:w="75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0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280" w:type="dxa"/>
            <w:vAlign w:val="bottom"/>
          </w:tcPr>
          <w:p>
            <w:pPr>
              <w:ind w:left="440"/>
              <w:spacing w:after="0"/>
              <w:rPr>
                <w:sz w:val="20"/>
                <w:szCs w:val="20"/>
                <w:color w:val="auto"/>
              </w:rPr>
            </w:pPr>
            <w:r>
              <w:rPr>
                <w:rFonts w:ascii="Arial" w:cs="Arial" w:eastAsia="Arial" w:hAnsi="Arial"/>
                <w:sz w:val="18"/>
                <w:szCs w:val="18"/>
                <w:color w:val="auto"/>
              </w:rPr>
              <w:t>Item 6.</w:t>
            </w:r>
          </w:p>
        </w:tc>
        <w:tc>
          <w:tcPr>
            <w:tcW w:w="976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28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Signatures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159,393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39,304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212,974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Patent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139,844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358,193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75,599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and other obligations, 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Notes payable and other obligations, less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108,013</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Redeemable convertible preferred stock, $0.0001 par value – 10,000 and 26,230 shares authorized: 0 and 26,230 issued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w w:val="92"/>
              </w:rPr>
              <w:t>outstanding as of June 30, 2011 and December 31, 2010; aggregate liquidation preference of $0 and $64,361 as of June 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2011 and December 31, 2010, respectively.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w w:val="94"/>
              </w:rPr>
              <w:t>Common stock, $0.0001 par value – 200,000 and 60,000 shares authorized: 47,122 and 11,432 issued and 47,122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640"/>
              <w:spacing w:after="0"/>
              <w:rPr>
                <w:sz w:val="20"/>
                <w:szCs w:val="20"/>
                <w:color w:val="auto"/>
              </w:rPr>
            </w:pPr>
            <w:r>
              <w:rPr>
                <w:rFonts w:ascii="Arial" w:cs="Arial" w:eastAsia="Arial" w:hAnsi="Arial"/>
                <w:sz w:val="18"/>
                <w:szCs w:val="18"/>
                <w:color w:val="auto"/>
              </w:rPr>
              <w:t>10,944 outstanding as of June 30, 2011 and December 31, 2010, 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225,159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250,180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358,193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73,240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revenue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28,193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19,396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25,651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25,085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10,724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stockholders—basic</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Undistributed earnings re-allocated to common stockholders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stockholders—diluted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common share calculation: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28,941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14,361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Imputed interest on other obligations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Amortization of premium on investments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74,669</w:t>
            </w: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classified as available-for-sale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(40,100)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Maturities of investments classified as available-for-sale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Acquisitions of patent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(43,151)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patent assets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(86,002)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(43,158)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Repayments of principal on notes payable and other obligations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(16,404)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 initial public offering, net of issuance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157,828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143,652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112,737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159,393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40,072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Patent assets purchased or financed through notes payable or other obligations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Change in patent assets purchased and accrued but not paid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Patent assets acquired through settlement of notes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received in barter transactions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6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accompanying interim consolidated financial statements of RPX Corporation (also referred to herein as “RPX” or the “Company”) are unaudited and have been prepared in accordance with the accounting principles generally accepted in the United States of America (“US GAAP”) and with the instructions for Form 10-Q and Regulation S-X statements. Certain information and footnote disclosures normally included in financial statements prepared in accordance with US GAAP have been condensed or omitted pursuant to such rules and regulations. These unaudited consolidated financial statements should be read in conjunction with the audited consolidated financial statements and notes thereto contained in the Company’s prospectus filed with the Securities and Exchange Commission (“SEC”) on May 4, 2011. The unaudited consolidated financial statements include the accounts of RPX and its subsidiaries. All intercompany accounts and transactions have been eliminated in consolidation.</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accompanying interim consolidated financial statements have been prepared on the same basis as the annual audited consolidated financial statements and, in the opinion of management, reflect all adjustments, consisting of normal recurring adjustments, considered necessary for a fair presentation of the Company’s financial position and results of operations for the periods presented. The consolidated results of operations for any interim period are not necessarily indicative of the results to be expected for the full year or for any other future year or interim period.</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have been no significant new accounting pronouncements or changes to the critical accounting policies disclosed in the Company’s prospectus that have had a significant impact on its consolidated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Company completed its initial public offering (“IPO”) of its common stock in which the Company issued 9,065,000 common shares and received cash proceeds of $160.2 million, net of underwriting discounts and commissions. The Company incurred offering costs of $2.9 million. Prior to the IPO, substantially all of the Company’s operations and patent asset acquisitions had been financed through the private sale of equity securities, subscription fees collected from its clients and patent-seller financing.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2011 and December 31, 2010, the Company had cash and cash equivalents of $159.4 million and $46.7 million, respectively, and retained earnings of $25.0 million and $10.7 million, respectively. Management expects that it will use substantial cash in the future to acquire additional patent assets and service the obligations undertaken in connection with prior patent asset purchases. Management believes that the Company has adequate cash resources to continue its operations for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Company is subject to concentrations of credit risk principally attributable to cash and cash equivalents, investments and accounts receivable. The Company places its cash in non-interest bearing accounts at financial institutions which are insured by the Federal Deposit Insurance Corporation. Cash equivalents primarily consist of institutional money market funds and short-term investments consist of U.S. Government and Agency securities.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Credit risk with respect to accounts receivable is generally mitigated by short collection periods and/or subscription agreements that provide for payments in advance of the rendering of services. Two clients accounted for 53% and 37% of accounts receivable at June 30, 2011. Three clients accounted for 45%, 33% and 22% of accounts receivable at December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client accounted for 10% or more of subscription fee revenue for the three or six months ended June 30, 2011 and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Company holds short-term investments in marketable debt securities, consisting primarily of fixed income U.S. Government and Agency securities. The Company classifies these securities as “available-for-sale”, and carries them at fair value on the consolidated balance sheets. Any unrealized gains or losses are recorded, net of estimated taxes, in accumulated other comprehensive income, a component of stockholders’ equity. Realized gains and losses are recognized upon sale. The specific identification method is used to determine the cost basis of fixed income securities sold.</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considers its investments as available to support current operations. Consequently, the Company may not hold securities with maturities greater than twelve months until maturity. As a result, the Company classifies its investments including those with stated maturities beyond twelve months, as current assets in the accompanying consolidated balance sheets.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restricted cash of $720,000 at both June 30, 2011 and December 31, 2010 pledged under two lines of credit. See Note 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evaluates goodwill for impairment on an annual basis or whenever events and changes in circumstances suggest that the carrying amount may not be recoverable. Because the Company has one reporting unit, the Company utilizes the entity-wide approach to assess goodwill for impairment. No impairment has been recorded through June 30,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Intangible assets, net consist of intangible assets acquired from other companies as a result of acquisitions. Such assets are capitalized and amortized on a straight-line basis over the estimated useful life of the intangible assets. Intangible assets, net excludes patent related intangible assets, which are recorded within patent assets, net in the accompanying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its website development costs and the development costs related to other internal-use software, the Company capitalizes costs incurred during the application development stage, and reflects such amounts within the property and equipment, net line item on the consolidated balance sheets. Costs related to preliminary project activities, minor enhancement and maintenance and post implementation activities are expensed as incurred. Internal-use software is generally amortized on a straight-line basis over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0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the three and six months ended June 30, 2011, the Company capitalized $0.4 million and $0.6 million of software development costs, respectively. No amount was capitalized for either the three or six months ended June 30, 2010. Amortization of internal-use software was $23,000 for both the three and six months ended June 30, 2011. There was no amortization of internal-use software for either the three or six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Comprehensive income consists of net income and charges or credits to stockholders’ equity primarily related to changes in unrealized gains or losses on marketable securities, net of taxes. For the periods presented, the Company’s comprehensive net income approximates its net income, therefore no separate components of comprehensive income are provided.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 Update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(“ASU 2011-05”). ASU 2011-05 eliminates the option to present the components of other comprehensive income as part of the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equity. Instead, the Company must report comprehensive income in either a single continuous statement of comprehensive income which contains two sections, net income and other comprehensive income, or in two separate but consecutive statements. ASU 2011-05 does not change the items that must be reported in other comprehensive income or when an item of other comprehensive income must be reclassified to net income. ASU 2011-05 is effective retrospectively for fiscal years, and interim periods within those years, beginning after December 15, 2011. Early adoption is permitted. The adoption of this guidance is not expected to have material impact on the Company’s consolidated financial position, results of operations, or cash flows.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May 2011, the FASB issued ASU 2011-04, “</w:t>
      </w:r>
      <w:r>
        <w:rPr>
          <w:rFonts w:ascii="Arial" w:cs="Arial" w:eastAsia="Arial" w:hAnsi="Arial"/>
          <w:sz w:val="18"/>
          <w:szCs w:val="18"/>
          <w:i w:val="1"/>
          <w:iCs w:val="1"/>
          <w:color w:val="auto"/>
        </w:rPr>
        <w:t>Amendments to Achieve Common Fair Value Measurement and Disclosure Requirements in U.S. GAAP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IFRS” </w:t>
      </w:r>
      <w:r>
        <w:rPr>
          <w:rFonts w:ascii="Arial" w:cs="Arial" w:eastAsia="Arial" w:hAnsi="Arial"/>
          <w:sz w:val="18"/>
          <w:szCs w:val="18"/>
          <w:color w:val="auto"/>
        </w:rPr>
        <w:t>(“ASU 2011-04”). The amendments in ASU 2011-04 result in common fair value measurement and disclosure requirements in U.S. GAAP and IFRS.</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ASU 2011-04 changes the wording used to describe many of the requirements in U.S. GAAP for measuring fair value and for disclosing information about fair value measurements. For many of the requirements, the FASB does not intend for the amendments in ASU 2011-04 to result in a change in the application of the requirements in Topic 820. ASU 2011-04 is effective prospectively for interim and annual reporting periods beginning after December 15, 2011. The adoption of this guidance is not expected to have material impact on the Company’s consolidated financial position, results of operations, or cash flows.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December 2010, the FASB issued ASU 2010-29</w:t>
      </w:r>
      <w:r>
        <w:rPr>
          <w:rFonts w:ascii="Arial" w:cs="Arial" w:eastAsia="Arial" w:hAnsi="Arial"/>
          <w:sz w:val="16"/>
          <w:szCs w:val="16"/>
          <w:i w:val="1"/>
          <w:iCs w:val="1"/>
          <w:color w:val="auto"/>
        </w:rPr>
        <w:t>, “Disclosure of Supplementary Pro Forma Information for Business Combinations”</w:t>
      </w:r>
      <w:r>
        <w:rPr>
          <w:rFonts w:ascii="Arial" w:cs="Arial" w:eastAsia="Arial" w:hAnsi="Arial"/>
          <w:sz w:val="16"/>
          <w:szCs w:val="16"/>
          <w:color w:val="auto"/>
        </w:rPr>
        <w:t xml:space="preserve"> (“ASU 2010-29”). ASU 2010-29 amends and clarifies the acquisition date to be used for reporting pro forma financial disclosures when comparative financial statements are presented. In addition, it requires a description of the nature of and amount of any material, non-recurring pro forma adjustments directly attributable to the business combination. ASU 2010-29 is effective prospectively for business combinations for which the acquisition date is on or after the beginning of the first annual reporting period beginning on or after December 15, 2010. The Company adopted this amendment effective January 1, 2011. There was no impact on the Company’s consolidated financial position, results of operations, or cash flows.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December 2010, the FASB issued ASU 2010-28, </w:t>
      </w:r>
      <w:r>
        <w:rPr>
          <w:rFonts w:ascii="Arial" w:cs="Arial" w:eastAsia="Arial" w:hAnsi="Arial"/>
          <w:sz w:val="16"/>
          <w:szCs w:val="16"/>
          <w:i w:val="1"/>
          <w:iCs w:val="1"/>
          <w:color w:val="auto"/>
        </w:rPr>
        <w:t>“When to Perform Step 2 of the Goodwill Impairment Test for Reporting Units with Zero or Negative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Carrying Amounts” </w:t>
      </w:r>
      <w:r>
        <w:rPr>
          <w:rFonts w:ascii="Arial" w:cs="Arial" w:eastAsia="Arial" w:hAnsi="Arial"/>
          <w:sz w:val="16"/>
          <w:szCs w:val="16"/>
          <w:color w:val="auto"/>
        </w:rPr>
        <w:t>(“ASU 2010-28”). ASU 2010-28 modifies Step 1 of the goodwill impairment test for reporting units with zero or negative carrying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existing guidance which requires that goodwill of a reporting unit be tested for impairment between annual tests if an event occurs or circumstances change that would more likely than not reduce the fair value of a reporting unit below its carrying amount. This ASU is effective for annual and interim goodwill impairment tests performed for fiscal years beginning after December 15, 2010. The Company adopted this amendment effective January 1, 2011. There was no impact on the Company’s consolidated financial position, results of operations, or cash flows.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Business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June 1, 2011, RPX acquired substantially all of the assets of a patent research and intellectual property news provider for $3.0 million in cash. The acquisition expands RPX’s market intelligence and data analysis capabilities. The acquisition has been accounted for as a business combination. Identifiable intangible assets acquired were recorded at fair value as of the acquisition date. No cash or tangible assets were acquired and no liabilities assumed. Acquisition-related costs of $43,000 were expensed during the three months ended June 30, 2011.</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business combination accounting, the total purchase price was allocated to the acquired company’s identifiable intangible assets based on their estimated fair values as of June 1, 2011 with remainder recorded as goodwill. Approximately $1.7 million of goodwill and $1.3 million of identifiable intangible assets were allocated in connection with the acquisition. The goodwill primarily relates to cost benefits and operational synergies realized by applying the research capabilities inherent in the acquired company’s business to other data and research systems at RPX. The acquired goodwill of $1.7 million is deductible for U.S. federal income tax purposes.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RPX included the effect of the transaction in its results of operations prospectively from the date of the acquisition. Pro forma financial information for the acquisition has not been presented, as the effects were not material to RPX’s historical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Attributable to Common Stockholders</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Basic and diluted net income per share attributable to common stockholders are presented in conformity with the two-class method required for participating securities. Holders of shares of Series A, Series A-1, Series B and Series C redeemable convertible preferred stock are each entitled to receive</w:t>
      </w:r>
    </w:p>
    <w:p>
      <w:pPr>
        <w:spacing w:after="0" w:line="261" w:lineRule="auto"/>
        <w:rPr>
          <w:sz w:val="20"/>
          <w:szCs w:val="20"/>
          <w:color w:val="auto"/>
        </w:rPr>
      </w:pPr>
      <w:r>
        <w:rPr>
          <w:rFonts w:ascii="Arial" w:cs="Arial" w:eastAsia="Arial" w:hAnsi="Arial"/>
          <w:sz w:val="18"/>
          <w:szCs w:val="18"/>
          <w:color w:val="auto"/>
        </w:rPr>
        <w:t>8% per annum non-cumulative dividends, payable prior and in preference to any dividends on common stock. In addition, the holders of restricted common stock are entitled to receive non-forfeitable dividends if declared.</w:t>
      </w:r>
    </w:p>
    <w:p>
      <w:pPr>
        <w:spacing w:after="0" w:line="1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two-class method, basic net income per share attributable to common stockholders is computed by dividing the net income attributable to common stockholders by the weighted average number of shares of common stock outstanding during the period. Net income attributable to common stockholders is determined by allocating undistributed earnings, calculated as net income less current period non-cumulative dividends attributable to shares of Series A, Series A-1, Series B and Series C redeemable convertible preferred stock, among common stockholders, restricted stockholders and Series A, Series A-1, Series B and Series C redeemable convertible preferred stockholders. Diluted net income per share attributable to common stockholders is computed by using the weighted average number of shares of common stock outstanding, including potential dilutive shares of common stock, assuming the dilutive effect of outstanding stock options and unvested restricted stock units using the treasury stock method.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the calculation of basic and diluted net income per share attributable to common stockholders (in thousands, except per share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7,666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14,361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3,008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Numerator for basic calculation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Undistributed earnings re-allocated to common stockholders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Numerator for diluted calculation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4,924</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spacing w:after="0"/>
              <w:rPr>
                <w:sz w:val="20"/>
                <w:szCs w:val="20"/>
                <w:color w:val="auto"/>
              </w:rPr>
            </w:pPr>
            <w:r>
              <w:rPr>
                <w:rFonts w:ascii="Arial" w:cs="Arial" w:eastAsia="Arial" w:hAnsi="Arial"/>
                <w:sz w:val="18"/>
                <w:szCs w:val="18"/>
                <w:color w:val="auto"/>
              </w:rPr>
              <w:t>Denominator for basic calculation, weighted average number of shares of common stock</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28,941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5,495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18,141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options using treasury-stock method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1,536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Denominator for diluted calculation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33,131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7,031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21,187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Basic net income per share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per share of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22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three and six months ended June 30, 2011 and 2010, the following securities were not included in the calculation of diluted shares outstanding, as the effect would have been anti-dilutive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number of shares of redeemable convertible preferred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11,241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25,741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18,694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25,741</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Weighted average number of shares of common stock subject to repurchase</w:t>
            </w:r>
          </w:p>
        </w:tc>
        <w:tc>
          <w:tcPr>
            <w:tcW w:w="540" w:type="dxa"/>
            <w:vAlign w:val="bottom"/>
          </w:tcPr>
          <w:p>
            <w:pPr>
              <w:jc w:val="right"/>
              <w:spacing w:after="0"/>
              <w:rPr>
                <w:sz w:val="20"/>
                <w:szCs w:val="20"/>
                <w:color w:val="auto"/>
              </w:rPr>
            </w:pPr>
            <w:r>
              <w:rPr>
                <w:rFonts w:ascii="Arial" w:cs="Arial" w:eastAsia="Arial" w:hAnsi="Arial"/>
                <w:sz w:val="18"/>
                <w:szCs w:val="18"/>
                <w:color w:val="auto"/>
              </w:rPr>
              <w:t>3,505</w:t>
            </w:r>
          </w:p>
        </w:tc>
        <w:tc>
          <w:tcPr>
            <w:tcW w:w="3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5,865</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3,741</w:t>
            </w:r>
          </w:p>
        </w:tc>
        <w:tc>
          <w:tcPr>
            <w:tcW w:w="54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financial assets are valued using market prices on both active markets (“Level 1”) and less active markets (“Level 2”). Level 1 instrument valuations are obtained from real-time quotes for transactions in active exchange markets involving identical assets. Level 2 instrument valuations are obtained from readily available pricing sources for comparable instruments. As of June 30, 2011 and December 31, 2010, the Company did not have any financial assets without observable market values that would require a high level of judgment to determine fair value (“Level 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financial assets measured at fair value on a recurring basis as of June 30, 2011 and December 31, 2010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June 30,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Total Balance</w:t>
            </w:r>
          </w:p>
        </w:tc>
        <w:tc>
          <w:tcPr>
            <w:tcW w:w="520" w:type="dxa"/>
            <w:vAlign w:val="bottom"/>
          </w:tcPr>
          <w:p>
            <w:pPr>
              <w:spacing w:after="0"/>
              <w:rPr>
                <w:sz w:val="12"/>
                <w:szCs w:val="12"/>
                <w:color w:val="auto"/>
              </w:rPr>
            </w:pPr>
          </w:p>
        </w:tc>
        <w:tc>
          <w:tcPr>
            <w:tcW w:w="12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1"/>
                <w:szCs w:val="11"/>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156,743</w:t>
            </w:r>
          </w:p>
        </w:tc>
        <w:tc>
          <w:tcPr>
            <w:tcW w:w="1200" w:type="dxa"/>
            <w:vAlign w:val="bottom"/>
            <w:gridSpan w:val="2"/>
          </w:tcPr>
          <w:p>
            <w:pPr>
              <w:jc w:val="center"/>
              <w:ind w:left="442"/>
              <w:spacing w:after="0"/>
              <w:rPr>
                <w:sz w:val="20"/>
                <w:szCs w:val="20"/>
                <w:color w:val="auto"/>
              </w:rPr>
            </w:pPr>
            <w:r>
              <w:rPr>
                <w:rFonts w:ascii="Arial" w:cs="Arial" w:eastAsia="Arial" w:hAnsi="Arial"/>
                <w:sz w:val="18"/>
                <w:szCs w:val="18"/>
                <w:color w:val="auto"/>
                <w:w w:val="90"/>
              </w:rPr>
              <w:t>$156,743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39,304</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39,304</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196,047</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156,743</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39,304</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 2010</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8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Total Balance</w:t>
            </w:r>
          </w:p>
        </w:tc>
        <w:tc>
          <w:tcPr>
            <w:tcW w:w="520" w:type="dxa"/>
            <w:vAlign w:val="bottom"/>
          </w:tcPr>
          <w:p>
            <w:pPr>
              <w:spacing w:after="0"/>
              <w:rPr>
                <w:sz w:val="12"/>
                <w:szCs w:val="12"/>
                <w:color w:val="auto"/>
              </w:rPr>
            </w:pPr>
          </w:p>
        </w:tc>
        <w:tc>
          <w:tcPr>
            <w:tcW w:w="12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1"/>
                <w:szCs w:val="11"/>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36,560</w:t>
            </w:r>
          </w:p>
        </w:tc>
        <w:tc>
          <w:tcPr>
            <w:tcW w:w="1200" w:type="dxa"/>
            <w:vAlign w:val="bottom"/>
            <w:gridSpan w:val="2"/>
          </w:tcPr>
          <w:p>
            <w:pPr>
              <w:jc w:val="center"/>
              <w:ind w:left="442"/>
              <w:spacing w:after="0"/>
              <w:rPr>
                <w:sz w:val="20"/>
                <w:szCs w:val="20"/>
                <w:color w:val="auto"/>
              </w:rPr>
            </w:pPr>
            <w:r>
              <w:rPr>
                <w:rFonts w:ascii="Arial" w:cs="Arial" w:eastAsia="Arial" w:hAnsi="Arial"/>
                <w:sz w:val="18"/>
                <w:szCs w:val="18"/>
                <w:color w:val="auto"/>
                <w:w w:val="96"/>
              </w:rPr>
              <w:t>$ 36,560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These assets are included within cash and cash equivalents.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investment portfolio as of June 30, 2011 and December 31,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166"/>
              <w:spacing w:after="0"/>
              <w:rPr>
                <w:sz w:val="20"/>
                <w:szCs w:val="20"/>
                <w:color w:val="auto"/>
              </w:rPr>
            </w:pPr>
            <w:r>
              <w:rPr>
                <w:rFonts w:ascii="Arial" w:cs="Arial" w:eastAsia="Arial" w:hAnsi="Arial"/>
                <w:sz w:val="14"/>
                <w:szCs w:val="14"/>
                <w:b w:val="1"/>
                <w:bCs w:val="1"/>
                <w:color w:val="auto"/>
                <w:w w:val="85"/>
              </w:rPr>
              <w:t>June 30, 2011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5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 (Loss)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1"/>
                <w:szCs w:val="11"/>
                <w:color w:val="auto"/>
              </w:rPr>
              <w:t>(1)</w:t>
            </w:r>
          </w:p>
        </w:tc>
        <w:tc>
          <w:tcPr>
            <w:tcW w:w="2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$156,743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$156,743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2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39,324</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660" w:type="dxa"/>
            <w:vAlign w:val="bottom"/>
          </w:tcPr>
          <w:p>
            <w:pPr>
              <w:jc w:val="right"/>
              <w:spacing w:after="0"/>
              <w:rPr>
                <w:sz w:val="20"/>
                <w:szCs w:val="20"/>
                <w:color w:val="auto"/>
              </w:rPr>
            </w:pPr>
            <w:r>
              <w:rPr>
                <w:rFonts w:ascii="Arial" w:cs="Arial" w:eastAsia="Arial" w:hAnsi="Arial"/>
                <w:sz w:val="18"/>
                <w:szCs w:val="18"/>
                <w:color w:val="auto"/>
              </w:rPr>
              <w:t>39,304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196,067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w:t>
            </w:r>
          </w:p>
        </w:tc>
        <w:tc>
          <w:tcPr>
            <w:tcW w:w="10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2010</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Unrealized</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5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 (Loss)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1"/>
                <w:szCs w:val="11"/>
                <w:color w:val="auto"/>
              </w:rPr>
              <w:t>(1)</w:t>
            </w:r>
          </w:p>
        </w:tc>
        <w:tc>
          <w:tcPr>
            <w:tcW w:w="2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$ 36,560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These assets are included within cash and cash equivalents.</w:t>
      </w:r>
    </w:p>
    <w:p>
      <w:pPr>
        <w:spacing w:after="0" w:line="15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maturity of the Company’s entire investment portfolio was less than one year as of June 30, 2011 and December 31, 2010 with the exception of $10.0 million in par value which had a stated maturity of thirteen months as of June 30, 2011. As of June 30, 2011, no individual securities have been in a continuous unrealized loss for greater than 12 months. The Company did not have any realized gains (losses) on marketable securities during any of the periods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Patent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patent assets during the periods ended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June 30,</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$126,508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Acquisition costs of patent assets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41,151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expense</w:t>
            </w:r>
          </w:p>
        </w:tc>
        <w:tc>
          <w:tcPr>
            <w:tcW w:w="2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(27,815)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adjustments</w:t>
            </w:r>
          </w:p>
        </w:tc>
        <w:tc>
          <w:tcPr>
            <w:tcW w:w="18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139,844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acquired patent assets are comprised of intellectual property rights that relate to information technologies used by companies in a variety of industries, including software, e-commerce, semiconductors, financial services, mobile communications, consumer electronics and networking.</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amortizes each acquired portfolio of patent assets on a straight-line basis over its estimated economic useful life. As of June 30, 2011 and December 31, 2010, the estimated economic useful lives of the Company’s patent assets generally ranged from 24 to 60 months, and the weighted average estimated economic useful life was 49 months for both periods.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future amortization expense of patent assets as of June 30, 2011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2012</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2014</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Total estimated future amortization expense</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320" w:type="dxa"/>
            <w:vAlign w:val="bottom"/>
            <w:vMerge w:val="restart"/>
          </w:tcPr>
          <w:p>
            <w:pPr>
              <w:jc w:val="right"/>
              <w:ind w:right="297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Amortization expense was approximately $14.3 million and $27.8 million for the three and six months ending June 30, 2011, respectively. Amortization expense was approximately $7.5 million and $10.0 million for the three and six months ending June 30,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Structured Acquisitions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Structured acquisitions are transactions involving patent assets that cost more than the Company is prepared to spend with its own capital resources or that are relevant only to a very small number of clients. In such transactions, the Company works to acquire these assets with financial assistance from the particular clients against whom the assets are being or may be asserted. When this occurs, the participating clients typically pay amounts separate from their subscription fees and receive an immediate perpetual license to the acquired patent assets. The Company may treat the payments received from the participating clients as revenue either on a gross or a net basis depending on the specific facts and circumstances of the transaction. In the event that such payments are recognized on a net basis, the Company will capitalize the acquired asset that relates to its non-participating clients. In such instance, the cost basis of the acquired patent rights excludes the amounts paid by the participating client.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Barter Transactions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non-monetary exchanges in accordance with ASC 845, </w:t>
      </w:r>
      <w:r>
        <w:rPr>
          <w:rFonts w:ascii="Arial" w:cs="Arial" w:eastAsia="Arial" w:hAnsi="Arial"/>
          <w:sz w:val="16"/>
          <w:szCs w:val="16"/>
          <w:i w:val="1"/>
          <w:iCs w:val="1"/>
          <w:color w:val="auto"/>
        </w:rPr>
        <w:t>Non-monetary Transactions</w:t>
      </w:r>
      <w:r>
        <w:rPr>
          <w:rFonts w:ascii="Arial" w:cs="Arial" w:eastAsia="Arial" w:hAnsi="Arial"/>
          <w:sz w:val="16"/>
          <w:szCs w:val="16"/>
          <w:color w:val="auto"/>
        </w:rPr>
        <w:t xml:space="preserve"> (“ASC 845”), which requires non-monetary exchanges to be based on the fair value of the assets or services involved. There were no barter transactions during the three months ended June 30, 2011. During the six months ended June 30, 2011, the total fair value of intangible assets exchanged for subscription services was approximately $120,000. No gain or loss was recorded as a result of this exchange. There were no barter transactions during the three or six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980" w:type="dxa"/>
            <w:vAlign w:val="bottom"/>
          </w:tcPr>
          <w:p>
            <w:pPr>
              <w:spacing w:after="0"/>
              <w:rPr>
                <w:sz w:val="14"/>
                <w:szCs w:val="14"/>
                <w:color w:val="auto"/>
              </w:rPr>
            </w:pPr>
          </w:p>
        </w:tc>
        <w:tc>
          <w:tcPr>
            <w:tcW w:w="200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Work-in-progress</w:t>
            </w:r>
          </w:p>
        </w:tc>
        <w:tc>
          <w:tcPr>
            <w:tcW w:w="1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7"/>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1,223</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Depreciation expense was approximately $84,000 and $139,000 for the three and six months ending June 30, 2011, respectively. Depreciation expense was approximately $10,000 and $16,000 for the three and six months ending June 30, 2010, respectively.</w:t>
      </w:r>
    </w:p>
    <w:p>
      <w:pPr>
        <w:spacing w:after="0" w:line="207" w:lineRule="exact"/>
        <w:rPr>
          <w:sz w:val="20"/>
          <w:szCs w:val="20"/>
          <w:color w:val="auto"/>
        </w:rPr>
      </w:pPr>
    </w:p>
    <w:p>
      <w:pPr>
        <w:ind w:right="85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six months ended June 30, 2011 were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Goodwill additions</w:t>
            </w:r>
          </w:p>
        </w:tc>
        <w:tc>
          <w:tcPr>
            <w:tcW w:w="4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2011</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80" w:type="dxa"/>
            <w:vAlign w:val="bottom"/>
            <w:vMerge w:val="restart"/>
          </w:tcPr>
          <w:p>
            <w:pPr>
              <w:jc w:val="right"/>
              <w:ind w:right="31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at June 30, 2011 and December 31, 2010 consisted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December 31, 2010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Lives</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35 months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Customer relationship</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36 months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 months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Trademarks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36 months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 months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1,450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2,990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1,901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1,450</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(867)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expenses for intangible assets are summarized below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1,901</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Amortization expense for the three and six months ended June 30, 2011 and was $132,000 and $223,000, respectively. Amortization expense for the three and six months ended June 30, 2010 and was $91,000 and $181,000,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June 30,</w:t>
            </w:r>
          </w:p>
        </w:tc>
        <w:tc>
          <w:tcPr>
            <w:tcW w:w="600" w:type="dxa"/>
            <w:vAlign w:val="bottom"/>
          </w:tcPr>
          <w:p>
            <w:pPr>
              <w:spacing w:after="0"/>
              <w:rPr>
                <w:sz w:val="14"/>
                <w:szCs w:val="1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payroll-related expenses</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$3,993</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6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1,564</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and other current liabilities</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3772"/>
              <w:spacing w:after="0"/>
              <w:rPr>
                <w:sz w:val="20"/>
                <w:szCs w:val="20"/>
                <w:color w:val="auto"/>
              </w:rPr>
            </w:pPr>
            <w:r>
              <w:rPr>
                <w:rFonts w:ascii="Arial" w:cs="Arial" w:eastAsia="Arial" w:hAnsi="Arial"/>
                <w:sz w:val="18"/>
                <w:szCs w:val="18"/>
                <w:b w:val="1"/>
                <w:bCs w:val="1"/>
                <w:color w:val="auto"/>
                <w:w w:val="87"/>
              </w:rPr>
              <w:t>10. Notes Payable and Other Obligations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9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20" w:type="dxa"/>
            <w:vAlign w:val="bottom"/>
            <w:gridSpan w:val="2"/>
          </w:tcPr>
          <w:p>
            <w:pPr>
              <w:jc w:val="right"/>
              <w:ind w:right="872"/>
              <w:spacing w:after="0"/>
              <w:rPr>
                <w:sz w:val="20"/>
                <w:szCs w:val="20"/>
                <w:color w:val="auto"/>
              </w:rPr>
            </w:pPr>
            <w:r>
              <w:rPr>
                <w:rFonts w:ascii="Arial" w:cs="Arial" w:eastAsia="Arial" w:hAnsi="Arial"/>
                <w:sz w:val="18"/>
                <w:szCs w:val="18"/>
                <w:color w:val="auto"/>
                <w:w w:val="96"/>
              </w:rPr>
              <w:t>Notes payable and other obligations consisted of the following (in thousands):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5"/>
          </w:tcPr>
          <w:p>
            <w:pPr>
              <w:jc w:val="center"/>
              <w:ind w:left="379"/>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obligations</w:t>
            </w:r>
          </w:p>
        </w:tc>
        <w:tc>
          <w:tcPr>
            <w:tcW w:w="96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7,616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current portion</w:t>
            </w:r>
          </w:p>
        </w:tc>
        <w:tc>
          <w:tcPr>
            <w:tcW w:w="9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(6,517)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(18,527)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notes payable and other obligations, non-current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2"/>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January 27, 2010, the Company entered into a loan agreement with a client in order to partially finance the acquisition of certain patent assets from a third party. Under the terms of the agreement, the Company issued a promissory note payable in the amount of $2.0 million. The note bore interest of 0.57% per annum. The interest and principal were payable in their entirety on the maturity date of April 1, 2011. The principal balance was recorded at fair value. The outstanding principal balance at December 31, 2010 was $2.0 million. The Company repaid the note in April 2011.</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October 7, 2008, the Company entered into a patent rights purchase and assignment agreement to purchase patent assets for a total of $15.0 million. Under the terms of the agreement, the Company paid $1.5 million in cash and issued a promissory note in the amount of $13.5 million bearing interest of 10% per annum and payable in quarterly installments over a three-year period ending October 7, 2011. The principal balance was recorded at fair value. The remaining principal due was $3.4 million at December 31, 2010. The Company repaid the note in full in June 2011.</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11, 2008, the Company entered into a patent rights purchase and assignment agreement to purchase patent assets for a total of $17.0 million. Under the terms of the agreement, the Company issued a promissory note in the amount of $17.0 million of which 10%, or $1.7 million, was paid upfront. The note bore interest of 10% per annum. The principal and interest were payable in quarterly installments over a three-year period ending September 11, 2011. The principal balance was recorded at fair value. The remaining principal due was $2.1 million at December 31, 2010. The Company repaid the note in full in June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 the Company paid $1.1 million upfront,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represented the Company’s estimated market borrowing rate as of the initial transaction date. As of both June 30, 2011 and December 31, 2010, the remaining unpaid principal balance associated with the obligation was $2.2 million.</w:t>
      </w:r>
    </w:p>
    <w:p>
      <w:pPr>
        <w:spacing w:after="0" w:line="116" w:lineRule="exact"/>
        <w:rPr>
          <w:sz w:val="20"/>
          <w:szCs w:val="20"/>
          <w:color w:val="auto"/>
        </w:rPr>
      </w:pPr>
    </w:p>
    <w:p>
      <w:pPr>
        <w:ind w:right="380" w:firstLine="456"/>
        <w:spacing w:after="0" w:line="284" w:lineRule="auto"/>
        <w:rPr>
          <w:sz w:val="20"/>
          <w:szCs w:val="20"/>
          <w:color w:val="auto"/>
        </w:rPr>
      </w:pPr>
      <w:r>
        <w:rPr>
          <w:rFonts w:ascii="Arial" w:cs="Arial" w:eastAsia="Arial" w:hAnsi="Arial"/>
          <w:sz w:val="16"/>
          <w:szCs w:val="16"/>
          <w:color w:val="auto"/>
        </w:rPr>
        <w:t>On February 18, 2009, the Company entered into an agreement to acquire certain patent assets for a total of $12.0 million. Under the terms of the agreement, the Company paid $4.0 million upfront, with a remaining non-interest bearing contract obligation of $8.0 million due in two equal installments in February 2010 and 2011. The contract obligation was recorded at fair value utilizing the imputed interest rate method. Interest was imputed using a rate of</w:t>
      </w:r>
    </w:p>
    <w:p>
      <w:pPr>
        <w:spacing w:after="0" w:line="1" w:lineRule="exact"/>
        <w:rPr>
          <w:sz w:val="20"/>
          <w:szCs w:val="20"/>
          <w:color w:val="auto"/>
        </w:rPr>
      </w:pPr>
    </w:p>
    <w:p>
      <w:pPr>
        <w:ind w:right="160"/>
        <w:spacing w:after="0" w:line="361" w:lineRule="auto"/>
        <w:rPr>
          <w:sz w:val="20"/>
          <w:szCs w:val="20"/>
          <w:color w:val="auto"/>
        </w:rPr>
      </w:pPr>
      <w:r>
        <w:rPr>
          <w:rFonts w:ascii="Arial" w:cs="Arial" w:eastAsia="Arial" w:hAnsi="Arial"/>
          <w:sz w:val="15"/>
          <w:szCs w:val="15"/>
          <w:color w:val="auto"/>
        </w:rPr>
        <w:t>13.0% per annum, which represented the Company’s estimated market borrowing rate as of the initial transaction date. As of December 31, 2010, the remaining unpaid principal balance associated with the obligation was $4.0 million. The remaining principal balance of $4.0 million was paid in full in February 2011.</w:t>
      </w:r>
    </w:p>
    <w:p>
      <w:pPr>
        <w:spacing w:after="0" w:line="6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2010, 2011 and 2012. The contract obligation was recorded at fair value utilizing the imputed interest rate method. Interest was imputed using a rate of 13.9% per annum, which represented the Company’s estimated market borrowing rate as of the date of the transaction. As of June 30, 2011 and December 31, 2010, the remaining unpaid principal balance associated with the obligation was $3.0 million and $6.0 million, respectively.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16, 2008, the Company entered into agreements to acquire certain patent assets for a total of $2.2 million. Under the terms of the agreements, the Company paid $550,000 upfront, with a remaining non-interest bearing contract obligation of $1.7 million due in three equal installments in December 2009, 2010 and 2011. The contract obligation was recorded at fair value utilizing the imputed interest rate method. Interest was imputed using a rate of 10.0% per annum, which represented the Company’s estimated market borrowing rate as of the initial transaction date. The remaining unpaid principal balance associated with the obligation was $550,000 at both June 30, 2011 and December 31,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Lines of Credit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5, 2010, the Company entered into a standby letter of credit agreement with a banking institution. The credit facility provides for a $220,000 line of credit in conjunction with the Company’s corporate real estate lease. The credit facility, which expires on June 14, 2013, is secured by a priority interest in the Company’s savings account at the banking institution in the amount of $220,000. This amount has been classified as non-current restricted cash in the consolidated balance sheets.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September 23, 2008, the Company entered into a line of credit agreement with a banking institution. The credit facility provides for a $500,000 line of credit. The credit is secured by a priority interest in the Company’s savings account at the banking institution in the amount of $500,000, which has been classified as current restricted cash in the consolidated balance sheets. Under the credit facility, a sub-facility of $300,000 is available for a company-sponsored travel and expense credit card program, and a sub-facility of $200,000 is available under a revolving line of credit. Amounts borrowed under the $300,000 sub-facility, which terminates on April 5, 2012, will be charged a fixed rate of interest of 5% per year. Amounts borrowed under the $200,000 revolving line of credit, which terminates on April 15, 2012, will be charged a variable rate of interest equal to the greater of the banking institution’s prime rate or 5%. The banking institution’s prime rate at both June 30, 2011 and December 31, 2010 was 3.25%. As of June 30, 2011 and December 31, 2010, balances under the corporate credit card were $169,000 and $108,000, respectively, and such amounts were recorded in accounts payable. There were no outstanding balances under the revolving line of credit at June 30, 2011 or December 31, 2010.</w:t>
      </w:r>
    </w:p>
    <w:p>
      <w:pPr>
        <w:spacing w:after="0" w:line="195" w:lineRule="exact"/>
        <w:rPr>
          <w:sz w:val="20"/>
          <w:szCs w:val="20"/>
          <w:color w:val="auto"/>
        </w:rPr>
      </w:pPr>
    </w:p>
    <w:p>
      <w:pPr>
        <w:ind w:right="8660" w:firstLine="8"/>
        <w:spacing w:after="0" w:line="417" w:lineRule="auto"/>
        <w:tabs>
          <w:tab w:leader="none" w:pos="263"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approximately 30,000 square feet of office space in California under two separate, non-cancelable agreements, which commenced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August 2010 and December 2009. Both leases expire in April 2013. The Company also entered into a non-cancelable lease for approximately 1,400 square feet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office space in Japan, which commenced in November 2010 and expires in August 2013. Rent expense related to the non-cancelable operating leases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$357,000 and $714,000 for the three and six months ending June 30, 2011, respectively. Rent expense related to the non-cancelable operating leases was $98,000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$196,000 for the three and six months ending June 30, 2010,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future non-cancelable minimum lease payments for the Company’s operating leases as of June 30, 2011 were as follows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2012</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2014 and Thereafter</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future non-cancelable minimum lease payments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2,923</w:t>
            </w:r>
          </w:p>
        </w:tc>
        <w:tc>
          <w:tcPr>
            <w:tcW w:w="100" w:type="dxa"/>
            <w:vAlign w:val="bottom"/>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A liability is recorded when and if it is determined that such a liability for litigation is both probable and reasonably estimable. As of June 30, 2011, the Company was not a party to any litigation and no liabilities for litigation have been accrued.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10, 2010, the Company entered into certain agreements with a special-purpose entity formed for the sole purpose of acquiring specific patent assets that had been made available for sale by a third party. If the entity was successful in acquiring the patent assets, the Company had agreed to make a $5.0 million investment in the equity securities of the entity and serve as the exclusive licensing agent for the entity. As of June 30, 2011, the third party had completed the sale of the assets and the special-purpose entity was not the buyer. Therefore, no investment in such entity has been made and the Company has no further obligations under these agreements.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December 12, 2008, in connection with the acquisition of certain patent assets from an unaffiliated third party in an arm’s-length transaction, the Company agreed to make a one-time payment of $5.0 million in the event that the Company earns $170.0 million of annual subscription revenues in any calendar year. No provision has been made for this contingency as of June 30,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May 2011, the Company completed its IPO in which the Company sold and issued 9,065,000 shares of common stock, including 634,565 shares issued pursuant to an over-allotment option granted to the underwriters. The shares were sold by the underwriter at a price of $19.00 per share and the Company received proceeds of $160.2 million after deduction of underwriting discounts and commissions. The Company incurred offering costs of $2.9 million. Upon the closing of the IPO, all shares of redeemable convertible preferred stock outstanding automatically converted into 26,229,722 shares of common stock. As of June 30, 2011, the Company had the following common stock outstanding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at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Common stock issued in IPO</w:t>
            </w:r>
          </w:p>
        </w:tc>
        <w:tc>
          <w:tcPr>
            <w:tcW w:w="540" w:type="dxa"/>
            <w:vAlign w:val="bottom"/>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mandatorily redeemable convertible preferred stock to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at June 30, 2011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47,122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IPO, the Company increased the number of shares of common stock authorized for issuance from 60,000,000 shares to 200,000,000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 Plans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23, 2011, the Board of Directors adopted the 2011 Equity Incentive Plan (the “2011 Plan”), which became effective in May 3, 2011, the date of the Company’s IPO. The 2011 Plan provides for the issuance of incentive stock options, non-qualified stock options, stock appreciation rights, restricted shares of the Company’s common stock, and stock units to employees, directors and consultants. The Board of Directors reserved 1,500,000 shares of common stock for future issuance under the 2011 Plan.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August 11, 2008, the Board of Directors adopted the 2008 Stock Option Plan (the “2008 Plan”), which provides for the issuance of incentive stock options, non-qualified stock options, as well as the direct award or sale of shares of common stock to employees, directors and consultants for up to 9,019,474 shares of common stock, as amended. No further awards will be made under the 2008 Plan; however, all awards outstanding under the 2008 Plan will continue to be governed by the existing terms.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both the 2008 Plan and 2011 Plan, incentive stock options and non-qualified stock options are to be granted at a price not less than 100% of the fair value of the stock at the date of grant. Options granted to newly hired employees vest 25% on the first anniversary of the date of hire and ratably each month over the ensuing 36-month period. Options granted to existing employees generally vest ratably over the 48 months following the date of grant. Options are exercisable for a maximum period of ten years after date of grant. Incentive stock options granted to stockholders who own more than 10% of the outstanding stock of the Company at the time of grant must be issued at an exercise price not to be less than 110% of the fair value of the stock on the date of grant.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2011 there were 1,469,234 shares available for grant under the 2011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stock options outstanding are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22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3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6,455,646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2,156,149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(767,425)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30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(88,542)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30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7,755,828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20" w:type="dxa"/>
            <w:vAlign w:val="bottom"/>
            <w:vMerge w:val="restart"/>
          </w:tcPr>
          <w:p>
            <w:pPr>
              <w:jc w:val="right"/>
              <w:ind w:right="1852"/>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summary of the restricted stock unit activity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1820" w:type="dxa"/>
            <w:vAlign w:val="bottom"/>
            <w:gridSpan w:val="4"/>
          </w:tcPr>
          <w:p>
            <w:pPr>
              <w:jc w:val="center"/>
              <w:ind w:left="612"/>
              <w:spacing w:after="0" w:line="149" w:lineRule="exact"/>
              <w:rPr>
                <w:sz w:val="20"/>
                <w:szCs w:val="20"/>
                <w:color w:val="auto"/>
              </w:rPr>
            </w:pPr>
            <w:r>
              <w:rPr>
                <w:rFonts w:ascii="Arial" w:cs="Arial" w:eastAsia="Arial" w:hAnsi="Arial"/>
                <w:sz w:val="14"/>
                <w:szCs w:val="14"/>
                <w:b w:val="1"/>
                <w:bCs w:val="1"/>
                <w:color w:val="auto"/>
                <w:w w:val="92"/>
              </w:rPr>
              <w:t>Grant Date Fair</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2010</w:t>
            </w:r>
          </w:p>
        </w:tc>
        <w:tc>
          <w:tcPr>
            <w:tcW w:w="2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84,467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40"/>
              <w:spacing w:after="0"/>
              <w:rPr>
                <w:sz w:val="20"/>
                <w:szCs w:val="20"/>
                <w:color w:val="auto"/>
              </w:rPr>
            </w:pPr>
            <w:r>
              <w:rPr>
                <w:rFonts w:ascii="Arial" w:cs="Arial" w:eastAsia="Arial" w:hAnsi="Arial"/>
                <w:sz w:val="18"/>
                <w:szCs w:val="18"/>
                <w:color w:val="auto"/>
                <w:w w:val="88"/>
              </w:rPr>
              <w:t>27.96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80"/>
              <w:spacing w:after="0"/>
              <w:rPr>
                <w:sz w:val="20"/>
                <w:szCs w:val="20"/>
                <w:color w:val="auto"/>
              </w:rPr>
            </w:pPr>
            <w:r>
              <w:rPr>
                <w:rFonts w:ascii="Arial" w:cs="Arial" w:eastAsia="Arial" w:hAnsi="Arial"/>
                <w:sz w:val="18"/>
                <w:szCs w:val="18"/>
                <w:color w:val="auto"/>
                <w:w w:val="88"/>
              </w:rPr>
              <w:t>—</w:t>
            </w: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left="280"/>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2011</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40"/>
              <w:spacing w:after="0"/>
              <w:rPr>
                <w:sz w:val="20"/>
                <w:szCs w:val="20"/>
                <w:color w:val="auto"/>
              </w:rPr>
            </w:pPr>
            <w:r>
              <w:rPr>
                <w:rFonts w:ascii="Arial" w:cs="Arial" w:eastAsia="Arial" w:hAnsi="Arial"/>
                <w:sz w:val="18"/>
                <w:szCs w:val="18"/>
                <w:color w:val="auto"/>
                <w:w w:val="88"/>
              </w:rPr>
              <w:t>27.96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estimates the fair value of stock options using the Black-Scholes option pricing model. Option valuation models, including the Black-Scholes option pricing model, require the input of various assumptions, including stock price volatility. Changes in the assumptions can materially affect the fair value and ultimately how much stock-based compensation expense is recognized. The weighted average assumptions and resulting fair values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Three Months Ended June 30,</w:t>
            </w:r>
          </w:p>
        </w:tc>
        <w:tc>
          <w:tcPr>
            <w:tcW w:w="240" w:type="dxa"/>
            <w:vAlign w:val="bottom"/>
          </w:tcPr>
          <w:p>
            <w:pPr>
              <w:spacing w:after="0"/>
              <w:rPr>
                <w:sz w:val="14"/>
                <w:szCs w:val="14"/>
                <w:color w:val="auto"/>
              </w:rPr>
            </w:pPr>
          </w:p>
        </w:tc>
        <w:tc>
          <w:tcPr>
            <w:tcW w:w="21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4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volatility</w:t>
            </w:r>
          </w:p>
        </w:tc>
        <w:tc>
          <w:tcPr>
            <w:tcW w:w="2900" w:type="dxa"/>
            <w:vAlign w:val="bottom"/>
            <w:gridSpan w:val="3"/>
          </w:tcPr>
          <w:p>
            <w:pPr>
              <w:jc w:val="right"/>
              <w:ind w:right="600"/>
              <w:spacing w:after="0"/>
              <w:rPr>
                <w:sz w:val="20"/>
                <w:szCs w:val="20"/>
                <w:color w:val="auto"/>
              </w:rPr>
            </w:pPr>
            <w:r>
              <w:rPr>
                <w:rFonts w:ascii="Arial" w:cs="Arial" w:eastAsia="Arial" w:hAnsi="Arial"/>
                <w:sz w:val="18"/>
                <w:szCs w:val="18"/>
                <w:color w:val="auto"/>
              </w:rPr>
              <w:t>58%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term (years)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11.26</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7.41</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Restricted Stock Units (RSUs), stock-based compensation expense was calculated based on the Company’s stock price on the date of grant, multiplied by the number of units granted. The grant date fair value of RSUs, less estimated forfeitures, is recognized on a straight-line basis over the requisite service period.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Stock-based compensation expense related to employees was $1.3 million and $2.1 million, for the three and six months ended June 30, 2011, respectively. Stock compensation expense related to employees was $146,000 and $283,000, for the three and six months ended June 30, 2010, respectively. Stock-based compensation of $17,000 and $29,000 was capitalized during the three and six months ended June 30, 2011, respectively, as part of the cost of internal-use software. No stock-based compensation expense was capitalized during the three or six months ended June 30, 2010.</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Stock-based compensation expense is recognized ratably over the requisite service period. At June 30, 2011, there was $18.6 million of unrecognized compensation cost related to options which is expected to be recognized over a weighted average period of 3.9 years. At June 30, 2011, there was $1.8 million of unrecognized compensation cost related to RSUs which is expected to be recognized over a weighted average period of 3.8 years. Future option grants will increase the amount of stock-based compensation expense to be recorded.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periodically grants options to non-employees in exchange for goods and services. During the six months ended June 30, 2011, the Company issued 10,000 shares of common stock and options to purchase 35,000 shares of common stock to non-employees in exchange for services. No awards were granted to non-employees in exchange for goods and services during the six months ended June 30, 2010.</w:t>
      </w:r>
    </w:p>
    <w:p>
      <w:pPr>
        <w:spacing w:after="0" w:line="107" w:lineRule="exact"/>
        <w:rPr>
          <w:sz w:val="20"/>
          <w:szCs w:val="20"/>
          <w:color w:val="auto"/>
        </w:rPr>
      </w:pPr>
    </w:p>
    <w:p>
      <w:pPr>
        <w:ind w:right="640" w:firstLine="456"/>
        <w:spacing w:after="0" w:line="335" w:lineRule="auto"/>
        <w:rPr>
          <w:sz w:val="20"/>
          <w:szCs w:val="20"/>
          <w:color w:val="auto"/>
        </w:rPr>
      </w:pPr>
      <w:r>
        <w:rPr>
          <w:rFonts w:ascii="Arial" w:cs="Arial" w:eastAsia="Arial" w:hAnsi="Arial"/>
          <w:sz w:val="15"/>
          <w:szCs w:val="15"/>
          <w:color w:val="auto"/>
        </w:rPr>
        <w:t>Stock-based compensation expense related to non-employees was $0.6 million and $0.8 million for the three and six months ended June 30, 2011, respectively. Stock-based compensation expense related to non-employees was $46,000 and $66,000 for the three and six months ended June 30, 2010, respectively. The Company accounts for these stock options using the variable accounting model and re-measures them each accounting period.</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Our effective tax rate for the six months ended June 30, 2011 was 42.8% compared to 41.9% for the six months ended June 30, 2010. The higher effective tax rate for the six months ended June 30, 2011 was primarily due to an increase in stock-based compensation. The difference between the consolidated effective income tax rate and the U.S. federal statutory rate is primarily attributable to the effect of certain permanent differences and state income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years 2009 and 2008 are currently under examination by the United States Internal Revenue Service and the State of California Franchise Tax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a material impact on its consolidated financial statements as a result of these examinations.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Two of the Company’s directors also serve on the boards of directors of RPX clients. For the three and six months ended June 30, 2011, the Company recognized subscription fee revenue of $0.7 million and $1.3 million, respectively, related to these clients. For the three and six months ended June 30, 2010, the Company recognized subscription fee revenue of $0.7 million and $1.3 million, respectively, related to these clients. As of June 30, 2011 and December 31, 2010, there were no receivables due from either of these clients.</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customer is domiciled.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location is presented below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6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21,370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4,781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13,324</w:t>
            </w:r>
          </w:p>
        </w:tc>
        <w:tc>
          <w:tcPr>
            <w:tcW w:w="10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38,850</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21,835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73,240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40,047</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Revenue from the United States represented 64% and 62%; and from Japan represented 15% and 16% of the total revenue for the three and six months ended June 30, 2011, respectively. Revenue from the United States represented 55% and 53%; and from Japan represented 18% and 18% of the total revenue for the three and six months ended June 30, 2010, respectively. No other country represented 10% or more of revenue for the above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6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$144,580</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Japan</w:t>
            </w:r>
          </w:p>
        </w:tc>
        <w:tc>
          <w:tcPr>
            <w:tcW w:w="39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144,643</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20" w:type="dxa"/>
            <w:vAlign w:val="bottom"/>
            <w:vMerge w:val="restart"/>
          </w:tcPr>
          <w:p>
            <w:pPr>
              <w:jc w:val="right"/>
              <w:ind w:right="2019"/>
              <w:spacing w:after="0"/>
              <w:rPr>
                <w:sz w:val="20"/>
                <w:szCs w:val="20"/>
                <w:color w:val="auto"/>
              </w:rPr>
            </w:pPr>
            <w:r>
              <w:rPr>
                <w:rFonts w:ascii="Arial" w:cs="Arial" w:eastAsia="Arial" w:hAnsi="Arial"/>
                <w:sz w:val="18"/>
                <w:szCs w:val="18"/>
                <w:color w:val="auto"/>
              </w:rPr>
              <w:t>16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July 2011, the Company entered into a non-cancelable operating lease agreement to sublease office space located in San Francisco, California, which consists of approximately 32,000 square feet. The future minimum lease payments under the sublease totaled approximately $1.4 million. The lease expires in April 2013.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prospectus filed pursuant to Rule 424(b) under the Securities Act with the Securities and Exchange Commission (“SEC”) on May 4, 2011.</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w:t>
      </w:r>
      <w:r>
        <w:rPr>
          <w:rFonts w:ascii="Arial" w:cs="Arial" w:eastAsia="Arial" w:hAnsi="Arial"/>
          <w:sz w:val="16"/>
          <w:szCs w:val="16"/>
          <w:i w:val="1"/>
          <w:iCs w:val="1"/>
          <w:color w:val="auto"/>
        </w:rPr>
        <w:t>Part II, Item 1A</w:t>
      </w:r>
      <w:r>
        <w:rPr>
          <w:rFonts w:ascii="Arial" w:cs="Arial" w:eastAsia="Arial" w:hAnsi="Arial"/>
          <w:sz w:val="16"/>
          <w:szCs w:val="16"/>
          <w:color w:val="auto"/>
        </w:rPr>
        <w:t xml:space="preserve"> of this Quarterly Report on Form 10-Q and elsewhere in this filing and our prospectus filed pursuant to Rule 424(b) under the Securities Act with the SEC on May 4, 2011.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RPX helps companies reduce patent-related risk and expense. We provide a subscription-based patent risk management solution that facilitates more efficient exchanges of value between owners and users of patents compared to transactions driven by actual or threatened litigation. As of June 30, 2011, we had a client network of 96 members.</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core of our solution is defensive patent aggregation, in which we acquire patents or licenses to patents, which we refer to collectively as “patent assets,” that are being or may be asserted against our current and prospective clients. We then license these patent assets to our clients to protect them from potential patent infringement assertions. We also provide our clients access to our proprietary patent market intelligence and data. As of June 30, 2011, we had deployed over $300 million to acquire patent assets.</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the three and six months ended June 30, 2011, revenue grew to $38.9 million and $73.2 million, respectively, as we added 15 and 24 net new clients, respectively, bringing our total client network to 96 companies. We ended the quarter with deferred revenue of $87.6 million.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the amount that we spend to acquire patent assets is a key driver of the value that we create for our clients. We measure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three and six months ended June 30, 2011 we completed 8 and 15 acquisitions of patent assets, respectively, and our gross acquisition spend totaled $21.7 million and $41.2 million, respectively. None of these were syndicated acquisitions and thus our net acquisition spend was the same as our gross acquisition spend. Over the four quarters ending June 30, 2011, our gross acquisition spend totaled $84.3 million and our net acquisition spend totaled $70.5 million.</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May 3, 2011, our registration statement on Form S-1 relating to the IPO of our common stock was declared effective by the SEC. The IPO closed in May 2011, at which time we sold 9,065,000 shares of our common stock and received cash proceeds of $160.2 million, net of underwriting discounts and commissions.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Historically, substantially all of our revenue has consisted of annual subscription fees.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We have also received revenue from the sale of licenses and fee income in connection with structured acquisitions. We have and in the future may receive other revenue and fee income from newly-introduced products and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 shorter of their estimated useful lives or the remaining statutory life. Also included in the cost of revenue are the expenses incurred to maintain and prosecute patents and patent applications. We expect our cost of revenue to increase in the future as we add additional patent assets to our existing portfolio to support our existing and future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Selling, general and administrative expenses consist of salaries and related expenses, including stock-based compensation expenses, cost of marketing programs, certain legal costs, professional fees, travel costs, facility costs and other corporate expenses. We expect that in the future, as we seek to serve more clients and develop new products and services, selling, general and administrative expenses will increase. Selling, general and administrative expenses will also increase in order to support our operations and compliance requirements as a public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Expense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income represents interest earned on cash balances and short-term investments. Interest expense is incurred on our debt obligations mainly resulting from financed patent asset acquisitions. We expect interest income to fluctuate in the future due to changes in our cash, cash equivalents and investment balances and market interest rates. Interest expense will fluctuate due to changes in our debt obligation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more-likely-than-not that our deferred tax assets will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There have been no material changes to our critical accounting policies and estimates as compared to those described in our prospectus filed pursuant to Rule 424(b) under the Securities Act with the SEC on May 4, 2011.</w:t>
      </w:r>
    </w:p>
    <w:p>
      <w:pPr>
        <w:spacing w:after="0" w:line="11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consider the following to be critical accounting policies and estimates because we believe they are both important to the portrayal of our financial condition and results of operations and they require management judgments about matters that are uncertain. If actual results or events differ materially, our reported financial condition and results of operation for future periods could be materially affected.</w:t>
      </w:r>
    </w:p>
    <w:p>
      <w:pPr>
        <w:spacing w:after="0" w:line="2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for Stock-Based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21,835</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$73,240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10,216</w:t>
            </w:r>
          </w:p>
        </w:tc>
        <w:tc>
          <w:tcPr>
            <w:tcW w:w="580" w:type="dxa"/>
            <w:vAlign w:val="bottom"/>
          </w:tcPr>
          <w:p>
            <w:pPr>
              <w:jc w:val="right"/>
              <w:spacing w:after="0"/>
              <w:rPr>
                <w:sz w:val="20"/>
                <w:szCs w:val="20"/>
                <w:color w:val="auto"/>
              </w:rPr>
            </w:pPr>
            <w:r>
              <w:rPr>
                <w:rFonts w:ascii="Arial" w:cs="Arial" w:eastAsia="Arial" w:hAnsi="Arial"/>
                <w:sz w:val="18"/>
                <w:szCs w:val="18"/>
                <w:color w:val="auto"/>
              </w:rPr>
              <w:t>28,193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6,428</w:t>
            </w:r>
          </w:p>
        </w:tc>
        <w:tc>
          <w:tcPr>
            <w:tcW w:w="580" w:type="dxa"/>
            <w:vAlign w:val="bottom"/>
          </w:tcPr>
          <w:p>
            <w:pPr>
              <w:jc w:val="right"/>
              <w:spacing w:after="0"/>
              <w:rPr>
                <w:sz w:val="20"/>
                <w:szCs w:val="20"/>
                <w:color w:val="auto"/>
              </w:rPr>
            </w:pPr>
            <w:r>
              <w:rPr>
                <w:rFonts w:ascii="Arial" w:cs="Arial" w:eastAsia="Arial" w:hAnsi="Arial"/>
                <w:sz w:val="18"/>
                <w:szCs w:val="18"/>
                <w:color w:val="auto"/>
              </w:rPr>
              <w:t>25,651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(781)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2,393</w:t>
            </w:r>
          </w:p>
        </w:tc>
        <w:tc>
          <w:tcPr>
            <w:tcW w:w="580" w:type="dxa"/>
            <w:vAlign w:val="bottom"/>
          </w:tcPr>
          <w:p>
            <w:pPr>
              <w:jc w:val="right"/>
              <w:spacing w:after="0"/>
              <w:rPr>
                <w:sz w:val="20"/>
                <w:szCs w:val="20"/>
                <w:color w:val="auto"/>
              </w:rPr>
            </w:pPr>
            <w:r>
              <w:rPr>
                <w:rFonts w:ascii="Arial" w:cs="Arial" w:eastAsia="Arial" w:hAnsi="Arial"/>
                <w:sz w:val="18"/>
                <w:szCs w:val="18"/>
                <w:color w:val="auto"/>
              </w:rPr>
              <w:t>10,724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14,361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3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552"/>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gridSpan w:val="2"/>
            <w:vMerge w:val="continue"/>
          </w:tcPr>
          <w:p>
            <w:pPr>
              <w:spacing w:after="0"/>
              <w:rPr>
                <w:sz w:val="19"/>
                <w:szCs w:val="19"/>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552"/>
              <w:spacing w:after="0"/>
              <w:rPr>
                <w:sz w:val="20"/>
                <w:szCs w:val="20"/>
                <w:color w:val="auto"/>
              </w:rPr>
            </w:pPr>
            <w:r>
              <w:rPr>
                <w:rFonts w:ascii="Arial" w:cs="Arial" w:eastAsia="Arial" w:hAnsi="Arial"/>
                <w:sz w:val="18"/>
                <w:szCs w:val="18"/>
                <w:color w:val="auto"/>
              </w:rPr>
              <w:t>35%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692"/>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ind w:right="512"/>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552"/>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20%</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Our revenue for the three months ended June 30, 2011 increased by $17.0 million or 78% to $38.9 million compared to the same period a year</w:t>
      </w:r>
      <w:r>
        <w:rPr>
          <w:rFonts w:ascii="Arial" w:cs="Arial" w:eastAsia="Arial" w:hAnsi="Arial"/>
          <w:sz w:val="16"/>
          <w:szCs w:val="16"/>
          <w:i w:val="1"/>
          <w:iCs w:val="1"/>
          <w:color w:val="auto"/>
        </w:rPr>
        <w:t xml:space="preserve"> </w:t>
      </w:r>
      <w:r>
        <w:rPr>
          <w:rFonts w:ascii="Arial" w:cs="Arial" w:eastAsia="Arial" w:hAnsi="Arial"/>
          <w:sz w:val="16"/>
          <w:szCs w:val="16"/>
          <w:color w:val="auto"/>
        </w:rPr>
        <w:t>ago. Revenue for the six months ended June 30, 2011 increased by $33.2 million or 83% to $73.2 million compared to the same period a year ago. The increases for both the three and six months ended June 30, 2011 were primarily due to the growth in our client network and the resulting recognition of revenue from clients that joined both during the period and prior to the start of the period. Revenue included $3.3 million from the sale of a perpetual license in the three and six months ended June 30, 2011 as compared to $0.5 million in the same periods in 2010.</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expect our revenue growth to continue if we are successful in our efforts to add new clients and retain existing clients. However, while we expect to continue to experience revenue growth, we do not believe that our rate of growth since inception is representative of anticipated future revenue growth.</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for the three months ended June 30, 2011 increased by $4.3 million or 42% to $14.5 million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 year ago. Cost of revenue for the six months ended June 30, 2011 increased by $10.2 million or 57% to $28.2 million compared to the same period a year ago. The increases for both the three and six months ended June 30, 2011 were primarily the result of additional amortization expense recorded from patent assets acquired in 2010 and during the three and six months ended June 30, 2011. The expenses incurred to maintain patents and prosecute patent applications included in our portfolio were approximately $0.2 million for both the three months ended June 30, 2011 and 2010. The expenses incurred to maintain patents and prosecute patent applications included in our portfolio were approximately $0.3 million and $0.4 million for the six months ended June 30, 2011 and 2010,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selling, general and administrative expenses for the three months ended June 30, 2011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$6.1, million or 117%, to $11.3 million compared to the same period a year ago. The increase was primarily due to a $4.4 million increase in personnel-related costs attributable to increased headcount and increased stock-based compensation expense when compared to the prior year. We had 81 employees at June 30, 2011 compared to 43 employees at June 30, 2010. Our legal and professional fees for the three months ended June 30, 2011 increased by $1.0 million due primarily to $0.7 million of increased legal costs and $0.3 million in increased accounting fees compared to the same period a year ago. Our facility-related costs, depreciation and other corporate expenses for the three months ended June 30, 2011 increased by $0.6 million to support the growth of our business, including leasing of additional office space compared to the same period a year ago.</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selling, general and administrative expenses for the six months ended June 30, 2011 increased by $9.9 million or 105% to $19.4 million compared to the same period a year ago. The increase from the prior year was primarily due to a $6.9 million increase associated with personnel related costs and increased stock-based compensation expense as noted above. Our legal fees increased by $0.7 million and professional fees increased by $0.8 million for the six months ended June 30, 2011. Our patent asset related acquisition costs for the six months ended June 30, 2011 increased by $0.7 million compared to the same period a year ago. Our facility-related costs, depreciation and other corporate expenses for the six months ended June 30, 2011 also increased by $1.1 million to support the growth of our business, including leasing of additional office space and costs associated with being a public company compared to the same period a year ago.</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2010, we launched our Client Relations team, which is focused on building deep relationships throughout our clients’ organizations, both to ensure that our clients’ current needs are being met and to serve as the vehicle for marketing additional, value-added patent risk management solutions. In September 2010, we opened our Tokyo office to facilitate our development and management of client relationships with companies located in Asia. Also in 2010, we established our Corporate Development team, which is responsible for developing new products and services. We expect that our selling, general and administrative expenses will increase in future periods as we continue to invest in the growth of our business and incur costs associated with being a public company. We anticipate that such expenses will increase more rapidly than the growth of our revenue in 2011.</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Interest Income and Expense. </w:t>
      </w:r>
      <w:r>
        <w:rPr>
          <w:rFonts w:ascii="Arial" w:cs="Arial" w:eastAsia="Arial" w:hAnsi="Arial"/>
          <w:sz w:val="16"/>
          <w:szCs w:val="16"/>
          <w:color w:val="auto"/>
        </w:rPr>
        <w:t>Interest income for the three months ended June 30, 2011 decreased by $25,000, or 37%, to $42,000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 year ago. Interest income for the six months ended June 30, 2011 decreased by $0.1 million, or 66%, to $68,000 compared to the same period a year ago. The decreases for both the three and six months ended June 30, 2011 were primarily due to a reduction in interest bearing notes receivable.</w:t>
      </w:r>
    </w:p>
    <w:p>
      <w:pPr>
        <w:spacing w:after="0" w:line="10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Interest expense for the three months ended June 30, 2011 decreased by $0.6 million or 70%, to $0.2 million compared to the same period a year ago. Interest expense, for the six months ended June 30, 2011 decreased by $1.1 million, or 64%, to $0.6 million compared to the same period a year ago. The decreases for both the three and six months ended June 30, 2011 were primarily due to a reduction in outstanding debt balances.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provision for income taxes for the three months ended June 30, 2011 increased by $2.8 million or 116%, to $5.2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a year ago. The provision for income taxes for the six months ended June 30, 2011 increased by $6.1 million or 131%, to $10.7 million compared to the same period a year ago. The overall increases in income tax expenses for both the three and six months ended June 30, 2011 were due to our higher income before taxes.</w:t>
      </w:r>
    </w:p>
    <w:p>
      <w:pPr>
        <w:spacing w:after="0" w:line="14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Our effective tax rate for the six months ended June 30, 2011 was 42.8% compared to 41.9% for the six months ended June 30, 2010. The higher effective tax rate for the six months ended June 30, 2011 was primarily due to an increase in stock-based compensation. The difference between the consolidated effective income tax rate and the U.S. federal statutory rate is primarily attributable to the effect of certain permanent differences and state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May 2011, we completed our IPO in which we issued 9,065,000 common shares and received cash proceeds of $160.2 million, net of underwriting discounts and commissions. We incurred offering costs of $2.9 million. Prior to the IPO, substantially all of our operations and patent asset acquisitions had been financed through the private sale of equity securities, subscription fees collected from our clients and patent-seller financing.</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2011, we had $159.4 million of cash and cash equivalents and $39.3 million in short-term investments. Through June 30, 2011, we had raised $64.4 million in a series of equity financings from venture capital firms and other investors. We raised $25.3 million in connection with our sale of Series A and Series A-1 redeemable convertible preferred stock in August 2008 through December 2008, $35.3 million in connection with our sale of Series B redeemable convertible preferred stock in July 2009 and $3.8 million in connection with our sale of Series C redeemable convertible preferred stock in November 2010. All of the proceeds from our sale of Series C redeemable convertible preferred stock were used to repurchase shares owned by certain of our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existing cash, cash equivalents, short-term investments and contractual payments due to us from existing clients will be sufficient to meet our working capital and capital expenditure needs for the foreseeable future. Our future capital needs will depend on many factors, including, among other things, our acquisition of patent assets, addition and renewal of clients, development of new solutions and performance of general and administrative activities. We anticipate an increased level of patent acquisition spending for the remainder of 2011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also incur costs as a public company that we have not previously incurred, including, but not limited to, costs and expenses for directors fees, increased directors’ and officers’ insurance, investor relations fees, expenses for compliance with the Sarbanes-Oxley Act of 2002 and rules implemented by the SEC and The Nasdaq Global Select Market and various other costs. The Sarbanes-Oxley Act of 2002 requires that we maintain effective disclosure controls and procedures and internal control over financial reporting.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55,087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74,669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(86,002)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(43,158)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143,652</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(20,367)</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112,737</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provided by operating activities primarily consists of net income adjusted for certain non-cash items including depreciation, amortization, stock-based compensation and the effect of changes in working capital and other activities. Cash provided by operating activities for the six months ended June 30, 2011 was $55.1 million, consisting of net income of $14.4 million, adjustments for non-cash items of $31.6 million and changes in working capital and non-current assets and liabilities totaling $9.2 million. The change in working capital resulted primarily from a decrease in accounts receivable of $6.4 million and an increase in deferred revenue of $5.0 million. The increase in deferred revenue for the six months ended June 30, 2011 is primarily attributable to $78.2 million of subscription billings for the period offset by $73.2 million of revenue recognized during the period. The increase in deferred revenue is due to annual subscription billings and the growth in our membership to 96 clients as of June 30, 2011 from 72 clients as of December 31, 2010. The amount of deferred revenue in any given period varies with the addition of new clients, the mix of payment terms that we offer and the timing of invoicing existing clients.</w:t>
      </w:r>
    </w:p>
    <w:p>
      <w:pPr>
        <w:spacing w:after="0" w:line="11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Cash provided by operating activities for the six months ended June 30, 2010 was $74.7 million and consisted of net income of $6.4 million, adjustments for non-cash items of $19.0 million and $49.2 million provided by changes in working capital and non-current assets and liabilities. The change in working capital resulted primarily from a decrease in accounts receivable of $3.5 million and an increase in deferred revenue of $42.7 million. The increase in deferred revenue during the six months ended June 30, 2010 is attributable to $82.7 million of subscription billings for the period offset by $40.0 million of revenue recognized during the period. The increase in deferred revenue is due to the growth in our membership from 23 clients as of December 31, 2009 to 51 clients as of June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Cash used in investing activities primarily consists of acquisitions of patent assets and purchases of short-term marketable securities classified as available-for-sale. Net cash used in investing activities for the six months ended June 30, 2011 was $86.0 million, of which $43.2 million represented our acquisitions of patent assets and $39.1 million represented our net purchases of short-term marketable securities. On June 1, 2011, we acquired substantially all of the assets of a patent research and intellectual property news provider for $3.0 million.</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expect our cash used in investing activities to increase in the future as we acquire additional patents. Cash used by investing activities for the six months ended June 30, 2010 was $43.2 million and primarily consisted of our acquisitions of patent assets of $43.0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cash provided by financing activities for the six months ended June 30, 2011 was $143.7 million. Net cash provided by financing activities during the six months ended June 30, 2011 was due primarily to proceeds from our IPO, net of issuance costs of approximately $157.8 million, offset by the repayment of $16.4 million of debt and other obligations. Net cash used in the financing activities for the six months ended June 30, 2010 was $20.4 million, the majority of which represented the repayment of debt obligations.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There were no substantial changes to our contractual obligations or commitments during the six months ended June 30, 2011. Please refer to </w:t>
      </w:r>
      <w:r>
        <w:rPr>
          <w:rFonts w:ascii="Arial" w:cs="Arial" w:eastAsia="Arial" w:hAnsi="Arial"/>
          <w:sz w:val="16"/>
          <w:szCs w:val="16"/>
          <w:i w:val="1"/>
          <w:iCs w:val="1"/>
          <w:color w:val="auto"/>
        </w:rPr>
        <w:t>“Part 1,</w:t>
      </w:r>
      <w:r>
        <w:rPr>
          <w:rFonts w:ascii="Arial" w:cs="Arial" w:eastAsia="Arial" w:hAnsi="Arial"/>
          <w:sz w:val="16"/>
          <w:szCs w:val="16"/>
          <w:color w:val="auto"/>
        </w:rPr>
        <w:t xml:space="preserve"> </w:t>
      </w:r>
      <w:r>
        <w:rPr>
          <w:rFonts w:ascii="Arial" w:cs="Arial" w:eastAsia="Arial" w:hAnsi="Arial"/>
          <w:sz w:val="16"/>
          <w:szCs w:val="16"/>
          <w:i w:val="1"/>
          <w:iCs w:val="1"/>
          <w:color w:val="auto"/>
        </w:rPr>
        <w:t>Item 1. “Financial Statements” and “Notes to Consolidated Financial Statements, Note 12 – Commitments and Contingencies.”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substantial changes to our guarantee and indemnification obligations or other off balance sheet arrangements during the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Please refer to </w:t>
      </w:r>
      <w:r>
        <w:rPr>
          <w:rFonts w:ascii="Arial" w:cs="Arial" w:eastAsia="Arial" w:hAnsi="Arial"/>
          <w:sz w:val="16"/>
          <w:szCs w:val="16"/>
          <w:i w:val="1"/>
          <w:iCs w:val="1"/>
          <w:color w:val="auto"/>
        </w:rPr>
        <w:t>“Part I, Item 1. “Financial Statements” and “Notes to Consolidated Financial Statements, Note 1 – Recent Accounting Pronouncements.”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relative to the U.S. dollar. To date, we have not entered into any foreign currency hedging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had cash, cash equivalents and restricted cash of $160.1 million at June 30, 2011. Cash equivalents are primarily invested in bank deposits and money market funds denominated primarily in U.S. dollars. Interest rate fluctuations affect the returns in our invested funds. The Company’s cash balances deposited in U.S. banks are non-interest bearing and insured up to the Federal Deposit Insurance Corporation limits. Cash and cash equivalents are held for working capital purposes and restricted cash amounts are held as security against credit card deposits and various lease obligations.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2011, we also had $39.3 million held in short-term investments, primarily invested in U.S. Government and Agency securities with maturities between 90 days and 13 months. As of June 30, 2011, our investments have been classified as available-for-sale and, consequently, are recorded at fair value in the consolidated balance sheet with unrealized gains or losses reported as a separate component of stockholders’ equity. We review our investments for impairment when events and circumstances indicate a decline in fair value of such assets below carrying value is other-than-temporary. As of June 30, 2011, we have not recorded an impairment related to our investments in the consolidated statement of operations.</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overall interest rates had changed by 10% during the three or six months ended June 30, 2011, the fair value of our investments would not have been materially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believe that inflation has not had a material impact on our consolidated results of operations for the three and six months ended June 30, 2011. There can be no assurance that future inflation will not have an adverse impact on our consolidated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Based on the evaluation of our disclosure controls and procedures as of June 30, 2011, our Chief Executive Officer and Chief Financial Officer have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12 to our consolidated financial statements.</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consolidated financial statements and the related notes, and our prospectus filed with the SEC on May 4,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companies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subscription fee rates or the pricing policies of our competitors;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lengthy and unpredictable membership sales cycle, including delays in potential clients’ decisions whether to subscribe to our solution;</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develop and implement new solutions that meet client requirements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gains or losses realized as a result of our selling patents, including upon the exercise by any of our clients of their limited right to purchase certain of our patent assets for defensive purposes in the event of a patent infringement suit brought against such client by a third party; and</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not experienced seasonality trends to date, we anticipate that we may experience lower new client additions in the third quarter of the year due to vacation schedules of the executive management of many of our prospective clients. 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sufficient interest by mid-and small-sized companies in our 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belief that adequate coverage for the risks and expenses we attempt to reduce is available from alternative products or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or reduce our subscription fee rates, which could harm our operating results. We began introducing a new fee schedule with higher fees in January 2011. This higher cost of membership may make it more difficult for us to attract new clients in the future. In order to attract clients, in certain cases we have previously offered, and may in the future offer, discounts or other contractual incentives to clients who execute multi-year subscription agreements or who make client referrals.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very limited flexibility to change the pricing of our solution for existing clients and may not be able to respond effectively to changes in our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limited flexibility could have an adverse effect on our operating results.</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as an offset to the increased operating expenses, and our operating results could be adversely affected.</w:t>
      </w:r>
    </w:p>
    <w:p>
      <w:pPr>
        <w:spacing w:after="0" w:line="199"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ind w:firstLine="456"/>
        <w:spacing w:after="0" w:line="291" w:lineRule="auto"/>
        <w:rPr>
          <w:sz w:val="20"/>
          <w:szCs w:val="20"/>
          <w:color w:val="auto"/>
        </w:rPr>
      </w:pPr>
      <w:r>
        <w:rPr>
          <w:rFonts w:ascii="Arial" w:cs="Arial" w:eastAsia="Arial" w:hAnsi="Arial"/>
          <w:sz w:val="16"/>
          <w:szCs w:val="16"/>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0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 average term of our subscription agreements in effect as of June 30, 2011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 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1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standard have the right to terminate their memberships. In addition, a select number of our subscription agreements also provide that if we fail in any year to acquire patent assets broadly related to information technology worth at least a specified amount that is lower than the minimum amount generally included in our subscription agreements, then those clients have the right to terminate their memberships. If we fail to meet these standards and clients elect to terminate their membership, our operating results will be harmed.</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2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5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0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w:t>
      </w:r>
    </w:p>
    <w:p>
      <w:pPr>
        <w:spacing w:after="0" w:line="22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Altitude Capital Partners,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that seek to acquire patent assets in connection with new or existing product and service offerings.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current or potential competitors vary widely in size and in the scope and breadth of the products and services they offer. Many of our competitors have greater financial resources and a larger customer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occasionally identify patent assets that cost more than we are prepared to spend with our own capital resources or that may be relevant only to a very small number of clients. In these circumstances, we may structure a transaction in which certain of our clients contribute funds that are in addition to their subscription fees in order to acquire those patent assets. These structured acquisitions are complex. We may incur significant costs to organize and negotiate a structured acquisition that does not ultimately result in an acquisition of any patent assets. These higher costs could adversely affect our operating results.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 However, such estimates and judgment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to significantly increase future expenditures to develop and expand our business, including making substantial expenditures to acquire patent assets and develop new solutions. Our efforts to develop new solutions will result in an increase in our operating expenses with no assurance that such solutions will result in additional revenue that is sufficient to offset the additional expenses we incur.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plan to incur additional operating expenses as we hire new personnel, including employees for client relations, patent research and analysis, development of reporting systems and general and administrative functions. From January 1 through June 30, 2011, our headcount grew from 66 to 81 employees. Because we intend to hire aggressively for the remainder of 2011, we expect our operating expenses to increase substantially. In addition, as a public company, we will incur additional significant legal, accounting and other expenses that we did not incur as a private company. If we are not successful in generating additional revenue that is sufficient to offset these expected operating expense increases, our operating results may be harmed.</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mid-and small-size companies, we may not be able to maintain our growth and our business and results of operations may be harmed.</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current clients are very large companies. The number of companies of that size is limited, so in order for us to continue our growth, we need to expand our membership base to include mid-and small-size companies. There is no guarantee that we will be successful in those efforts. Those companies often have more limited budgets available for solutions of the type we offer compared to larger companies.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20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Our revenue is concentrated in a small number of clients, and if we are not able to obtain membership renewals from these clients, our revenue may decrease substantially.</w:t>
      </w:r>
    </w:p>
    <w:p>
      <w:pPr>
        <w:spacing w:after="0" w:line="5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six months ended June 30, 2011, our 10 highest revenue generating clients accounted for approximately 34% of our total revenue. We expect that a significant portion of our revenue will continue to come from a relatively small number of clients for the foreseeable future. If any of these clients choose not to renew their memberships, or if our subscription fees from them decline, our revenue may correspondingly decrease and our operating results may be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attract new clients and retain existing clients, we need to enhance and improve our existing solution and introduce new solutions that meet the needs of our clients. In the future, we may also seek to acquire or invest in businesses, products or technologies that we believe could complement or expand our service offerings, enhance our technical capabilities or otherwise offer growth opportunities. We are currently developing programs to facilitate joint defense and cross-license arrangements among clients that pay us additional fees to participate in those arrangements. As part of our potential joint defense solution, we are developing a plan to establish a risk retention group to help our clients cover costs incurred in defending patent infringement claims. If we facilitate the formation of a risk retention group, we may elect to provide part of the capital necessary to obtain regulatory approval. If we provide part of the risk capital and the risk-retention group experiences losses that exceed projected levels, the value of our investment would be impaired. This impairment could negatively affect our operating results.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substantially expanded our overall business, headcount and operations in recent periods. We plan to aggressively expand our operations and headcount in the future in order to support our efforts to increase our membership base, continue to acquire valuable patent assets and develop additional solutions. Further, increases in our membership base could create challenges in our ability to provide our solutions and support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some acquisitions of patent assets, we may seek to defer payment or finance a portion of the acquisition price. This approach may put us at a competitive disadvantage and could result in harm to our business.</w:t>
      </w:r>
    </w:p>
    <w:p>
      <w:pPr>
        <w:spacing w:after="0" w:line="5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limited capital and often seek to negotiate acquisitions of patent assets where we can defer payments or finance a portion of the acquisition price. These types of debt financing or deferred payment arrangements are generally not as attractive to sellers of patent assets as receiving the full purchase price for those assets in cash at the closing of the acquisition. As a result, we might not compete effectively against other companies in the market for patent assets, many of whom have greater cash resources than we have. In addition, any failure to satisfy our debt repayment obligations may result in adverse consequences.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We occasionally sell previously acquired patents to third parties. If a patent we sell to a third party is later asserted against a client who joined our network after the patent was sold and who did not receive a license to the patents in connection with the sale, our reputation could be harmed. If our reputation is harmed, we may have more difficulty attracting new clients and retaining existing clients, and our operating results could be adversely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We may become involved in patent litigation proceedings related to our clients. Our involvement could cause us to expend significant resources and could require us to disclose information related to our clients, which could cause such clients not to renew their subscriptions with us.</w:t>
      </w:r>
    </w:p>
    <w:p>
      <w:pPr>
        <w:spacing w:after="0" w:line="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2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acquire patent assets, satisfy debt payment obligations related to patent asset acquisitions,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then-current operating income or revenue. If the subscription fees payable under our subscription agreement are reduced substantially, it would have an adverse effect on our business and results of operations.</w:t>
      </w: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may not be able to integrate the acquired personnel, operations and technologies successfully or effectively manage the combined business following the completion of the acquisition. We may also not achieve the anticipated benefits from the acquired business due to a number of factors, including:</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condition may suffer.</w:t>
      </w:r>
    </w:p>
    <w:p>
      <w:pPr>
        <w:spacing w:after="0" w:line="24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public company, we have incurred and will continue to incur significant legal, accounting, investor relations and other expenses that we did not incur as a private company, including costs associated public company reporting requirements. The Sarbanes-Oxley Act,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will need to devote a substantial amount of time to satisfy these requirements. Moreover, these rules and regulations have increased our ongoing legal and financial compliance costs and have made some activities more time consuming and costly.</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resale registrations or result in the inability of registered broker-dealers to make a market in our common stock, any of which could further reduce our stock price and could harm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be subsequently identified.</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vary as a result of the methods, estimates and judgments we use in applying our accounting policies.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is likely to be volatile, and you might not be able to sell your shares at or above the price at which you purchased them.</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There was no public market for our common stock prior to the IPO. The market price of our common stock could be subject to wide fluctuations in response to various factors, some of which are beyond our control. These factors include those discussed in this “Risk Factors” section of this Form 10-Q and others such as:</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75% of our outstanding common stock and will be able to exercise substantial control over all matters requiring stockholder approval. This concentration of ownership limits your ability to influence corporate matters.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June 30, 2011, affiliates of Index Ventures, affiliates of Charles River Ventures and KPCB Holdings, Inc. each beneficially own approximately 18% of our outstanding common stock, and our directors and executive officers and their affiliates, in the aggregate, beneficially own approximately 75%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limits your ability to influence corporate matters and may have the effect of delaying or preventing a third party from acquiring control over us. In addition, each of Index Ventures, Charles River Ventures and KPCB Holdings, Inc. currently have a representative on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 or be sustained.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a limited history as a public company. An active trading market may not develop or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analysts do not publish research or publish unfavorable research about our business, our stock price and trading volume could decline.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analysts publish about us or our business. In the event that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2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Currently, only the shares of common stock sold in the IPO are freely tradable, without restriction, in the public market. Our officers, directors and the holders of substantially all of our common stock have entered into contractual lock-up agreements with the underwriters of the IPO pursuant to which they have agreed not to sell or otherwise transfer any of their common stock or securities convertible into or exchangeable for shares of common stock for a period through the date approximately 180 days after the date of the final prospectus for the IPO. However, the lead underwriters in the IPO may permit these holders to sell shares prior to the expiration of the lock-up agreements with the underwriters.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MHV Partners LLC, an entity affiliated with Shelby Bonnie, and Sanford Robertson, both of whom purchased shares of our common stock in April 2011, have agreed with us to a one-year restricted period with respect to such shares.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After the contractual lock-up agreements pertaining to the IPO expire, up to an additional 37,426,856 shares will be eligible for sale in the public market, 35,011,972 of which are held by directors, executive officers and other affiliates and will be subject to volume limitations under Rule 144 under the Securities Act. In addition, some of these shares are limited by restrictions on sales related to our right of repurchase on unvested shares.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Some of our existing stockholders have demand and piggyback rights to require us to register with the SEC up to 34,636,994 shares of our common stock, subject to expiration of the contractual lock-up agreements. If we register these shares of common stock, the stockholders would be able to sell those shares freely in the public market.</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7,755,828 shares that were subject to outstanding options and 84,467 shares of RSUs as of June 30, 2011 will become eligible for sale in the public market to the extent permitted by the provisions of various vesting agreements, the contractual lock-up agreements and Rules 144 and 701 under the Securities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on May 4, 2011 we registered 9,214,922 shares of our common stock that we may issue under our equity plans. Such shares can be freely sold in the public market upon issuance, subject to any vesting or contractual lock-up agreements.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2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5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5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From January 1 to June 30, 2011, we granted awards for an aggregate of 2,250,616 shares of our common stock to our employees, consultants and other service providers. From January 1 to June 30, 2011, we issued and sold an aggregate of 777,425 shares of our common stock to our employees, consultants, and other service providers at prices ranging from $0.25 to $9.85 per share for an aggregate of $623,244 pursuant to exercises of options granted and a stock award. No underwriters were involved in the foregoing sales of securities. These issuances were undertaken in reliance upon the exemption from registration requirements of Rule 701 and Section 4(2) of the Securities Act. All securities described in this paragraph are deemed restricted securities for purposes of the Securities Act. The instruments representing such issued securities included appropriate legends setting forth that the securities had not been registered and the applicable restrictions on transfer.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IPO was effected through a Registration Statement on Form S-1 (File No. 333-171817) that was declared effective by the SEC on May 3, 2011, which registered an aggregate of 9,695,000 shares of our common stock, including 1,264,565 shares that the underwriters had the option to purchase. On May 9, 2011, 9,065,000 shares of common stock were sold on our behalf and 630,000 shares of common stock were sold on behalf of the selling stockholders, at an initial public offering price of $19.00 per share, for an aggregate gross offering price of $172,235,000 to us, and $11,970,000 to the selling stockholders. The underwriters of the offering were Goldman Sachs &amp; Co., Barclays Capital, Allen &amp; Company LLC, Robert W. Baird &amp; Co., Incorporated and Cowen and Company, LLC. Following the sale of the shares in connection with the closing of the IPO, the offering terminated.</w:t>
      </w:r>
    </w:p>
    <w:p>
      <w:pPr>
        <w:spacing w:after="0" w:line="12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a result of the offering, the Company received net proceeds of approximately $160.2 million, net of underwriting discounts and commissions. The Company incurred offering costs of $2.9 million. The net offering proceeds have been invested in short-term investment-grade securities and money market funds.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pursuant to Rule 424(b).</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2"/>
              </w:rPr>
              <w:t>Incorporated by Reference</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16"/>
        </w:trPr>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rPr>
              <w:t>Exhibit</w:t>
            </w:r>
          </w:p>
        </w:tc>
        <w:tc>
          <w:tcPr>
            <w:tcW w:w="5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Filing</w:t>
            </w: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648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Exhibit Title</w:t>
            </w:r>
          </w:p>
        </w:tc>
        <w:tc>
          <w:tcPr>
            <w:tcW w:w="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File No.</w:t>
            </w:r>
          </w:p>
        </w:tc>
        <w:tc>
          <w:tcPr>
            <w:tcW w:w="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09"/>
        </w:trPr>
        <w:tc>
          <w:tcPr>
            <w:tcW w:w="500" w:type="dxa"/>
            <w:vAlign w:val="bottom"/>
          </w:tcPr>
          <w:p>
            <w:pPr>
              <w:jc w:val="right"/>
              <w:ind w:right="97"/>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RPX Corporation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1/21/11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7"/>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Amended and Restated Bylaws of RPX Corporation</w:t>
            </w: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31.1</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Rule 13-14(a) of the Securities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6"/>
              </w:rPr>
              <w:t>Exchange Act of 1934 as Adopted Pursuant to Section 302 of the Sarbanes-Oxley Act of</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31.2</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Rule 13-14(a) of the Securities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6"/>
              </w:rPr>
              <w:t>Exchange Act of 1934 as Adopted Pursuant to Section 302 of the Sarbanes-Oxley Act of</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32.1</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32.2</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8"/>
              </w:rPr>
              <w:t>Certification of Chief Financial Officer Pursuant to 18 U.S.C. Section 1350, as Adopted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5"/>
              </w:rPr>
              <w:t>The following materials from the RPX Corporation Quarterly Report on Form 10-Q for the</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6"/>
              </w:rPr>
              <w:t>quarter ended June 30, 2011, filed on August 10, 2011 formatted in Extensible Business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Reporting Language (XBRL):</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400" w:hanging="474"/>
        <w:spacing w:after="0"/>
        <w:tabs>
          <w:tab w:leader="none" w:pos="1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 w:lineRule="exact"/>
        <w:rPr>
          <w:rFonts w:ascii="Arial" w:cs="Arial" w:eastAsia="Arial" w:hAnsi="Arial"/>
          <w:sz w:val="18"/>
          <w:szCs w:val="18"/>
          <w:color w:val="auto"/>
        </w:rPr>
      </w:pPr>
    </w:p>
    <w:p>
      <w:pPr>
        <w:ind w:left="1400" w:hanging="474"/>
        <w:spacing w:after="0"/>
        <w:tabs>
          <w:tab w:leader="none" w:pos="1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 w:lineRule="exact"/>
        <w:rPr>
          <w:rFonts w:ascii="Arial" w:cs="Arial" w:eastAsia="Arial" w:hAnsi="Arial"/>
          <w:sz w:val="18"/>
          <w:szCs w:val="18"/>
          <w:color w:val="auto"/>
        </w:rPr>
      </w:pPr>
    </w:p>
    <w:p>
      <w:pPr>
        <w:ind w:left="1400" w:hanging="474"/>
        <w:spacing w:after="0"/>
        <w:tabs>
          <w:tab w:leader="none" w:pos="1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Consolidated Statements of Cash Flows and</w:t>
      </w:r>
    </w:p>
    <w:p>
      <w:pPr>
        <w:spacing w:after="0" w:line="9" w:lineRule="exact"/>
        <w:rPr>
          <w:rFonts w:ascii="Arial" w:cs="Arial" w:eastAsia="Arial" w:hAnsi="Arial"/>
          <w:sz w:val="18"/>
          <w:szCs w:val="18"/>
          <w:color w:val="auto"/>
        </w:rPr>
      </w:pPr>
    </w:p>
    <w:p>
      <w:pPr>
        <w:ind w:left="1400" w:hanging="474"/>
        <w:spacing w:after="0"/>
        <w:tabs>
          <w:tab w:leader="none" w:pos="1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related notes.</w:t>
      </w:r>
    </w:p>
    <w:p>
      <w:pPr>
        <w:spacing w:after="0" w:line="164"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(Registrant)</w:t>
      </w:r>
    </w:p>
    <w:p>
      <w:pPr>
        <w:spacing w:after="0" w:line="23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10, 2011</w:t>
      </w:r>
      <w:r>
        <w:rPr>
          <w:sz w:val="20"/>
          <w:szCs w:val="20"/>
          <w:color w:val="auto"/>
        </w:rPr>
        <w:tab/>
      </w:r>
      <w:r>
        <w:rPr>
          <w:rFonts w:ascii="Arial" w:cs="Arial" w:eastAsia="Arial" w:hAnsi="Arial"/>
          <w:sz w:val="16"/>
          <w:szCs w:val="16"/>
          <w:color w:val="auto"/>
        </w:rPr>
        <w:t>By: /s/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 and Director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10, 2011</w:t>
      </w:r>
      <w:r>
        <w:rPr>
          <w:sz w:val="20"/>
          <w:szCs w:val="20"/>
          <w:color w:val="auto"/>
        </w:rPr>
        <w:tab/>
      </w:r>
      <w:r>
        <w:rPr>
          <w:rFonts w:ascii="Arial" w:cs="Arial" w:eastAsia="Arial" w:hAnsi="Arial"/>
          <w:sz w:val="16"/>
          <w:szCs w:val="16"/>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00"/>
          </w:cols>
          <w:pgMar w:left="240" w:top="459" w:right="11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Incorporated by Reference</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30"/>
        </w:trPr>
        <w:tc>
          <w:tcPr>
            <w:tcW w:w="500" w:type="dxa"/>
            <w:vAlign w:val="bottom"/>
          </w:tcPr>
          <w:p>
            <w:pPr>
              <w:spacing w:after="0" w:line="130" w:lineRule="exact"/>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9"/>
              </w:rPr>
              <w:t>Exhibit</w:t>
            </w:r>
          </w:p>
        </w:tc>
        <w:tc>
          <w:tcPr>
            <w:tcW w:w="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Filing</w:t>
            </w:r>
          </w:p>
        </w:tc>
        <w:tc>
          <w:tcPr>
            <w:tcW w:w="10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Provided</w:t>
            </w: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672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09"/>
        </w:trPr>
        <w:tc>
          <w:tcPr>
            <w:tcW w:w="500" w:type="dxa"/>
            <w:vAlign w:val="bottom"/>
          </w:tcPr>
          <w:p>
            <w:pPr>
              <w:jc w:val="right"/>
              <w:ind w:right="97"/>
              <w:spacing w:after="0"/>
              <w:rPr>
                <w:sz w:val="20"/>
                <w:szCs w:val="20"/>
                <w:color w:val="auto"/>
              </w:rPr>
            </w:pPr>
            <w:r>
              <w:rPr>
                <w:rFonts w:ascii="Arial" w:cs="Arial" w:eastAsia="Arial" w:hAnsi="Arial"/>
                <w:sz w:val="18"/>
                <w:szCs w:val="18"/>
                <w:color w:val="auto"/>
              </w:rPr>
              <w:t>3.1</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Amended and Restated Certificate of Incorporation of RPX Corporation</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1/21/11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500" w:type="dxa"/>
            <w:vAlign w:val="bottom"/>
          </w:tcPr>
          <w:p>
            <w:pPr>
              <w:jc w:val="right"/>
              <w:ind w:right="97"/>
              <w:spacing w:after="0"/>
              <w:rPr>
                <w:sz w:val="20"/>
                <w:szCs w:val="20"/>
                <w:color w:val="auto"/>
              </w:rPr>
            </w:pPr>
            <w:r>
              <w:rPr>
                <w:rFonts w:ascii="Arial" w:cs="Arial" w:eastAsia="Arial" w:hAnsi="Arial"/>
                <w:sz w:val="18"/>
                <w:szCs w:val="18"/>
                <w:color w:val="auto"/>
              </w:rPr>
              <w:t>3.2</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Amended and Restated Bylaws of RPX Corporation</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4/18/11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31.1</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2"/>
              </w:rPr>
              <w:t>Certification of Chief Executive Officer Pursuant to Rule 13-14(a) of the Securities Exchange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31.2</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3"/>
              </w:rPr>
              <w:t>Certification of Chief Financial Officer Pursuant to Rule 13-14(a) of the Securities Exchange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32.1</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of Chief Executive Officer Pursuant to 18 U.S.C. Section 1350, as Adopted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Pursuant to Section 906 of the Sarbanes-Oxley Act of 2002.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right"/>
              <w:ind w:right="97"/>
              <w:spacing w:after="0"/>
              <w:rPr>
                <w:sz w:val="20"/>
                <w:szCs w:val="20"/>
                <w:color w:val="auto"/>
              </w:rPr>
            </w:pPr>
            <w:r>
              <w:rPr>
                <w:rFonts w:ascii="Arial" w:cs="Arial" w:eastAsia="Arial" w:hAnsi="Arial"/>
                <w:sz w:val="18"/>
                <w:szCs w:val="18"/>
                <w:color w:val="auto"/>
                <w:w w:val="85"/>
              </w:rPr>
              <w:t>32.2</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9"/>
              </w:rPr>
              <w:t>Certification of Chief Financial Officer Pursuant to 18 U.S.C. Section 1350, as Adopted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Pursuant to Section 906 of the Sarbanes-Oxley Act of 2002.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6"/>
              </w:rPr>
              <w:t>The following materials from the RPX Corporation Quarterly Report on Form 10-Q for the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00" w:type="dxa"/>
            <w:vAlign w:val="bottom"/>
          </w:tcPr>
          <w:p>
            <w:pPr>
              <w:spacing w:after="0"/>
              <w:rPr>
                <w:sz w:val="18"/>
                <w:szCs w:val="18"/>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w w:val="97"/>
              </w:rPr>
              <w:t>quarter ended June 30, 2011, filed on August 10, 2011 formatted in Extensible Business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7120" w:type="dxa"/>
            <w:vAlign w:val="bottom"/>
            <w:gridSpan w:val="3"/>
          </w:tcPr>
          <w:p>
            <w:pPr>
              <w:ind w:left="280"/>
              <w:spacing w:after="0"/>
              <w:rPr>
                <w:sz w:val="20"/>
                <w:szCs w:val="20"/>
                <w:color w:val="auto"/>
              </w:rPr>
            </w:pPr>
            <w:r>
              <w:rPr>
                <w:rFonts w:ascii="Arial" w:cs="Arial" w:eastAsia="Arial" w:hAnsi="Arial"/>
                <w:sz w:val="18"/>
                <w:szCs w:val="18"/>
                <w:color w:val="auto"/>
              </w:rPr>
              <w:t>Reporting Language (XBRL):</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ind w:left="1260" w:hanging="482"/>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 w:lineRule="exact"/>
        <w:rPr>
          <w:rFonts w:ascii="Arial" w:cs="Arial" w:eastAsia="Arial" w:hAnsi="Arial"/>
          <w:sz w:val="18"/>
          <w:szCs w:val="18"/>
          <w:color w:val="auto"/>
        </w:rPr>
      </w:pPr>
    </w:p>
    <w:p>
      <w:pPr>
        <w:ind w:left="1260" w:hanging="482"/>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 w:lineRule="exact"/>
        <w:rPr>
          <w:rFonts w:ascii="Arial" w:cs="Arial" w:eastAsia="Arial" w:hAnsi="Arial"/>
          <w:sz w:val="18"/>
          <w:szCs w:val="18"/>
          <w:color w:val="auto"/>
        </w:rPr>
      </w:pPr>
    </w:p>
    <w:p>
      <w:pPr>
        <w:ind w:left="1260" w:hanging="482"/>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Cash Flows and</w:t>
      </w:r>
    </w:p>
    <w:p>
      <w:pPr>
        <w:spacing w:after="0" w:line="9" w:lineRule="exact"/>
        <w:rPr>
          <w:rFonts w:ascii="Arial" w:cs="Arial" w:eastAsia="Arial" w:hAnsi="Arial"/>
          <w:sz w:val="18"/>
          <w:szCs w:val="18"/>
          <w:color w:val="auto"/>
        </w:rPr>
      </w:pPr>
    </w:p>
    <w:p>
      <w:pPr>
        <w:ind w:left="1260" w:hanging="482"/>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related notes.</w:t>
      </w:r>
    </w:p>
    <w:p>
      <w:pPr>
        <w:spacing w:after="0" w:line="164"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 and Senior Vice President, Finance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June 30, 2011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June 30, 2011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8"/>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2)"/>
      <w:numFmt w:val="lowerRoman"/>
      <w:start w:val="1"/>
    </w:lvl>
  </w:abstractNum>
  <w:abstractNum w:abstractNumId="14">
    <w:nsid w:val="25E45D32"/>
    <w:multiLevelType w:val="hybridMultilevel"/>
    <w:lvl w:ilvl="0">
      <w:lvlJc w:val="left"/>
      <w:lvlText w:val="+"/>
      <w:numFmt w:val="bullet"/>
      <w:start w:val="1"/>
    </w:lvl>
    <w:lvl w:ilvl="1">
      <w:lvlJc w:val="left"/>
      <w:lvlText w:val="(%2)"/>
      <w:numFmt w:val="lowerRoman"/>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2019-12-11T09:28:32Z</dcterms:created>
  <dcterms:modified xsi:type="dcterms:W3CDTF">2019-12-11T09:28:32Z</dcterms:modified>
</cp:coreProperties>
</file>