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 xml:space="preserve">x </w:t>
      </w:r>
      <w:r>
        <w:rPr>
          <w:rFonts w:ascii="Times New Roman" w:cs="Times New Roman" w:eastAsia="Times New Roman" w:hAnsi="Times New Roman"/>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FISCAL YEAR ENDED DECEMBER 31, 2014</w:t>
      </w:r>
    </w:p>
    <w:p>
      <w:pPr>
        <w:spacing w:after="0" w:line="1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ind w:left="260" w:hanging="252"/>
        <w:spacing w:after="0" w:line="233" w:lineRule="auto"/>
        <w:tabs>
          <w:tab w:leader="none" w:pos="260" w:val="left"/>
        </w:tabs>
        <w:numPr>
          <w:ilvl w:val="0"/>
          <w:numId w:val="1"/>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468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Commission File Number: 001-35146</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RPX Corporation</w:t>
      </w:r>
    </w:p>
    <w:p>
      <w:pPr>
        <w:spacing w:after="0" w:line="1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340"/>
          </w:cols>
          <w:pgMar w:left="240" w:top="229" w:right="319" w:bottom="1440" w:gutter="0" w:footer="0" w:header="0"/>
        </w:sectPr>
      </w:pPr>
    </w:p>
    <w:p>
      <w:pPr>
        <w:spacing w:after="0" w:line="14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26-2990113</w:t>
      </w:r>
    </w:p>
    <w:p>
      <w:pPr>
        <w:spacing w:after="0" w:line="24" w:lineRule="exact"/>
        <w:rPr>
          <w:sz w:val="24"/>
          <w:szCs w:val="24"/>
          <w:color w:val="auto"/>
        </w:rPr>
      </w:pPr>
    </w:p>
    <w:p>
      <w:pPr>
        <w:sectPr>
          <w:pgSz w:w="11900" w:h="16838" w:orient="portrait"/>
          <w:cols w:equalWidth="0" w:num="2">
            <w:col w:w="7420" w:space="720"/>
            <w:col w:w="3200"/>
          </w:cols>
          <w:pgMar w:left="240" w:top="229" w:right="31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sectPr>
          <w:pgSz w:w="11900" w:h="16838" w:orient="portrait"/>
          <w:cols w:equalWidth="0" w:num="2">
            <w:col w:w="7280" w:space="720"/>
            <w:col w:w="3340"/>
          </w:cols>
          <w:pgMar w:left="240" w:top="229"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ONE MARKET PLAZA, SUITE 800</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SAN FRANCISCO, CALIFORNIA 94105</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(866) 779-7641</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40"/>
          </w:cols>
          <w:pgMar w:left="240" w:top="229" w:right="31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2">
            <w:col w:w="6580" w:space="720"/>
            <w:col w:w="4040"/>
          </w:cols>
          <w:pgMar w:left="240" w:top="229" w:right="31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02" w:lineRule="exact"/>
        <w:rPr>
          <w:sz w:val="24"/>
          <w:szCs w:val="24"/>
          <w:color w:val="auto"/>
        </w:rPr>
      </w:pPr>
    </w:p>
    <w:p>
      <w:pPr>
        <w:sectPr>
          <w:pgSz w:w="11900" w:h="16838" w:orient="portrait"/>
          <w:cols w:equalWidth="0" w:num="2">
            <w:col w:w="6680" w:space="720"/>
            <w:col w:w="3940"/>
          </w:cols>
          <w:pgMar w:left="240" w:top="229"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 w:lineRule="exact"/>
        <w:rPr>
          <w:sz w:val="24"/>
          <w:szCs w:val="24"/>
          <w:color w:val="auto"/>
        </w:rPr>
      </w:pPr>
    </w:p>
    <w:p>
      <w:pPr>
        <w:ind w:right="2260"/>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47"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29" w:right="319" w:bottom="1440" w:gutter="0" w:footer="0" w:header="0"/>
          <w:type w:val="continuous"/>
        </w:sectPr>
      </w:pPr>
    </w:p>
    <w:p>
      <w:pPr>
        <w:spacing w:after="0" w:line="12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0" w:lineRule="exact"/>
        <w:rPr>
          <w:sz w:val="24"/>
          <w:szCs w:val="24"/>
          <w:color w:val="auto"/>
        </w:rPr>
      </w:pPr>
    </w:p>
    <w:p>
      <w:pPr>
        <w:sectPr>
          <w:pgSz w:w="11900" w:h="16838" w:orient="portrait"/>
          <w:cols w:equalWidth="0" w:num="4">
            <w:col w:w="2240" w:space="720"/>
            <w:col w:w="4980" w:space="720"/>
            <w:col w:w="1620" w:space="720"/>
            <w:col w:w="340"/>
          </w:cols>
          <w:pgMar w:left="240" w:top="229" w:right="319" w:bottom="1440" w:gutter="0" w:footer="0" w:header="0"/>
          <w:type w:val="continuous"/>
        </w:sectPr>
      </w:pPr>
    </w:p>
    <w:p>
      <w:pPr>
        <w:spacing w:after="0" w:line="4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2280" w:space="720"/>
            <w:col w:w="140" w:space="40"/>
            <w:col w:w="4760" w:space="720"/>
            <w:col w:w="1780" w:space="560"/>
            <w:col w:w="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84" w:lineRule="exact"/>
        <w:tabs>
          <w:tab w:leader="none" w:pos="6820" w:val="left"/>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$906.3 million as of June 30, 2014, which is the last business day of the registrant’s most recently completed second fiscal quarter, based upon the closing sale price on The NASDAQ Global Select Market reported for such date. Shares of common stock held by each officer and director and by each person that owned 5 percent or more of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 outstanding Common Stock were excluded due to the fact that such persons may be deemed to be affiliates. This determination of affiliate status is not necessarily a conclusive determination for other purposes.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54,277,822 shares of the registrant’s common stock issued and outstanding as of February 20, 2015.</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Portions of the Definitive Proxy Statement for registrant’s 2015 Annual Meeting of Stockholders (the “2015 Proxy Statement”), are incorporated by reference in Part III of this Form 10-K to the extent stated herein. The 2015 Proxy Statement will be filed within 120 days of the registrant’s fiscal year ended December 31, 2014.</w:t>
      </w:r>
    </w:p>
    <w:p>
      <w:pPr>
        <w:sectPr>
          <w:pgSz w:w="11900" w:h="16838" w:orient="portrait"/>
          <w:cols w:equalWidth="0" w:num="1">
            <w:col w:w="11380"/>
          </w:cols>
          <w:pgMar w:left="240" w:top="121" w:right="2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80" w:type="dxa"/>
            <w:vAlign w:val="bottom"/>
            <w:gridSpan w:val="10"/>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70"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3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900" w:type="dxa"/>
            <w:vAlign w:val="bottom"/>
            <w:gridSpan w:val="2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8640" w:type="dxa"/>
            <w:vAlign w:val="bottom"/>
            <w:gridSpan w:val="1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Unresolved Staff Comments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Properties</w:t>
              </w:r>
            </w:hyperlink>
          </w:p>
        </w:tc>
        <w:tc>
          <w:tcPr>
            <w:tcW w:w="75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Times New Roman" w:cs="Times New Roman" w:eastAsia="Times New Roman" w:hAnsi="Times New Roman"/>
                <w:sz w:val="18"/>
                <w:szCs w:val="18"/>
                <w:b w:val="1"/>
                <w:bCs w:val="1"/>
                <w:color w:val="0000EE"/>
                <w:w w:val="94"/>
              </w:rPr>
            </w:pPr>
            <w:hyperlink w:anchor="page24">
              <w:r>
                <w:rPr>
                  <w:rFonts w:ascii="Times New Roman" w:cs="Times New Roman" w:eastAsia="Times New Roman" w:hAnsi="Times New Roman"/>
                  <w:sz w:val="18"/>
                  <w:szCs w:val="18"/>
                  <w:b w:val="1"/>
                  <w:bCs w:val="1"/>
                  <w:color w:val="0000EE"/>
                  <w:w w:val="94"/>
                </w:rPr>
                <w:t>PART II</w:t>
              </w:r>
            </w:hyperlink>
          </w:p>
        </w:tc>
        <w:tc>
          <w:tcPr>
            <w:tcW w:w="380" w:type="dxa"/>
            <w:vAlign w:val="bottom"/>
            <w:gridSpan w:val="2"/>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80" w:type="dxa"/>
            <w:vAlign w:val="bottom"/>
            <w:gridSpan w:val="2"/>
          </w:tcPr>
          <w:p>
            <w:pPr>
              <w:spacing w:after="0"/>
              <w:rPr>
                <w:sz w:val="24"/>
                <w:szCs w:val="24"/>
                <w:color w:val="auto"/>
              </w:rPr>
            </w:pPr>
          </w:p>
        </w:tc>
        <w:tc>
          <w:tcPr>
            <w:tcW w:w="8080" w:type="dxa"/>
            <w:vAlign w:val="bottom"/>
            <w:gridSpan w:val="20"/>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2700" w:type="dxa"/>
            <w:vAlign w:val="bottom"/>
            <w:gridSpan w:val="10"/>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Selected Consolidated Financial Data</w:t>
              </w:r>
            </w:hyperlink>
          </w:p>
        </w:tc>
        <w:tc>
          <w:tcPr>
            <w:tcW w:w="53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7"/>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308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4320" w:type="dxa"/>
            <w:vAlign w:val="bottom"/>
            <w:gridSpan w:val="15"/>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Consolidated Financial Statements and Supplementary Data</w:t>
              </w:r>
            </w:hyperlink>
          </w:p>
        </w:tc>
        <w:tc>
          <w:tcPr>
            <w:tcW w:w="52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18"/>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1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Controls and Procedures</w:t>
              </w:r>
            </w:hyperlink>
          </w:p>
        </w:tc>
        <w:tc>
          <w:tcPr>
            <w:tcW w:w="30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Other Information</w:t>
              </w:r>
            </w:hyperlink>
          </w:p>
        </w:tc>
        <w:tc>
          <w:tcPr>
            <w:tcW w:w="778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Times New Roman" w:cs="Times New Roman" w:eastAsia="Times New Roman" w:hAnsi="Times New Roman"/>
                <w:sz w:val="18"/>
                <w:szCs w:val="18"/>
                <w:b w:val="1"/>
                <w:bCs w:val="1"/>
                <w:color w:val="0000EE"/>
                <w:w w:val="88"/>
              </w:rPr>
            </w:pPr>
            <w:hyperlink w:anchor="page67">
              <w:r>
                <w:rPr>
                  <w:rFonts w:ascii="Times New Roman" w:cs="Times New Roman" w:eastAsia="Times New Roman" w:hAnsi="Times New Roman"/>
                  <w:sz w:val="18"/>
                  <w:szCs w:val="18"/>
                  <w:b w:val="1"/>
                  <w:bCs w:val="1"/>
                  <w:color w:val="0000EE"/>
                  <w:w w:val="88"/>
                </w:rPr>
                <w:t>PART III</w:t>
              </w:r>
            </w:hyperlink>
          </w:p>
        </w:tc>
        <w:tc>
          <w:tcPr>
            <w:tcW w:w="34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340" w:type="dxa"/>
            <w:vAlign w:val="bottom"/>
          </w:tcPr>
          <w:p>
            <w:pPr>
              <w:spacing w:after="0"/>
              <w:rPr>
                <w:sz w:val="24"/>
                <w:szCs w:val="24"/>
                <w:color w:val="auto"/>
              </w:rPr>
            </w:pP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Executive Compensation</w:t>
              </w:r>
            </w:hyperlink>
          </w:p>
        </w:tc>
        <w:tc>
          <w:tcPr>
            <w:tcW w:w="2280" w:type="dxa"/>
            <w:vAlign w:val="bottom"/>
            <w:gridSpan w:val="4"/>
          </w:tcPr>
          <w:p>
            <w:pPr>
              <w:spacing w:after="0"/>
              <w:rPr>
                <w:sz w:val="21"/>
                <w:szCs w:val="21"/>
                <w:color w:val="auto"/>
              </w:rPr>
            </w:pPr>
          </w:p>
        </w:tc>
        <w:tc>
          <w:tcPr>
            <w:tcW w:w="546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9"/>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6"/>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Principal Accounting Fees and Services</w:t>
              </w:r>
            </w:hyperlink>
          </w:p>
        </w:tc>
        <w:tc>
          <w:tcPr>
            <w:tcW w:w="41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1040" w:type="dxa"/>
            <w:vAlign w:val="bottom"/>
            <w:gridSpan w:val="4"/>
            <w:vMerge w:val="restart"/>
          </w:tcPr>
          <w:p>
            <w:pPr>
              <w:spacing w:after="0"/>
              <w:rPr>
                <w:rFonts w:ascii="Times New Roman" w:cs="Times New Roman" w:eastAsia="Times New Roman" w:hAnsi="Times New Roman"/>
                <w:sz w:val="18"/>
                <w:szCs w:val="18"/>
                <w:b w:val="1"/>
                <w:bCs w:val="1"/>
                <w:color w:val="0000EE"/>
              </w:rPr>
            </w:pPr>
            <w:hyperlink w:anchor="page69">
              <w:r>
                <w:rPr>
                  <w:rFonts w:ascii="Times New Roman" w:cs="Times New Roman" w:eastAsia="Times New Roman" w:hAnsi="Times New Roman"/>
                  <w:sz w:val="18"/>
                  <w:szCs w:val="18"/>
                  <w:b w:val="1"/>
                  <w:bCs w:val="1"/>
                  <w:color w:val="0000EE"/>
                </w:rPr>
                <w:t>PART IV</w:t>
              </w:r>
            </w:hyperlink>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40" w:type="dxa"/>
            <w:vAlign w:val="bottom"/>
          </w:tcPr>
          <w:p>
            <w:pPr>
              <w:spacing w:after="0"/>
              <w:rPr>
                <w:sz w:val="24"/>
                <w:szCs w:val="24"/>
                <w:color w:val="auto"/>
              </w:rPr>
            </w:pPr>
          </w:p>
        </w:tc>
        <w:tc>
          <w:tcPr>
            <w:tcW w:w="9540" w:type="dxa"/>
            <w:vAlign w:val="bottom"/>
            <w:gridSpan w:val="21"/>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Exhibits and Consolidated Financial Statement Schedules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980" w:type="dxa"/>
            <w:vAlign w:val="bottom"/>
            <w:gridSpan w:val="8"/>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Times New Roman" w:cs="Times New Roman" w:eastAsia="Times New Roman" w:hAnsi="Times New Roman"/>
                <w:sz w:val="18"/>
                <w:szCs w:val="18"/>
                <w:b w:val="1"/>
                <w:bCs w:val="1"/>
                <w:color w:val="0000EE"/>
                <w:w w:val="97"/>
              </w:rPr>
            </w:pPr>
            <w:hyperlink w:anchor="page70">
              <w:r>
                <w:rPr>
                  <w:rFonts w:ascii="Times New Roman" w:cs="Times New Roman" w:eastAsia="Times New Roman" w:hAnsi="Times New Roman"/>
                  <w:sz w:val="18"/>
                  <w:szCs w:val="18"/>
                  <w:b w:val="1"/>
                  <w:bCs w:val="1"/>
                  <w:color w:val="0000EE"/>
                  <w:w w:val="97"/>
                </w:rPr>
                <w:t>SIGNATURES</w:t>
              </w:r>
            </w:hyperlink>
          </w:p>
        </w:tc>
        <w:tc>
          <w:tcPr>
            <w:tcW w:w="2980" w:type="dxa"/>
            <w:vAlign w:val="bottom"/>
            <w:gridSpan w:val="8"/>
          </w:tcPr>
          <w:p>
            <w:pPr>
              <w:spacing w:after="0"/>
              <w:rPr>
                <w:sz w:val="21"/>
                <w:szCs w:val="21"/>
                <w:color w:val="auto"/>
              </w:rPr>
            </w:pPr>
          </w:p>
        </w:tc>
        <w:tc>
          <w:tcPr>
            <w:tcW w:w="540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5"/>
          </w:tcPr>
          <w:p>
            <w:pPr>
              <w:spacing w:after="0"/>
              <w:rPr>
                <w:rFonts w:ascii="Times New Roman" w:cs="Times New Roman" w:eastAsia="Times New Roman" w:hAnsi="Times New Roman"/>
                <w:sz w:val="18"/>
                <w:szCs w:val="18"/>
                <w:b w:val="1"/>
                <w:bCs w:val="1"/>
                <w:color w:val="0000EE"/>
              </w:rPr>
            </w:pPr>
            <w:hyperlink w:anchor="page71">
              <w:r>
                <w:rPr>
                  <w:rFonts w:ascii="Times New Roman" w:cs="Times New Roman" w:eastAsia="Times New Roman" w:hAnsi="Times New Roman"/>
                  <w:sz w:val="18"/>
                  <w:szCs w:val="18"/>
                  <w:b w:val="1"/>
                  <w:bCs w:val="1"/>
                  <w:color w:val="0000EE"/>
                </w:rPr>
                <w:t>EXHIBITS</w:t>
              </w:r>
            </w:hyperlink>
          </w:p>
        </w:tc>
        <w:tc>
          <w:tcPr>
            <w:tcW w:w="838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7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and competitive position.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93" w:lineRule="exact"/>
        <w:rPr>
          <w:sz w:val="20"/>
          <w:szCs w:val="20"/>
          <w:color w:val="auto"/>
        </w:rPr>
      </w:pPr>
    </w:p>
    <w:p>
      <w:pPr>
        <w:ind w:right="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RPX Corporation (together with its subsidiaries, “RPX”, “the Company”, “our”, “we” or “us”) was incorporated on July 15, 2008 in the state of Delaware. We help companies reduce patent-related risk and expense. Products and services in today’s economy increasingly incorporate innovative and complex technologies that are subject to a growing number of issued patents. As a result of this technology and patent proliferation, companies of all sizes can face significant challenges managing the risks and expenses arising from claims that their products and services infringe on patents owned by others.</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believe the process by which value is transferred from users to owners of patents lacks key attributes of more developed markets, such as an open exchange to execute transactions, transparent pricing information and broadly accepted standard contract terms. Because an orderly and efficient market for the exchange of patent value has yet to develop, this transfer of value is currently driven by litigation or the threat of litigation. Patent litigation today is a multi-billion dollar industry.</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patent risk management solution facilitates more efficient exchanges of value between owners and users of patents compared to transactions driven by actual or threatened litigation. The core of our solution is defensive patent aggregation, in which we acquire patents and licenses to patents that are being or may be asserted against our current and prospective clients. We then license these patent assets to our clients to protect them from potential patent infringement assertions. We believe our solution allows clients to mitigate patent risk at a lower cost than they would be able to achieve through other approaches. We also provide our clients with access to our proprietary patent market intelligence and data. We refer to patents, licenses to patents, patent rights and acquired covenants not to sue specific companies collectively as “patent assets.”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solution offers the following benefits to our clients:</w:t>
      </w:r>
    </w:p>
    <w:p>
      <w:pPr>
        <w:spacing w:after="0" w:line="75" w:lineRule="exact"/>
        <w:rPr>
          <w:sz w:val="20"/>
          <w:szCs w:val="20"/>
          <w:color w:val="auto"/>
        </w:rPr>
      </w:pPr>
    </w:p>
    <w:p>
      <w:pPr>
        <w:ind w:left="820" w:right="60" w:hanging="326"/>
        <w:spacing w:after="0" w:line="267"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Risk of Patent Litigation </w:t>
      </w:r>
      <w:r>
        <w:rPr>
          <w:rFonts w:ascii="Times New Roman" w:cs="Times New Roman" w:eastAsia="Times New Roman" w:hAnsi="Times New Roman"/>
          <w:sz w:val="18"/>
          <w:szCs w:val="18"/>
          <w:color w:val="auto"/>
        </w:rPr>
        <w:t>– Clients reduce their exposure to patent litigation because we continuously assess patent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license and acquire many that are being or may be asserted against our clients or potential clients. Our clients have no litigation risk related to the patents that we own.</w:t>
      </w:r>
    </w:p>
    <w:p>
      <w:pPr>
        <w:spacing w:after="0" w:line="24" w:lineRule="exact"/>
        <w:rPr>
          <w:rFonts w:ascii="Times New Roman" w:cs="Times New Roman" w:eastAsia="Times New Roman" w:hAnsi="Times New Roman"/>
          <w:sz w:val="18"/>
          <w:szCs w:val="18"/>
          <w:color w:val="auto"/>
        </w:rPr>
      </w:pPr>
    </w:p>
    <w:p>
      <w:pPr>
        <w:ind w:left="820" w:hanging="326"/>
        <w:spacing w:after="0" w:line="259"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Licenses </w:t>
      </w:r>
      <w:r>
        <w:rPr>
          <w:rFonts w:ascii="Times New Roman" w:cs="Times New Roman" w:eastAsia="Times New Roman" w:hAnsi="Times New Roman"/>
          <w:sz w:val="18"/>
          <w:szCs w:val="18"/>
          <w:color w:val="auto"/>
        </w:rPr>
        <w:t>– Our annual subscription fee is generally based on a client’s historical financial results. Accordingly, our subscription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predictable for our clients. We believe our approach to pricing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1" w:lineRule="exact"/>
        <w:rPr>
          <w:rFonts w:ascii="Times New Roman" w:cs="Times New Roman" w:eastAsia="Times New Roman" w:hAnsi="Times New Roman"/>
          <w:sz w:val="18"/>
          <w:szCs w:val="18"/>
          <w:color w:val="auto"/>
        </w:rPr>
      </w:pPr>
    </w:p>
    <w:p>
      <w:pPr>
        <w:ind w:left="820" w:right="40" w:hanging="326"/>
        <w:spacing w:after="0" w:line="259"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Patent Risk Management Costs </w:t>
      </w:r>
      <w:r>
        <w:rPr>
          <w:rFonts w:ascii="Times New Roman" w:cs="Times New Roman" w:eastAsia="Times New Roman" w:hAnsi="Times New Roman"/>
          <w:sz w:val="18"/>
          <w:szCs w:val="18"/>
          <w:color w:val="auto"/>
        </w:rPr>
        <w:t>– Clients can reduce their ongoing patent risk management costs by supplementing their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120"/>
        <w:spacing w:after="0" w:line="329" w:lineRule="auto"/>
        <w:rPr>
          <w:sz w:val="20"/>
          <w:szCs w:val="20"/>
          <w:color w:val="auto"/>
        </w:rPr>
      </w:pPr>
      <w:r>
        <w:rPr>
          <w:rFonts w:ascii="Times New Roman" w:cs="Times New Roman" w:eastAsia="Times New Roman" w:hAnsi="Times New Roman"/>
          <w:sz w:val="18"/>
          <w:szCs w:val="18"/>
          <w:color w:val="auto"/>
        </w:rPr>
        <w:t>market. As part of their subscription, our clients have access to this information through our proprietary web portal and through discussions with our client relations team.</w:t>
      </w:r>
    </w:p>
    <w:p>
      <w:pPr>
        <w:spacing w:after="0" w:line="13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Insuring against the cost of non-practicing entity (“NPE”) litigation expense is a natural extension of our core defensive patent aggregation service. In August 2012, we started to offer NPE patent infringement litigation expense insurance, which is a liability insurance policy for operating companies that covers certain costs associated with patent infringement lawsuits by NPEs. In May 2014, we began assuming some portion of the underwriting risk on insurance policies that we issue on behalf of a Lloyd's of London underwriting syndicate. The insurance product complements our core defensive patent acquisition service, enabling policyholders to better manage and mitigate the risk of NPE patent litigation.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related to patents as the “patent market.”</w:t>
      </w:r>
    </w:p>
    <w:p>
      <w:pPr>
        <w:spacing w:after="0" w:line="18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Patent litigation risk plagues operating companies of all sizes, has the potential to significantly disrupt business activities and distract from normal business operations, and can have a significant adverse financial impact on industry participants. We believe the extensive use of litigation and the threat of litigation prevents efficient transactions between the principal participants in the market: patent owners and operating companies.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Monetization of Patents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Historically, the following fundamental attributes of patents have enabled patent monetization:</w:t>
      </w:r>
    </w:p>
    <w:p>
      <w:pPr>
        <w:spacing w:after="0" w:line="75" w:lineRule="exact"/>
        <w:rPr>
          <w:sz w:val="20"/>
          <w:szCs w:val="20"/>
          <w:color w:val="auto"/>
        </w:rPr>
      </w:pPr>
    </w:p>
    <w:p>
      <w:pPr>
        <w:ind w:left="820" w:right="140" w:hanging="326"/>
        <w:spacing w:after="0" w:line="284"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Provide a Limited Monopoly </w:t>
      </w:r>
      <w:r>
        <w:rPr>
          <w:rFonts w:ascii="Times New Roman" w:cs="Times New Roman" w:eastAsia="Times New Roman" w:hAnsi="Times New Roman"/>
          <w:sz w:val="18"/>
          <w:szCs w:val="18"/>
          <w:color w:val="auto"/>
        </w:rPr>
        <w:t>– In exchange for public disclosure of an invention, a patent owner is granted a monopoly over the use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patented invention for a specified period, typically 20 years from the filing of the patent application.</w:t>
      </w:r>
    </w:p>
    <w:p>
      <w:pPr>
        <w:spacing w:after="0" w:line="9" w:lineRule="exact"/>
        <w:rPr>
          <w:rFonts w:ascii="Times New Roman" w:cs="Times New Roman" w:eastAsia="Times New Roman" w:hAnsi="Times New Roman"/>
          <w:sz w:val="18"/>
          <w:szCs w:val="18"/>
          <w:color w:val="auto"/>
        </w:rPr>
      </w:pPr>
    </w:p>
    <w:p>
      <w:pPr>
        <w:ind w:left="820" w:right="60" w:hanging="326"/>
        <w:spacing w:after="0" w:line="259"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Confer Negative Rights </w:t>
      </w:r>
      <w:r>
        <w:rPr>
          <w:rFonts w:ascii="Times New Roman" w:cs="Times New Roman" w:eastAsia="Times New Roman" w:hAnsi="Times New Roman"/>
          <w:sz w:val="18"/>
          <w:szCs w:val="18"/>
          <w:color w:val="auto"/>
        </w:rPr>
        <w:t>– Patent rights are negative rights, meaning that they generally enable a patent owner to exclude others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exploitation of a patented invention, regardless of whether the patent owner has the resources to manufacture or commercialize the invention. As the owner of a negative right, a patent owner has recourse through litigation to prevent others from using, making, offering for sale or selling the patented invention. Even when the patented invention is only a component of a broader product or service, the negative right can be enforced against any product or service that incorporates the component.</w:t>
      </w:r>
    </w:p>
    <w:p>
      <w:pPr>
        <w:spacing w:after="0" w:line="31" w:lineRule="exact"/>
        <w:rPr>
          <w:rFonts w:ascii="Times New Roman" w:cs="Times New Roman" w:eastAsia="Times New Roman" w:hAnsi="Times New Roman"/>
          <w:sz w:val="18"/>
          <w:szCs w:val="18"/>
          <w:color w:val="auto"/>
        </w:rPr>
      </w:pPr>
    </w:p>
    <w:p>
      <w:pPr>
        <w:ind w:left="820" w:right="340" w:hanging="326"/>
        <w:spacing w:after="0" w:line="306" w:lineRule="auto"/>
        <w:tabs>
          <w:tab w:leader="none" w:pos="8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Patents May Be Licensed and are Infinitely Divisible </w:t>
      </w:r>
      <w:r>
        <w:rPr>
          <w:rFonts w:ascii="Times New Roman" w:cs="Times New Roman" w:eastAsia="Times New Roman" w:hAnsi="Times New Roman"/>
          <w:sz w:val="17"/>
          <w:szCs w:val="17"/>
          <w:color w:val="auto"/>
        </w:rPr>
        <w:t>– A patent owner can authorize the use of the patented invention by one or more parties,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typically in exchange for licensing fees. There is no legal limit to the amount of licenses a patent owner can provide to market participants.</w:t>
      </w:r>
    </w:p>
    <w:p>
      <w:pPr>
        <w:spacing w:after="0" w:line="1" w:lineRule="exact"/>
        <w:rPr>
          <w:rFonts w:ascii="Times New Roman" w:cs="Times New Roman" w:eastAsia="Times New Roman" w:hAnsi="Times New Roman"/>
          <w:sz w:val="17"/>
          <w:szCs w:val="17"/>
          <w:color w:val="auto"/>
        </w:rPr>
      </w:pPr>
    </w:p>
    <w:p>
      <w:pPr>
        <w:ind w:left="820" w:right="200" w:hanging="326"/>
        <w:spacing w:after="0" w:line="267"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Are Assets That Can Be Transferred </w:t>
      </w:r>
      <w:r>
        <w:rPr>
          <w:rFonts w:ascii="Times New Roman" w:cs="Times New Roman" w:eastAsia="Times New Roman" w:hAnsi="Times New Roman"/>
          <w:sz w:val="18"/>
          <w:szCs w:val="18"/>
          <w:color w:val="auto"/>
        </w:rPr>
        <w:t>– A patent can be sold, in which case the negative right and monopoly associated with the patented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invention are transferred to the buyer. When a patent is sold, the buyer’s negative rights may be constrained by licenses granted by previous owners.</w:t>
      </w:r>
    </w:p>
    <w:p>
      <w:pPr>
        <w:spacing w:after="0" w:line="176"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11" w:lineRule="exact"/>
        <w:rPr>
          <w:sz w:val="20"/>
          <w:szCs w:val="20"/>
          <w:color w:val="auto"/>
        </w:rPr>
      </w:pPr>
    </w:p>
    <w:p>
      <w:pPr>
        <w:ind w:left="820" w:hanging="326"/>
        <w:spacing w:after="0" w:line="267"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Search Capabilities </w:t>
      </w:r>
      <w:r>
        <w:rPr>
          <w:rFonts w:ascii="Times New Roman" w:cs="Times New Roman" w:eastAsia="Times New Roman" w:hAnsi="Times New Roman"/>
          <w:sz w:val="18"/>
          <w:szCs w:val="18"/>
          <w:color w:val="auto"/>
        </w:rPr>
        <w:t>– The entire database of United States patents is searchable on the Internet, enabling patent investors to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patents and their owners. The Internet also makes it much easier for patent owners to identify and research products and services that may relate to their patents.</w:t>
      </w:r>
    </w:p>
    <w:p>
      <w:pPr>
        <w:spacing w:after="0" w:line="24" w:lineRule="exact"/>
        <w:rPr>
          <w:rFonts w:ascii="Times New Roman" w:cs="Times New Roman" w:eastAsia="Times New Roman" w:hAnsi="Times New Roman"/>
          <w:sz w:val="18"/>
          <w:szCs w:val="18"/>
          <w:color w:val="auto"/>
        </w:rPr>
      </w:pPr>
    </w:p>
    <w:p>
      <w:pPr>
        <w:ind w:left="820" w:right="10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Rate of Issuance of Technology Patents </w:t>
      </w:r>
      <w:r>
        <w:rPr>
          <w:rFonts w:ascii="Times New Roman" w:cs="Times New Roman" w:eastAsia="Times New Roman" w:hAnsi="Times New Roman"/>
          <w:sz w:val="18"/>
          <w:szCs w:val="18"/>
          <w:color w:val="auto"/>
        </w:rPr>
        <w:t>– Patents issued with class code identifiers that we classify as technology-related patents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nearly doubled in the past 10 years.</w:t>
      </w:r>
    </w:p>
    <w:p>
      <w:pPr>
        <w:spacing w:after="0" w:line="9" w:lineRule="exact"/>
        <w:rPr>
          <w:rFonts w:ascii="Times New Roman" w:cs="Times New Roman" w:eastAsia="Times New Roman" w:hAnsi="Times New Roman"/>
          <w:sz w:val="18"/>
          <w:szCs w:val="18"/>
          <w:color w:val="auto"/>
        </w:rPr>
      </w:pPr>
    </w:p>
    <w:p>
      <w:pPr>
        <w:ind w:left="820" w:hanging="326"/>
        <w:spacing w:after="0" w:line="25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Overlap of Technology Patents </w:t>
      </w:r>
      <w:r>
        <w:rPr>
          <w:rFonts w:ascii="Times New Roman" w:cs="Times New Roman" w:eastAsia="Times New Roman" w:hAnsi="Times New Roman"/>
          <w:sz w:val="18"/>
          <w:szCs w:val="18"/>
          <w:color w:val="auto"/>
        </w:rPr>
        <w:t>– Because inventors can patent incremental improvements to existing inventions, multiple patents can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designs, makes, uses or sells a product using this technology.</w:t>
      </w:r>
    </w:p>
    <w:p>
      <w:pPr>
        <w:spacing w:after="0" w:line="34" w:lineRule="exact"/>
        <w:rPr>
          <w:rFonts w:ascii="Times New Roman" w:cs="Times New Roman" w:eastAsia="Times New Roman" w:hAnsi="Times New Roman"/>
          <w:sz w:val="18"/>
          <w:szCs w:val="18"/>
          <w:color w:val="auto"/>
        </w:rPr>
      </w:pPr>
    </w:p>
    <w:p>
      <w:pPr>
        <w:ind w:left="820" w:right="40" w:hanging="326"/>
        <w:spacing w:after="0" w:line="284"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Convergence </w:t>
      </w:r>
      <w:r>
        <w:rPr>
          <w:rFonts w:ascii="Times New Roman" w:cs="Times New Roman" w:eastAsia="Times New Roman" w:hAnsi="Times New Roman"/>
          <w:sz w:val="18"/>
          <w:szCs w:val="18"/>
          <w:color w:val="auto"/>
        </w:rPr>
        <w:t>– Modern products and services incorporate numerous technology components, such as the evolution of mobile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growth can be attributed to the expanded set of features and functionality incorporated in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121" w:right="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220"/>
        <w:spacing w:after="0" w:line="319" w:lineRule="auto"/>
        <w:rPr>
          <w:sz w:val="20"/>
          <w:szCs w:val="20"/>
          <w:color w:val="auto"/>
        </w:rPr>
      </w:pPr>
      <w:r>
        <w:rPr>
          <w:rFonts w:ascii="Times New Roman" w:cs="Times New Roman" w:eastAsia="Times New Roman" w:hAnsi="Times New Roman"/>
          <w:sz w:val="18"/>
          <w:szCs w:val="18"/>
          <w:color w:val="auto"/>
        </w:rPr>
        <w:t>today’s smartphones, including touchscreens, Internet access, streaming video, media playback, application store readiness and other web-based services, and Wi-Fi connectivity options.</w:t>
      </w:r>
    </w:p>
    <w:p>
      <w:pPr>
        <w:spacing w:after="0" w:line="1" w:lineRule="exact"/>
        <w:rPr>
          <w:sz w:val="20"/>
          <w:szCs w:val="20"/>
          <w:color w:val="auto"/>
        </w:rPr>
      </w:pPr>
    </w:p>
    <w:p>
      <w:pPr>
        <w:ind w:left="820" w:right="60" w:hanging="326"/>
        <w:spacing w:after="0" w:line="267"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More Companies Employing Patented Technologies </w:t>
      </w:r>
      <w:r>
        <w:rPr>
          <w:rFonts w:ascii="Times New Roman" w:cs="Times New Roman" w:eastAsia="Times New Roman" w:hAnsi="Times New Roman"/>
          <w:sz w:val="18"/>
          <w:szCs w:val="18"/>
          <w:color w:val="auto"/>
        </w:rPr>
        <w:t>– A growing number of companies, including non-technology companies, make, use and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or services that utilize patented inventions. For example, consumer banks now offer online and mobile banking and bill pay as a standard feature, which rely on numerous complex technologies that may be subject to many patents.</w:t>
      </w:r>
    </w:p>
    <w:p>
      <w:pPr>
        <w:spacing w:after="0" w:line="24" w:lineRule="exact"/>
        <w:rPr>
          <w:rFonts w:ascii="Times New Roman" w:cs="Times New Roman" w:eastAsia="Times New Roman" w:hAnsi="Times New Roman"/>
          <w:sz w:val="18"/>
          <w:szCs w:val="18"/>
          <w:color w:val="auto"/>
        </w:rPr>
      </w:pPr>
    </w:p>
    <w:p>
      <w:pPr>
        <w:ind w:left="820" w:right="60" w:hanging="326"/>
        <w:spacing w:after="0" w:line="261"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Specialized Appellate Court for Patent Cases </w:t>
      </w:r>
      <w:r>
        <w:rPr>
          <w:rFonts w:ascii="Times New Roman" w:cs="Times New Roman" w:eastAsia="Times New Roman" w:hAnsi="Times New Roman"/>
          <w:sz w:val="18"/>
          <w:szCs w:val="18"/>
          <w:color w:val="auto"/>
        </w:rPr>
        <w:t>– The United States Court of Appeals for the Federal Circuit was created in 1982 to serve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of these developments have caused significant capital to flow to companies specifically formed to acquire and monetize patent assets.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Emergence and Growth of NPEs</w:t>
      </w:r>
    </w:p>
    <w:p>
      <w:pPr>
        <w:spacing w:after="0" w:line="8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NPEs do not create or sell products or services, but instead monetize patents through licensing and litigation. Some NPEs obtain patents through their own research and development efforts, while others accumulate patents through acquisitions. NPEs have become a major factor in the patent market and an important source of liquidity for patent owners.</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Operating companies can incur significant costs to defend themselves against patent assertions by NPEs. At a minimum, companies faced with an assertion letter typically respond to the assertion letter and evaluate the patents being asserted. If the assertion proceeds to trial, costs grow substantially. NPEs generally do not create or sell their own products or services and therefore are not susceptible to counter assertion, a common defensive strategy in patent disputes between operating companies.</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amount of capital raised by NPEs is currently in the billions of dollars. Some of the large awards and settlements received by NPEs have resulted in extensive media coverage, contributing to a significant influx of capital into the patent market. As of December 31, 2014, we have identified in excess of 3,100 unique NPE plaintiffs that have been active since 2005. In addition, many individual inventors and universities are also using litigation or threat of litigation to monetize patents.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and Benefits to Our Clients</w:t>
      </w:r>
    </w:p>
    <w:p>
      <w:pPr>
        <w:spacing w:after="0" w:line="81"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7"/>
          <w:szCs w:val="17"/>
          <w:color w:val="auto"/>
        </w:rPr>
        <w:t>We have pioneered an approach to help operating companies mitigate and manage patent risk and expense by serving as an intermediary through which they can participate more efficiently in the patent market. Operating companies that join our network and subscribe to our membership pay an annual subscription fee and gain access to our patent risk management solutions. The subscription fee is typically based on a rate card that is tied to a client’s revenue or operating income and remains generally in place over the term of a membership, with adjustments limited to Consumer Price Index increases. By offering a rate card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Defensive Patent Aggregation</w:t>
      </w:r>
    </w:p>
    <w:p>
      <w:pPr>
        <w:spacing w:after="0" w:line="8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core of our solution is defensive patent aggregation, in which we acquire patent assets that are being or may be asserted against our current and prospective clients. We then provide our clients with a license to these patent assets to protect them from potential patent infringement assertions. We acquire patent assets from multiple parties, including operating companies, individual inventors, NPEs, universities,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18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18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As a part of our solution, we provide extensive patent market intelligence and data to our clients. Clients can access this market intelligence and data through our proprietary web portal and through discussions with our client relations team. This market intelligence and data helps our clients better understand past and potential patent acquisition transactions, relevant litigation activity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key participants and trends in the patent market. In a market with limited publicly available data on pricing and terms of licenses and litigation settlement, we believe our data and market intelligence is a valuable resource for our clients and prospects.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Since August 2012, we have offered insurance to cover certain costs of NPE patent litigation as a complementary service to our core solution. The service is designed to give businesses greater control of the unpredictable financial impact of patent litigation. We believe that our access to historical data on NPE patent transactions, litigations, and settlements uniquely enables us to assess and price the insurance based on a company’s risk. In May 2014, we began assuming some portion of the underwriting risk on insurance policies that we issue on behalf of Lloyd's of London underwriting syndicate. The insurance product complements our core defensive patent acquisition service, enabling policyholders to better manage and mitigate the risk of NPE patent litigation. Pricing is based on an actuarial model that calculates an individual client’s insurance premium based on its projected annual frequency (i.e., number of claims during the policy term) and severity (i.e., the amount which it expects to settle a claim).</w:t>
      </w: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Benefits to Our Clients</w:t>
      </w:r>
    </w:p>
    <w:p>
      <w:pPr>
        <w:spacing w:after="0" w:line="8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associated with a single patent assertion, our clients gain access to the following benefits:</w:t>
      </w:r>
    </w:p>
    <w:p>
      <w:pPr>
        <w:spacing w:after="0" w:line="26" w:lineRule="exact"/>
        <w:rPr>
          <w:sz w:val="20"/>
          <w:szCs w:val="20"/>
          <w:color w:val="auto"/>
        </w:rPr>
      </w:pPr>
    </w:p>
    <w:p>
      <w:pPr>
        <w:ind w:left="820" w:right="40" w:hanging="326"/>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Risk of Patent Litigation </w:t>
      </w:r>
      <w:r>
        <w:rPr>
          <w:rFonts w:ascii="Times New Roman" w:cs="Times New Roman" w:eastAsia="Times New Roman" w:hAnsi="Times New Roman"/>
          <w:sz w:val="18"/>
          <w:szCs w:val="18"/>
          <w:color w:val="auto"/>
        </w:rPr>
        <w:t>– Clients reduce their exposure to patent litigation because we continuously assess patent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license and acquire many that are being or may be asserted against our clients or potential clients. Our clients have no litigation risk related to the patents that we own.</w:t>
      </w:r>
    </w:p>
    <w:p>
      <w:pPr>
        <w:spacing w:after="0" w:line="24" w:lineRule="exact"/>
        <w:rPr>
          <w:rFonts w:ascii="Times New Roman" w:cs="Times New Roman" w:eastAsia="Times New Roman" w:hAnsi="Times New Roman"/>
          <w:sz w:val="18"/>
          <w:szCs w:val="18"/>
          <w:color w:val="auto"/>
        </w:rPr>
      </w:pPr>
    </w:p>
    <w:p>
      <w:pPr>
        <w:ind w:left="820" w:right="100" w:hanging="326"/>
        <w:spacing w:after="0" w:line="259"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Cost-Effective Licenses </w:t>
      </w:r>
      <w:r>
        <w:rPr>
          <w:rFonts w:ascii="Times New Roman" w:cs="Times New Roman" w:eastAsia="Times New Roman" w:hAnsi="Times New Roman"/>
          <w:sz w:val="18"/>
          <w:szCs w:val="18"/>
          <w:color w:val="auto"/>
        </w:rPr>
        <w:t>– Our annual subscription fee is typically based on a client’s historical financial results, which provides predictability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our clients. We believe our 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1" w:lineRule="exact"/>
        <w:rPr>
          <w:rFonts w:ascii="Times New Roman" w:cs="Times New Roman" w:eastAsia="Times New Roman" w:hAnsi="Times New Roman"/>
          <w:sz w:val="18"/>
          <w:szCs w:val="18"/>
          <w:color w:val="auto"/>
        </w:rPr>
      </w:pPr>
    </w:p>
    <w:p>
      <w:pPr>
        <w:ind w:left="820" w:right="20" w:hanging="326"/>
        <w:spacing w:after="0" w:line="25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Patent Risk Management Costs </w:t>
      </w:r>
      <w:r>
        <w:rPr>
          <w:rFonts w:ascii="Times New Roman" w:cs="Times New Roman" w:eastAsia="Times New Roman" w:hAnsi="Times New Roman"/>
          <w:sz w:val="18"/>
          <w:szCs w:val="18"/>
          <w:color w:val="auto"/>
        </w:rPr>
        <w:t>– Clients can reduce their ongoing patent risk management costs by supplementing their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relations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8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mission is to transform the patent market by establishing RPX as the essential intermediary between patent owners and operating companies. Our strategy includes the following:</w:t>
      </w:r>
    </w:p>
    <w:p>
      <w:pPr>
        <w:spacing w:after="0" w:line="11" w:lineRule="exact"/>
        <w:rPr>
          <w:sz w:val="20"/>
          <w:szCs w:val="20"/>
          <w:color w:val="auto"/>
        </w:rPr>
      </w:pPr>
    </w:p>
    <w:p>
      <w:pPr>
        <w:ind w:left="82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Growing Our Client Network </w:t>
      </w:r>
      <w:r>
        <w:rPr>
          <w:rFonts w:ascii="Times New Roman" w:cs="Times New Roman" w:eastAsia="Times New Roman" w:hAnsi="Times New Roman"/>
          <w:sz w:val="18"/>
          <w:szCs w:val="18"/>
          <w:color w:val="auto"/>
        </w:rPr>
        <w:t>– We intend to grow our client network by continuing to develop relationships with companies that have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NPE-initiated patent litigation and continuing to demonstrate the value of our patent risk management solution.</w:t>
      </w:r>
    </w:p>
    <w:p>
      <w:pPr>
        <w:spacing w:after="0" w:line="9" w:lineRule="exact"/>
        <w:rPr>
          <w:rFonts w:ascii="Times New Roman" w:cs="Times New Roman" w:eastAsia="Times New Roman" w:hAnsi="Times New Roman"/>
          <w:sz w:val="18"/>
          <w:szCs w:val="18"/>
          <w:color w:val="auto"/>
        </w:rPr>
      </w:pPr>
    </w:p>
    <w:p>
      <w:pPr>
        <w:ind w:left="820" w:right="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Acquiring Additional Patent Assets </w:t>
      </w:r>
      <w:r>
        <w:rPr>
          <w:rFonts w:ascii="Times New Roman" w:cs="Times New Roman" w:eastAsia="Times New Roman" w:hAnsi="Times New Roman"/>
          <w:sz w:val="18"/>
          <w:szCs w:val="18"/>
          <w:color w:val="auto"/>
        </w:rPr>
        <w:t>– We intend to continue to acquire patent assets that are being or may be asserted against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1" w:lineRule="exact"/>
        <w:rPr>
          <w:rFonts w:ascii="Times New Roman" w:cs="Times New Roman" w:eastAsia="Times New Roman" w:hAnsi="Times New Roman"/>
          <w:sz w:val="18"/>
          <w:szCs w:val="18"/>
          <w:color w:val="auto"/>
        </w:rPr>
      </w:pPr>
    </w:p>
    <w:p>
      <w:pPr>
        <w:ind w:left="820" w:right="320" w:hanging="326"/>
        <w:spacing w:after="0" w:line="284"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Focusing on Client Relations </w:t>
      </w:r>
      <w:r>
        <w:rPr>
          <w:rFonts w:ascii="Times New Roman" w:cs="Times New Roman" w:eastAsia="Times New Roman" w:hAnsi="Times New Roman"/>
          <w:sz w:val="18"/>
          <w:szCs w:val="18"/>
          <w:color w:val="auto"/>
        </w:rPr>
        <w:t>– We intend to continue to deliver the highest levels of service and support to our clients, in order to assist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to build and maintain trusting relationships and retain clients.</w:t>
      </w:r>
    </w:p>
    <w:p>
      <w:pPr>
        <w:spacing w:after="0" w:line="9" w:lineRule="exact"/>
        <w:rPr>
          <w:rFonts w:ascii="Times New Roman" w:cs="Times New Roman" w:eastAsia="Times New Roman" w:hAnsi="Times New Roman"/>
          <w:sz w:val="18"/>
          <w:szCs w:val="18"/>
          <w:color w:val="auto"/>
        </w:rPr>
      </w:pPr>
    </w:p>
    <w:p>
      <w:pPr>
        <w:ind w:left="820" w:right="4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Developing Proprietary Technology Solutions for Our Clients </w:t>
      </w:r>
      <w:r>
        <w:rPr>
          <w:rFonts w:ascii="Times New Roman" w:cs="Times New Roman" w:eastAsia="Times New Roman" w:hAnsi="Times New Roman"/>
          <w:sz w:val="18"/>
          <w:szCs w:val="18"/>
          <w:color w:val="auto"/>
        </w:rPr>
        <w:t>– We intend to continue to enhance our proprietary web portal to provide our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most current intelligence and data on patent acquisition opportunities, relevant litigation activity and key market participants and trends that affect their patent risk exposure.</w:t>
      </w:r>
    </w:p>
    <w:p>
      <w:pPr>
        <w:spacing w:after="0" w:line="24" w:lineRule="exact"/>
        <w:rPr>
          <w:rFonts w:ascii="Times New Roman" w:cs="Times New Roman" w:eastAsia="Times New Roman" w:hAnsi="Times New Roman"/>
          <w:sz w:val="18"/>
          <w:szCs w:val="18"/>
          <w:color w:val="auto"/>
        </w:rPr>
      </w:pPr>
    </w:p>
    <w:p>
      <w:pPr>
        <w:ind w:left="820" w:hanging="326"/>
        <w:spacing w:after="0" w:line="259"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Syndicated Transactions </w:t>
      </w:r>
      <w:r>
        <w:rPr>
          <w:rFonts w:ascii="Times New Roman" w:cs="Times New Roman" w:eastAsia="Times New Roman" w:hAnsi="Times New Roman"/>
          <w:sz w:val="18"/>
          <w:szCs w:val="18"/>
          <w:color w:val="auto"/>
        </w:rPr>
        <w:t>– On certain occasions, clients ask us to acquire patent assets that we would not otherwise purchase using our capital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size or limited applicability of the portfolio). In these instances, we facilitate syndicated transactions that include contributions from participating clients in addition to their annual subscription fees. Similar to other acquisitions, these syndicated deals are designed to efficiently share resources and collectively reduce litigation risk. Transaction participants typically pay a fee to RPX for structuring, negotiating and executing the transactions.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20" w:right="360" w:hanging="326"/>
        <w:spacing w:after="0" w:line="28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Offering NPE Insurance </w:t>
      </w:r>
      <w:r>
        <w:rPr>
          <w:rFonts w:ascii="Times New Roman" w:cs="Times New Roman" w:eastAsia="Times New Roman" w:hAnsi="Times New Roman"/>
          <w:sz w:val="18"/>
          <w:szCs w:val="18"/>
          <w:color w:val="auto"/>
        </w:rPr>
        <w:t>– We offer insurance policies for clients interested in additional management of their exposure to patent infringement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brought by NPEs.</w:t>
      </w:r>
    </w:p>
    <w:p>
      <w:pPr>
        <w:spacing w:after="0" w:line="9" w:lineRule="exact"/>
        <w:rPr>
          <w:rFonts w:ascii="Times New Roman" w:cs="Times New Roman" w:eastAsia="Times New Roman" w:hAnsi="Times New Roman"/>
          <w:sz w:val="18"/>
          <w:szCs w:val="18"/>
          <w:color w:val="auto"/>
        </w:rPr>
      </w:pPr>
    </w:p>
    <w:p>
      <w:pPr>
        <w:ind w:left="820" w:right="480" w:hanging="326"/>
        <w:spacing w:after="0" w:line="267"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Providing Complementary Solutions </w:t>
      </w:r>
      <w:r>
        <w:rPr>
          <w:rFonts w:ascii="Times New Roman" w:cs="Times New Roman" w:eastAsia="Times New Roman" w:hAnsi="Times New Roman"/>
          <w:sz w:val="18"/>
          <w:szCs w:val="18"/>
          <w:color w:val="auto"/>
        </w:rPr>
        <w:t>– We believe we can offer complementary solutions that further mitigate patent risks and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companies, including the facilitation of challenges to patent validity, coordinating prior art searches, and other services intended to improve patent quality and reduce expenses for our clients.</w:t>
      </w:r>
    </w:p>
    <w:p>
      <w:pPr>
        <w:spacing w:after="0" w:line="24" w:lineRule="exact"/>
        <w:rPr>
          <w:rFonts w:ascii="Times New Roman" w:cs="Times New Roman" w:eastAsia="Times New Roman" w:hAnsi="Times New Roman"/>
          <w:sz w:val="18"/>
          <w:szCs w:val="18"/>
          <w:color w:val="auto"/>
        </w:rPr>
      </w:pPr>
    </w:p>
    <w:p>
      <w:pPr>
        <w:ind w:left="820" w:right="320" w:hanging="326"/>
        <w:spacing w:after="0" w:line="284"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Our Capabilities Through Acquisitions </w:t>
      </w:r>
      <w:r>
        <w:rPr>
          <w:rFonts w:ascii="Times New Roman" w:cs="Times New Roman" w:eastAsia="Times New Roman" w:hAnsi="Times New Roman"/>
          <w:sz w:val="18"/>
          <w:szCs w:val="18"/>
          <w:color w:val="auto"/>
        </w:rPr>
        <w:t>– We occasionally evaluate the potential acquisition of businesses and technologies that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our capabilities and our patent risk management solution.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 Network</w:t>
      </w:r>
    </w:p>
    <w:p>
      <w:pPr>
        <w:spacing w:after="0" w:line="8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have built a network of clients that includes some of the world’s most prominent technology companies, as well as many smaller and emerging companies. As of December 31, 2014, we had 204 clients.</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believe our patent risk management solution is broadly applicable to companies that design, make or sell technology-based products and services as well as to companies that use technology in their businesses. Our clients are active in a broad range of industries including consumer electronics, personal computers, e-commerce, financial services, software, media content and distribution, mobile communications and handsets, networking and semiconductors.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New Client Acquisitions</w:t>
      </w:r>
    </w:p>
    <w:p>
      <w:pPr>
        <w:spacing w:after="0" w:line="8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membership team identifies potential clients by prioritizing operating companies that have been subject to patent infringement claims initiated by NPEs. The membership team is responsible for educating potential clients on the benefits of our solution and explaining how our solution mitigates patent risk and expense. After we have communicated our business model to a prospective client, we invest considerable resources learning about the company’s business, providing information about the patent market and developing a relationship of trust with the executives responsible for patent-related matters. We also proactively monitor litigation activity related to each of our clients and certain prospective clients to help us direct our patent asset acquisition and membership sales efforts. In addition, we conduct a variety of marketing efforts to establish ourselves as a leading source of information in the patent market, including industry conferences and seminars, public relations and industry research.</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Client Retention and Client Relations</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After a company has become a client, the maintenance of the relationship is handled by our client relations team. One of the primary responsibilities of our client relations team is to maintain frequent dialogue with senior executives of our clients so we can better understand their patent risk profiles. Our continued success and our ability to retain clients depend on our ability to demonstrate that our patent risk management solution reduces their costs in patent matters.</w:t>
      </w:r>
    </w:p>
    <w:p>
      <w:pPr>
        <w:spacing w:after="0" w:line="180"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Our client relations team also provides clients with patent market intelligence and updates on our patent asset acquisitions over the term of their memberships. We provide this information through direct discussions with our clients and also share information with them through our proprietary web portal. We believe our frequent interactions allow us to optimize our patent asset acquisition decisions, thus supporting our client retention efforts.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 Portfolio and Patent Asset Acquisition</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acquire patent assets that are being or may be asserted against current or prospective clients. As of December 31, 2014, we had deployed over $910 million of our capital and the capital of our clients to acquire patent assets. Of this amount, deployment of our capital totaled approximately $660 million. Since inception, approximately two-thirds of our acquisition capital has been deployed for the purchase of patent rights and the balance deployed for the purchase of patents. Acquisitions of patent rights generally benefit only those operating companies that are clients at the time of the acquisition, whereas acquisitions of patents benefit both current and future clients. As of December 31, 2014, approximately one-fourth of our patent assets, based upon acquisition price, had been acquired from brokers or other entities seeking to sell patent assets, while the balance was acquired out of litigation. Our patent asset acquisition efforts have been broadly diversified across the following market sectors: consumer electronics, personal computers, e-commerce, financial services, software, media content and distribution, mobile communications and handsets, networking and semiconductors.</w:t>
      </w:r>
    </w:p>
    <w:p>
      <w:pPr>
        <w:spacing w:after="0" w:line="18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substantial majority of our 227 acquisitions through December 31, 2014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We refer to such transactions as syndicated acquisitions. These syndicated acquisitions may secure rights just for those clients who elect to participate in the transaction or, if we contribute capital, may secure rights for all of our clients.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pricing expectations that we obtained from open market activities,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that were being or may be asserted against each of our clients.</w:t>
      </w:r>
    </w:p>
    <w:p>
      <w:pPr>
        <w:spacing w:after="0" w:line="18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17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Our patent analysts, members of our acquisitions team, and our acquisitions committee employ a rigorous and disciplined approach to evaluating acquisition opportunities.</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situations where patents are already being asserted or litigated against our current or prospective clients, the evaluation process begins with a detailed review of the patents. Depending on the value of the transaction, the complexity of the evaluation process, the number of patent assets in the portfolio and the quality of the information provided by the seller or plaintiff, the patent acquisition process can range from as short as several weeks to more than six months.</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position as a leading acquirer of patent assets gives us extensive access and visibility into the patent market. We closely track patent assets that become available on the market and, as of December 31, 2014, we had reviewed more than 6,700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8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membership clients, we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are other entities that seek to accumulate patent assets, including NPEs such as Acacia Research, Intellectual Ventures and IP Navigation. We also face competition for patent assets from operating companies, including current or potential clients of RPX, that seek to acquire patents or license patent assets in connection with new or existing product offerings.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we compete favorably based on a number of factors:</w:t>
      </w:r>
    </w:p>
    <w:p>
      <w:pPr>
        <w:spacing w:after="0" w:line="77" w:lineRule="exact"/>
        <w:rPr>
          <w:sz w:val="20"/>
          <w:szCs w:val="20"/>
          <w:color w:val="auto"/>
        </w:rPr>
      </w:pPr>
    </w:p>
    <w:p>
      <w:pPr>
        <w:ind w:left="820" w:right="38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alignment of interest and strong relationships with our clients resulting from our pricing structure and guarantee never to assert our patent assets against our clients;</w:t>
      </w:r>
    </w:p>
    <w:p>
      <w:pPr>
        <w:spacing w:after="0" w:line="1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costs associated with patent market transactions by engaging in more transparent discussions based on the economic value of patent assets rather than discussions involving litigation or the threat of litigation;</w:t>
      </w:r>
    </w:p>
    <w:p>
      <w:pPr>
        <w:spacing w:after="0" w:line="13"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efficiency and expand our role in the patent market as our client network and capital available for patent asset acquisitions grows;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data regarding our analysis of the patent market and patent litigation; and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extensive patent market expertise, relationships and transaction experience.</w:t>
      </w:r>
    </w:p>
    <w:p>
      <w:pPr>
        <w:spacing w:after="0" w:line="22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pioneered a patent risk management solution focused on reducing patent-related risk and expense for operating companies. We believe we are the only for-profit company approaching patent risk management from this perspective.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model incorporates attributes that we believe provide us with key competitive strengths:</w:t>
      </w:r>
    </w:p>
    <w:p>
      <w:pPr>
        <w:spacing w:after="0" w:line="75" w:lineRule="exact"/>
        <w:rPr>
          <w:sz w:val="20"/>
          <w:szCs w:val="20"/>
          <w:color w:val="auto"/>
        </w:rPr>
      </w:pPr>
    </w:p>
    <w:p>
      <w:pPr>
        <w:ind w:left="820" w:right="120" w:hanging="326"/>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Alignment of Interests With Our Clients </w:t>
      </w:r>
      <w:r>
        <w:rPr>
          <w:rFonts w:ascii="Times New Roman" w:cs="Times New Roman" w:eastAsia="Times New Roman" w:hAnsi="Times New Roman"/>
          <w:sz w:val="18"/>
          <w:szCs w:val="18"/>
          <w:color w:val="auto"/>
        </w:rPr>
        <w:t>– Our business model aligns our interests with those of our clients. We have not asserted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 our patents. We generate subscription fee revenue based on our published rate card rather than the value of the patent assets we acquire or the potential costs associated with defending against assertions related to our patent assets. As a result, we have relationships with our clients that are based on trust, enabling them to communicate with us without concern that the information shared will be used against them.</w:t>
      </w:r>
    </w:p>
    <w:p>
      <w:pPr>
        <w:sectPr>
          <w:pgSz w:w="11900" w:h="16838" w:orient="portrait"/>
          <w:cols w:equalWidth="0" w:num="1">
            <w:col w:w="11400"/>
          </w:cols>
          <w:pgMar w:left="240" w:top="121"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20" w:right="40" w:hanging="326"/>
        <w:spacing w:after="0" w:line="284"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Network Effect </w:t>
      </w:r>
      <w:r>
        <w:rPr>
          <w:rFonts w:ascii="Times New Roman" w:cs="Times New Roman" w:eastAsia="Times New Roman" w:hAnsi="Times New Roman"/>
          <w:sz w:val="18"/>
          <w:szCs w:val="18"/>
          <w:color w:val="auto"/>
        </w:rPr>
        <w:t>– As we add new clients, we generate new subscription fees that can be used to fund additional acquisitions of patent assets.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enable us to further add new clients and to deliver greater value to our existing clients.</w:t>
      </w:r>
    </w:p>
    <w:p>
      <w:pPr>
        <w:spacing w:after="0" w:line="9" w:lineRule="exact"/>
        <w:rPr>
          <w:rFonts w:ascii="Times New Roman" w:cs="Times New Roman" w:eastAsia="Times New Roman" w:hAnsi="Times New Roman"/>
          <w:sz w:val="18"/>
          <w:szCs w:val="18"/>
          <w:color w:val="auto"/>
        </w:rPr>
      </w:pPr>
    </w:p>
    <w:p>
      <w:pPr>
        <w:ind w:left="820" w:right="20" w:hanging="326"/>
        <w:spacing w:after="0" w:line="26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More Transparent Valuation Discussions </w:t>
      </w:r>
      <w:r>
        <w:rPr>
          <w:rFonts w:ascii="Times New Roman" w:cs="Times New Roman" w:eastAsia="Times New Roman" w:hAnsi="Times New Roman"/>
          <w:sz w:val="18"/>
          <w:szCs w:val="18"/>
          <w:color w:val="auto"/>
        </w:rPr>
        <w:t>– Most participants in the patent market either assert patents or face patent assertions. Because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 patents and are not likely to have patents asserted against us, we are able to have more open and transparent discussions about the value of patent assets than other market participants whose discussions are directly affected by litigation or the threat of litigation.</w:t>
      </w:r>
    </w:p>
    <w:p>
      <w:pPr>
        <w:spacing w:after="0" w:line="24" w:lineRule="exact"/>
        <w:rPr>
          <w:rFonts w:ascii="Times New Roman" w:cs="Times New Roman" w:eastAsia="Times New Roman" w:hAnsi="Times New Roman"/>
          <w:sz w:val="18"/>
          <w:szCs w:val="18"/>
          <w:color w:val="auto"/>
        </w:rPr>
      </w:pPr>
    </w:p>
    <w:p>
      <w:pPr>
        <w:ind w:left="820" w:right="20" w:hanging="326"/>
        <w:spacing w:after="0" w:line="26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 Market Expertise </w:t>
      </w:r>
      <w:r>
        <w:rPr>
          <w:rFonts w:ascii="Times New Roman" w:cs="Times New Roman" w:eastAsia="Times New Roman" w:hAnsi="Times New Roman"/>
          <w:sz w:val="18"/>
          <w:szCs w:val="18"/>
          <w:color w:val="auto"/>
        </w:rPr>
        <w:t>– Since our inception, we have been refining our processes for identifying potentially valuable patent assets, analyzing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evaluating those assets and executing transactions to acquire rights to those assets. We have developed an extensive set of skills, relationships, historical transaction data and methodologies for valuing patent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 dedicated internal team as well as third-party vendors and advisors to assist with the maintenance and prosecution of the patent assets and applications that we acquire.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8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2014, we had 152 employees. Of the total employees, 61 are engaged in sales, marketing and corporate development, 30 in patent acquisition and research, 26 in system development and 35 in legal, finance, administration and operations. None of our employees is represented by a labor union, and we consider current employee relations to be good.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8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July 2008. Our principal executive offices are located at One Market Plaza, Suite 800, San Francisco, California 94105. Our telephone number is (866) 779-7641. Our website address is www.rpxcorp.com. The information on, or that can be accessed through, our website is not part of this Annual Report on Form 10-K.</w:t>
      </w:r>
    </w:p>
    <w:p>
      <w:pPr>
        <w:spacing w:after="0" w:line="176" w:lineRule="exact"/>
        <w:rPr>
          <w:sz w:val="20"/>
          <w:szCs w:val="20"/>
          <w:color w:val="auto"/>
        </w:rPr>
      </w:pPr>
    </w:p>
    <w:p>
      <w:pPr>
        <w:ind w:right="80" w:firstLine="486"/>
        <w:spacing w:after="0" w:line="218" w:lineRule="auto"/>
        <w:rPr>
          <w:sz w:val="20"/>
          <w:szCs w:val="20"/>
          <w:color w:val="auto"/>
        </w:rPr>
      </w:pPr>
      <w:r>
        <w:rPr>
          <w:rFonts w:ascii="Times New Roman" w:cs="Times New Roman" w:eastAsia="Times New Roman" w:hAnsi="Times New Roman"/>
          <w:sz w:val="18"/>
          <w:szCs w:val="18"/>
          <w:color w:val="auto"/>
        </w:rPr>
        <w:t xml:space="preserve">RPX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Rational Patent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registered trademarks of RPX Corporation. Any other trademarks appearing in this Annual Report on Form 10-K are the property of their respective holders.</w:t>
      </w:r>
    </w:p>
    <w:p>
      <w:pPr>
        <w:spacing w:after="0" w:line="19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have a single operating segment. A summary of our financial information by geographic location is found in Note 17, “Segment Reporting,” in the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Securities and Exchange Commission (“SEC”). The SEC maintains a website that contains reports, proxy, and information statements, and other information regarding registrants that file electronically with the SEC at www.sec.gov. The other information posted on our website is not incorporated into this Annual Report on Form 10-K.</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79" w:lineRule="exact"/>
        <w:rPr>
          <w:sz w:val="20"/>
          <w:szCs w:val="20"/>
          <w:color w:val="auto"/>
        </w:rPr>
      </w:pPr>
    </w:p>
    <w:p>
      <w:pPr>
        <w:jc w:val="both"/>
        <w:ind w:right="100" w:firstLine="446"/>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7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1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we need to pay to acquire patent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including those attributable to additional headcount and the costs of new business initiatives;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and unpredictable membership sales cycle, including delays in potential clients’ decisions whether to subscribe to our solution;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subscription fees from clients whose annual subscription fees decrease due to declining operating income or revenue of such clients;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incurred as a result of claims made on insurance policies underwritten by us;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non-renewals from existing clients for any reason;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including through acquisitions or consolidations;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subscription fee rates or changes in our own pricing and discounting policies or those of our competitors;</w:t>
      </w:r>
    </w:p>
    <w:p>
      <w:pPr>
        <w:spacing w:after="0" w:line="76"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acquire patent assets that are being asserted or may be asserted against our clients due to lack of availability, unfavorable pricing terms or otherwise;</w:t>
      </w:r>
    </w:p>
    <w:p>
      <w:pPr>
        <w:spacing w:after="0" w:line="1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13"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associated with our acquisitions of patent assets, how we amortize those patent assets and how we recognize revenue under subscription agreements;</w:t>
      </w:r>
    </w:p>
    <w:p>
      <w:pPr>
        <w:spacing w:after="0" w:line="1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patent assets with a shorter estimated useful life that increases our near-term patent asset amortization expense and decreases our earnings;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develop and implement new solutions that meet client requirements in a timely manner;</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clients’ and prospective clients’ costs of litigating patent infringement claims;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w:t>
      </w:r>
    </w:p>
    <w:p>
      <w:pPr>
        <w:spacing w:after="0" w:line="76"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the competitive dynamics of our market, including new competitors or substantial discounting of services that are viewed by our target market as competitive to ours;</w:t>
      </w:r>
    </w:p>
    <w:p>
      <w:pPr>
        <w:spacing w:after="0" w:line="1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3"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 the industries that we serve, particularly as they affect the intellectual property risk management and/or litigation budgets of our existing or potential clients.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27"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our ability to significantly reduce patent litigation costs for a particular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assertions from NPEs or decreased patent licensing fees owed to NPEs;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NPEs to bring patent claims or limitations on the potential damages recoverable from such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 to our clients of defending patent assertion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perceived relevance and value in our existing patent asset portfolio by existing or potential clients;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by existing or potential clients about our future ability to obtain rights to patent assets that are being or may be asserted against them;</w:t>
      </w:r>
    </w:p>
    <w:p>
      <w:pPr>
        <w:spacing w:after="0" w:line="63" w:lineRule="exact"/>
        <w:rPr>
          <w:rFonts w:ascii="Times New Roman" w:cs="Times New Roman" w:eastAsia="Times New Roman" w:hAnsi="Times New Roman"/>
          <w:sz w:val="18"/>
          <w:szCs w:val="18"/>
          <w:color w:val="auto"/>
        </w:rPr>
      </w:pPr>
    </w:p>
    <w:p>
      <w:pPr>
        <w:ind w:left="820" w:right="120" w:hanging="326"/>
        <w:spacing w:after="0" w:line="281"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incentives to renew memberships if clients have vested into perpetual licenses in all patent assets that they believe are materially relevant to their businesses;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interest by mid- and small-size companies in our patent risk management or insurance offerings;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 for companies to become clients because we do not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we might change our current business model and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limitations for existing or potential clients; and</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adequate coverage for the risks and expenses we attempt to reduce is available from alternative products or services.</w:t>
      </w:r>
    </w:p>
    <w:p>
      <w:pPr>
        <w:spacing w:after="0" w:line="2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2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solutions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89"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0"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December 31, 2014 was 2.7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89"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0"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0"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76"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cards to the combined entity rather than to each entity separately. Any reduction in subscription fees could harm our business and operating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10"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8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2" w:lineRule="exact"/>
        <w:rPr>
          <w:sz w:val="20"/>
          <w:szCs w:val="20"/>
          <w:color w:val="auto"/>
        </w:rPr>
      </w:pPr>
    </w:p>
    <w:p>
      <w:pPr>
        <w:ind w:right="160" w:firstLine="446"/>
        <w:spacing w:after="0" w:line="255" w:lineRule="auto"/>
        <w:rPr>
          <w:sz w:val="20"/>
          <w:szCs w:val="20"/>
          <w:color w:val="auto"/>
        </w:rPr>
      </w:pPr>
      <w:r>
        <w:rPr>
          <w:rFonts w:ascii="Times New Roman" w:cs="Times New Roman" w:eastAsia="Times New Roman" w:hAnsi="Times New Roman"/>
          <w:sz w:val="18"/>
          <w:szCs w:val="18"/>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26"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6" w:lineRule="exact"/>
        <w:rPr>
          <w:sz w:val="20"/>
          <w:szCs w:val="20"/>
          <w:color w:val="auto"/>
        </w:rPr>
      </w:pPr>
    </w:p>
    <w:p>
      <w:pPr>
        <w:ind w:right="20" w:firstLine="446"/>
        <w:spacing w:after="0" w:line="258" w:lineRule="auto"/>
        <w:rPr>
          <w:sz w:val="20"/>
          <w:szCs w:val="20"/>
          <w:color w:val="auto"/>
        </w:rPr>
      </w:pPr>
      <w:r>
        <w:rPr>
          <w:rFonts w:ascii="Times New Roman" w:cs="Times New Roman" w:eastAsia="Times New Roman" w:hAnsi="Times New Roman"/>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76"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76"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10"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89"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76"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acquisitions of patent assets are time consuming, complex and costly, which could adversely affect our operating results.</w:t>
      </w:r>
    </w:p>
    <w:p>
      <w:pPr>
        <w:spacing w:after="0" w:line="81"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89"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1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10"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1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We expect to increase future expenditures to develop and expand our business, including making substantial expenditures to develop new solutions. For example, in August 2012 we formed a risk retention group which issues insurance policies to cover the costs of NPE patent claims, and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8" w:lineRule="exact"/>
        <w:rPr>
          <w:sz w:val="20"/>
          <w:szCs w:val="20"/>
          <w:color w:val="auto"/>
        </w:rPr>
      </w:pPr>
    </w:p>
    <w:p>
      <w:pPr>
        <w:jc w:val="both"/>
        <w:ind w:right="40" w:firstLine="446"/>
        <w:spacing w:after="0" w:line="266" w:lineRule="auto"/>
        <w:rPr>
          <w:sz w:val="20"/>
          <w:szCs w:val="20"/>
          <w:color w:val="auto"/>
        </w:rPr>
      </w:pPr>
      <w:r>
        <w:rPr>
          <w:rFonts w:ascii="Times New Roman" w:cs="Times New Roman" w:eastAsia="Times New Roman" w:hAnsi="Times New Roman"/>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launch of insurance products for NPE patent infringement claims, we now face the risks associated with operating an insurance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these risks, our results of operations and financial condition may be adversely affected.</w:t>
      </w:r>
    </w:p>
    <w:p>
      <w:pPr>
        <w:spacing w:after="0" w:line="58"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10" w:lineRule="exact"/>
        <w:rPr>
          <w:sz w:val="20"/>
          <w:szCs w:val="20"/>
          <w:color w:val="auto"/>
        </w:rPr>
      </w:pPr>
    </w:p>
    <w:p>
      <w:pPr>
        <w:ind w:right="200" w:firstLine="446"/>
        <w:spacing w:after="0" w:line="261" w:lineRule="auto"/>
        <w:rPr>
          <w:sz w:val="20"/>
          <w:szCs w:val="20"/>
          <w:color w:val="auto"/>
        </w:rPr>
      </w:pPr>
      <w:r>
        <w:rPr>
          <w:rFonts w:ascii="Times New Roman" w:cs="Times New Roman" w:eastAsia="Times New Roman" w:hAnsi="Times New Roman"/>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we recently acquired DCML Services Corporation, a provider of data, intelligence and consulting on NPEs.</w:t>
      </w:r>
    </w:p>
    <w:p>
      <w:pPr>
        <w:spacing w:after="0" w:line="180"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10"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services and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financial and accounting challenges and complexities in areas such as tax planning, cash management and financial reporting;</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patent or other litigation proceedings related to our clients. Our involvement could cause us to expend significant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could also require us to disclose information related to our clients, which could cause such clients not to renew their subscriptions with us.</w:t>
      </w:r>
    </w:p>
    <w:p>
      <w:pPr>
        <w:spacing w:after="0" w:line="58"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Interpretations of current laws and the passage of future laws could harm our business and operating results.</w:t>
      </w:r>
    </w:p>
    <w:p>
      <w:pPr>
        <w:spacing w:after="0" w:line="81"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9"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10"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We receive a significant amount of our revenue from a limited number of clients. For example, during the year ended December 31, 2014, our 10 highest revenue-generating clients accounted for approximately 29%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0"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we may not attract new clients and our business and operating results may suffer.</w:t>
      </w:r>
    </w:p>
    <w:p>
      <w:pPr>
        <w:spacing w:after="0" w:line="81"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0"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attract, train, integrate and retain highly qualified employees would harm our business.</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0"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10"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increased costs that may adversely affect our operating results and financial condition.</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or as executive officers.</w:t>
      </w:r>
    </w:p>
    <w:p>
      <w:pPr>
        <w:spacing w:after="0" w:line="189"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76"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right="520" w:firstLine="446"/>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vary as a result of the methods, estimates and judgments we use in applying our accounting policies.</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offering an “A” rated NPE insurance product.</w:t>
      </w:r>
    </w:p>
    <w:p>
      <w:pPr>
        <w:spacing w:after="0" w:line="81"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coverage may not be available to us in the future at commercially reasonable rates or at all.</w:t>
      </w:r>
    </w:p>
    <w:p>
      <w:pPr>
        <w:spacing w:after="0" w:line="81"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As of December 31, 2014, we had secured quota share reinsurance for 50% of the risk underwritten through our risk retention group. In addition, we act as reinsurer for a portion of the risk underwritten through our "A" rated NPE insurance product.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0"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10"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condition and operating results;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clients;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800" w:hanging="326"/>
        <w:spacing w:after="0" w:line="281"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or modification of laws, regulations, policies, procedures or programs applicable to our business, including those related to the enforcement of patent claims;</w:t>
      </w:r>
    </w:p>
    <w:p>
      <w:pPr>
        <w:spacing w:after="0" w:line="1" w:lineRule="exact"/>
        <w:rPr>
          <w:rFonts w:ascii="Times New Roman" w:cs="Times New Roman" w:eastAsia="Times New Roman" w:hAnsi="Times New Roman"/>
          <w:sz w:val="18"/>
          <w:szCs w:val="18"/>
          <w:color w:val="auto"/>
        </w:rPr>
      </w:pPr>
    </w:p>
    <w:p>
      <w:pPr>
        <w:ind w:left="820" w:right="60" w:hanging="326"/>
        <w:spacing w:after="0" w:line="281"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and services, acquisitions, strategic alliances or significant agreements by us or by our competitors;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members of our Board of Directors, management team or other key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and the economy as a whole;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or resulting from inconsistent trading volume levels of our shares;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or closing of our employee trading window.</w:t>
      </w:r>
    </w:p>
    <w:p>
      <w:pPr>
        <w:spacing w:after="0" w:line="225"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10"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0"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62" w:lineRule="exact"/>
        <w:rPr>
          <w:sz w:val="20"/>
          <w:szCs w:val="20"/>
          <w:color w:val="auto"/>
        </w:rPr>
      </w:pPr>
    </w:p>
    <w:p>
      <w:pPr>
        <w:jc w:val="both"/>
        <w:ind w:right="220" w:firstLine="446"/>
        <w:spacing w:after="0" w:line="266" w:lineRule="auto"/>
        <w:rPr>
          <w:sz w:val="20"/>
          <w:szCs w:val="20"/>
          <w:color w:val="auto"/>
        </w:rPr>
      </w:pPr>
      <w:r>
        <w:rPr>
          <w:rFonts w:ascii="Times New Roman" w:cs="Times New Roman" w:eastAsia="Times New Roman" w:hAnsi="Times New Roman"/>
          <w:sz w:val="18"/>
          <w:szCs w:val="18"/>
          <w:color w:val="auto"/>
        </w:rPr>
        <w:t>As of December 31, 2014, some of our existing stockholders have demand and piggyback rights to require us to register with the SEC approximately 1,490,000 shares of our common stock. If we register these shares of common stock, the stockholders would be able to sell those shares freely in the public market.</w:t>
      </w:r>
    </w:p>
    <w:p>
      <w:pPr>
        <w:spacing w:after="0" w:line="176"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62" w:lineRule="exact"/>
        <w:rPr>
          <w:sz w:val="20"/>
          <w:szCs w:val="20"/>
          <w:color w:val="auto"/>
        </w:rPr>
      </w:pPr>
    </w:p>
    <w:p>
      <w:pPr>
        <w:ind w:right="340" w:firstLine="446"/>
        <w:spacing w:after="0" w:line="282" w:lineRule="auto"/>
        <w:rPr>
          <w:sz w:val="20"/>
          <w:szCs w:val="20"/>
          <w:color w:val="auto"/>
        </w:rPr>
      </w:pPr>
      <w:r>
        <w:rPr>
          <w:rFonts w:ascii="Times New Roman" w:cs="Times New Roman" w:eastAsia="Times New Roman" w:hAnsi="Times New Roman"/>
          <w:sz w:val="18"/>
          <w:szCs w:val="18"/>
          <w:color w:val="auto"/>
        </w:rPr>
        <w:t>If any of these additional shares described are sold, or if it is perceived that they will be sold, in the public market, the trading price of our common stock could decline.</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0"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22"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majority stockholder vote;</w:t>
      </w:r>
    </w:p>
    <w:p>
      <w:pPr>
        <w:spacing w:after="0" w:line="63" w:lineRule="exact"/>
        <w:rPr>
          <w:rFonts w:ascii="Times New Roman" w:cs="Times New Roman" w:eastAsia="Times New Roman" w:hAnsi="Times New Roman"/>
          <w:sz w:val="18"/>
          <w:szCs w:val="18"/>
          <w:color w:val="auto"/>
        </w:rPr>
      </w:pPr>
    </w:p>
    <w:p>
      <w:pPr>
        <w:ind w:left="820" w:right="100" w:hanging="326"/>
        <w:spacing w:after="0" w:line="28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 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stockholders with the ability to cumulate their votes;</w:t>
      </w:r>
    </w:p>
    <w:p>
      <w:pPr>
        <w:spacing w:after="0" w:line="63" w:lineRule="exact"/>
        <w:rPr>
          <w:rFonts w:ascii="Times New Roman" w:cs="Times New Roman" w:eastAsia="Times New Roman" w:hAnsi="Times New Roman"/>
          <w:sz w:val="18"/>
          <w:szCs w:val="18"/>
          <w:color w:val="auto"/>
        </w:rPr>
      </w:pPr>
    </w:p>
    <w:p>
      <w:pPr>
        <w:ind w:left="820" w:right="160" w:hanging="326"/>
        <w:spacing w:after="0" w:line="28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stockholder voting to effect certain amendments to our amended and restated certificate of incorporation and amended and restated bylaws; and</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notification of stockholder nominations and proposals.</w:t>
      </w:r>
    </w:p>
    <w:p>
      <w:pPr>
        <w:spacing w:after="0" w:line="2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1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February of 2015, our board of directors approved a share repurchase program of up to $75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0" w:lineRule="exact"/>
        <w:rPr>
          <w:sz w:val="20"/>
          <w:szCs w:val="20"/>
          <w:color w:val="auto"/>
        </w:rPr>
      </w:pPr>
    </w:p>
    <w:p>
      <w:pPr>
        <w:jc w:val="both"/>
        <w:ind w:right="120" w:firstLine="44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currently lease approximately 67,000 square feet of office space in one location in San Francisco, California pursuant to a lease agreement that expires in October 2019. We also maintain a sales office in Japan and Taiwan. We believe that our current facilities are suitable and adequate to meet our current needs and we intend to add new facilities or expand existing facilities as we add employees. We believe that suitable additional or substitute space will be available as needed to accommodate expansion of our operations.</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a party to various litigation claims in the normal course of business. Legal fees and other costs associated with such actions are expensed as incurred. We assess, in conjunction with our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December 31, 2014.</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June 2013, Kevin O’Halloran, as Trustee of the Liquidating Trust of Teltronics, Inc. (the “Debtor”), filed a complaint in the U.S. Bankruptcy Court for the Middle District of Florida against us and Harris Corporation (the “Defendants”). The complaint alleges that the Defendants are liable under federal and state bankruptcy law regarding fraudulent transfers for the value of a patent portfolio that we purchased from Harris Corporation pursuant to an agreement entered into in January 2009, and within four years of the date the Debtor filed its petition in bankruptcy. We are not currently able to determine whether there is a reasonable possibility that a loss has been incurred, nor can we estimate the potential loss or range of the potential loss that may result from this litigation.</w:t>
      </w:r>
    </w:p>
    <w:p>
      <w:pPr>
        <w:spacing w:after="0" w:line="1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March 2012, Cascades Computer Innovations LLC filed a complaint in U.S. District Court for the Northern District of California (the “Court”) against us and five of our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has subsequently continued the stay until June 2015. We are not currently able to determine whether there is a reasonable possibility that a loss has been incurred, nor can we estimate the potential loss or range of the potential loss that may result from this litigation.</w:t>
      </w:r>
    </w:p>
    <w:p>
      <w:pPr>
        <w:spacing w:after="0" w:line="14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8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40" w:type="dxa"/>
            <w:vAlign w:val="bottom"/>
          </w:tcPr>
          <w:p>
            <w:pPr>
              <w:spacing w:after="0"/>
              <w:rPr>
                <w:sz w:val="16"/>
                <w:szCs w:val="16"/>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year ended December 31, 2013:</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15.95</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year ended December 31, 2014:</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15.40</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13.73</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8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At February 20, 2015, there were 33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8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79"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Securities Act.</w:t>
      </w:r>
    </w:p>
    <w:p>
      <w:pPr>
        <w:spacing w:after="0" w:line="17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following graph shows the value of an investment of $100 on May 4, 2011 (the date our common stock commenced trading on the NASDAQ Global Select Market) in our common stock, the NASDAQ Composite Index and the NASDAQ-100 Technology Sector Index. Data for the NASDAQ Composite Index and the NASDAQ-100 Technology Sector Index assume reinvestment of dividends. The comparisons shown in the graph are based upon historical data and we caution that the stock price performance shown in the graph is not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128270</wp:posOffset>
            </wp:positionV>
            <wp:extent cx="5282565" cy="4168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256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completed on July 29, 2014 of all the issued and outstanding membership interests in DCML Services Corporation, the Company issued 182,408 shares of its common stock. This transaction was exempt from registration under Securities Act in reliance upon Section 4(2) of the Securities Act and Regulation D promulgated thereunder.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repurchases of unvested shares during the year ended December 31, 2014.</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Consolidated Financial Data.</w:t>
      </w:r>
    </w:p>
    <w:p>
      <w:pPr>
        <w:spacing w:after="0" w:line="8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selected consolidated financial data for the years ended December 31, 2014, 2013 and 2012, as well as the consolidated balance sheet data as of December 31, 2014 and 2013, are derived from our audited consolidated financial statements that are included elsewhere in this Annual Report on Form 10-K. The selected consolidated financial data for years ended December 31, 2011 and 2010 as well as the consolidated balance sheet data as of December 31, 2012, 2011 and 2010 are derived from audited consolidated financial statements not included in this Annual Report on Form 10-K. The historical results presented below are not necessarily indicative of results of future operations, and should be read in conjunction with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and the consolidated financial statements and related notes thereto included in Part II, Item 8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Form 10-K to fully understand factors that may affect the comparability of the information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2010</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7"/>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259,335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237,504</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197,688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154,044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62,069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40,763</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38,455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per common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9" w:lineRule="exact"/>
        <w:rPr>
          <w:sz w:val="20"/>
          <w:szCs w:val="20"/>
          <w:color w:val="auto"/>
        </w:rPr>
      </w:pPr>
    </w:p>
    <w:p>
      <w:pPr>
        <w:jc w:val="right"/>
        <w:ind w:left="40"/>
        <w:spacing w:after="0" w:line="281" w:lineRule="auto"/>
        <w:rPr>
          <w:sz w:val="20"/>
          <w:szCs w:val="20"/>
          <w:color w:val="auto"/>
        </w:rPr>
      </w:pPr>
      <w:r>
        <w:rPr>
          <w:rFonts w:ascii="Times New Roman" w:cs="Times New Roman" w:eastAsia="Times New Roman" w:hAnsi="Times New Roman"/>
          <w:sz w:val="18"/>
          <w:szCs w:val="18"/>
          <w:color w:val="auto"/>
        </w:rPr>
        <w:t>Weighted-average shares used in computing net income available to common stockholders per common share:</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53,444</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51,956</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49,766</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5,747</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54,818</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53,652</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51,802</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7,164</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262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080" w:space="620"/>
            <w:col w:w="67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317,533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290,722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199,730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233,725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46,656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assets, net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236,349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219,954</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199,314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163,352</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126,508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642,064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588,801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493,967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437,994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197,022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136,209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137,743</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104,371</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108,275</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82,440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 and other deferred payment obligations,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including current portion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5,056</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23,583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157,019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163,878</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133,708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138,910</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123,522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62,793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485,045</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424,923</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360,259</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299,084</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10,707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91" w:lineRule="exact"/>
        <w:rPr>
          <w:sz w:val="20"/>
          <w:szCs w:val="20"/>
          <w:color w:val="auto"/>
        </w:rPr>
      </w:pPr>
    </w:p>
    <w:p>
      <w:pPr>
        <w:ind w:right="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62" w:lineRule="exact"/>
        <w:rPr>
          <w:sz w:val="20"/>
          <w:szCs w:val="20"/>
          <w:color w:val="auto"/>
        </w:rPr>
      </w:pPr>
    </w:p>
    <w:p>
      <w:pPr>
        <w:jc w:val="both"/>
        <w:ind w:right="440" w:firstLine="446"/>
        <w:spacing w:after="0" w:line="266" w:lineRule="auto"/>
        <w:rPr>
          <w:sz w:val="20"/>
          <w:szCs w:val="20"/>
          <w:color w:val="auto"/>
        </w:rPr>
      </w:pPr>
      <w:r>
        <w:rPr>
          <w:rFonts w:ascii="Times New Roman" w:cs="Times New Roman" w:eastAsia="Times New Roman" w:hAnsi="Times New Roman"/>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76"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76" w:lineRule="exact"/>
        <w:rPr>
          <w:sz w:val="20"/>
          <w:szCs w:val="20"/>
          <w:color w:val="auto"/>
        </w:rPr>
      </w:pPr>
    </w:p>
    <w:p>
      <w:pPr>
        <w:ind w:right="40" w:firstLine="44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revenue grew to $259.3 million from $237.5 million for the year ended December 31, 2013. During 2014, 2013 and 2012, our client count increased by 36, 28 and 28 clients, respectively, bringing our total client network to 204 as of December 31, 2014. At December 31, 2014, we had deferred revenue of $136.2 million.</w:t>
      </w:r>
    </w:p>
    <w:p>
      <w:pPr>
        <w:spacing w:after="0" w:line="176" w:lineRule="exact"/>
        <w:rPr>
          <w:sz w:val="20"/>
          <w:szCs w:val="20"/>
          <w:color w:val="auto"/>
        </w:rPr>
      </w:pPr>
    </w:p>
    <w:p>
      <w:pPr>
        <w:ind w:right="200" w:firstLine="446"/>
        <w:spacing w:after="0" w:line="256" w:lineRule="auto"/>
        <w:rPr>
          <w:sz w:val="20"/>
          <w:szCs w:val="20"/>
          <w:color w:val="auto"/>
        </w:rPr>
      </w:pPr>
      <w:r>
        <w:rPr>
          <w:rFonts w:ascii="Times New Roman" w:cs="Times New Roman" w:eastAsia="Times New Roman" w:hAnsi="Times New Roman"/>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For the year ended December 31, 2014, our gross and net acquisition spend totaled $159.2 million and $136.5 million, respectively, for which we completed 60 acquisitions of patent assets. From our inception through December 31, 2014, we have completed 227 acquisitions of patent assets with gross and net acquisition spend of $914.9 million and $669.3 million, respectively.</w:t>
      </w:r>
    </w:p>
    <w:p>
      <w:pPr>
        <w:spacing w:after="0" w:line="188"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we completed three divestitures of patent assets in the open market. These divestitures did not have a material impact to our results of operations and financial condition. We may divest patent portfolios from time to time, and these divestitures will result in a gain or loss in the period in which the transaction occurs. The amount of consideration received is compared to the patent asset’s carrying value to determine and recognize a gain or loss.</w:t>
      </w:r>
    </w:p>
    <w:p>
      <w:pPr>
        <w:spacing w:after="0" w:line="180"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 better manage and mitigate the risk of NPE patent litigation. As of December 31, 2014, we had a total of 48 active insurance policies. The effect of the insurance policies that have been issued was not material to our results of operations or financial condition. In connection with an evolution of the way that we will sell insurance policies, during March 2014 we formed a reinsurance company to assume some portion of the underwriting risk on insurance policies that the we issue on behalf of a Lloyd’s of London underwriting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syndicate. We began issuing new policies under the reinsurance model in May 2014. As of, and for the year ended December 31, 2014, the effect of the insurance policies issued under the reinsurance model was not material to our results of operations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Subscription revenue includes membership subscription services, premiums earned from insurance policies, and management fees.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shifting to a new reinsurance model under which we recognize only the portion of the underwriting risk that we assume. In addition, we receive management fees for marketing, underwriting, and claims management services. Although we expect this revenue to increase as we sell more policies in the future, for the years ended December 31, 2014 and 2013, revenue from insurance premiums was not material to our results of operations. 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began to include premiums ceded to reinsurers and loss reserves. We began to issue new policies under the reinsurance model in May 2014 and as a result we will no longer be ceding premiums.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 average of 45 months.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primarily consists of interest income earned on our cash, cash equivalents and short-term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 likely than not that our deferred tax assets will be fully realized. Accordingly, we have not applied a valuation allowance against our net deferred tax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8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2 of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79"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color w:val="auto"/>
        </w:rPr>
        <w:t xml:space="preserve">We recognize revenue in accordance with Financial Accounting Standards Board (“FASB”) Accounting Standards Codification (“ASC”) 605,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 </w:t>
      </w:r>
      <w:r>
        <w:rPr>
          <w:rFonts w:ascii="Times New Roman" w:cs="Times New Roman" w:eastAsia="Times New Roman" w:hAnsi="Times New Roman"/>
          <w:sz w:val="18"/>
          <w:szCs w:val="18"/>
          <w:color w:val="auto"/>
        </w:rPr>
        <w:t>(“ASC 605”) and related authoritative guidance. The primary source of our revenue is fees paid by our clients under subscription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subscription component of our patent risk management solution comprises a single deliverable and thus we recognize each subscription fee ratably over the period for which the fee applies. Revenue is recognized net of any discounts or other contractual incentives. We start recognizing revenue when all of the following criteria have been met:</w:t>
      </w:r>
    </w:p>
    <w:p>
      <w:pPr>
        <w:spacing w:after="0" w:line="31"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All subscription fees are supported by an executed subscription agreement.</w:t>
      </w:r>
    </w:p>
    <w:p>
      <w:pPr>
        <w:spacing w:after="0" w:line="76" w:lineRule="exact"/>
        <w:rPr>
          <w:rFonts w:ascii="Times New Roman" w:cs="Times New Roman" w:eastAsia="Times New Roman" w:hAnsi="Times New Roman"/>
          <w:sz w:val="18"/>
          <w:szCs w:val="18"/>
          <w:color w:val="auto"/>
        </w:rPr>
      </w:pPr>
    </w:p>
    <w:p>
      <w:pPr>
        <w:ind w:left="820" w:right="16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The subscription agreement calls for us to provide our patent risk management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specific term commencing on the agreement effective date. Because services are not on an individualized basis (i.e., we generally perform our services on behalf of all of our clients as opposed to each client individually), delivery occurs automatically with the passage of time. Consequently, we recognize subscription revenue ratably.</w:t>
      </w:r>
    </w:p>
    <w:p>
      <w:pPr>
        <w:spacing w:after="0" w:line="31" w:lineRule="exact"/>
        <w:rPr>
          <w:rFonts w:ascii="Times New Roman" w:cs="Times New Roman" w:eastAsia="Times New Roman" w:hAnsi="Times New Roman"/>
          <w:sz w:val="18"/>
          <w:szCs w:val="18"/>
          <w:color w:val="auto"/>
        </w:rPr>
      </w:pPr>
    </w:p>
    <w:p>
      <w:pPr>
        <w:ind w:left="820" w:right="20" w:hanging="326"/>
        <w:spacing w:after="0" w:line="277"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Seller’s price to the buyer is fixed or determinable. </w:t>
      </w:r>
      <w:r>
        <w:rPr>
          <w:rFonts w:ascii="Times New Roman" w:cs="Times New Roman" w:eastAsia="Times New Roman" w:hAnsi="Times New Roman"/>
          <w:sz w:val="17"/>
          <w:szCs w:val="17"/>
          <w:color w:val="auto"/>
        </w:rPr>
        <w:t>Each client’s annual subscription fee is typically based on a rate card in effect at the time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initial agreement. A client’s subscription fee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19" w:lineRule="exact"/>
        <w:rPr>
          <w:rFonts w:ascii="Times New Roman" w:cs="Times New Roman" w:eastAsia="Times New Roman" w:hAnsi="Times New Roman"/>
          <w:sz w:val="17"/>
          <w:szCs w:val="17"/>
          <w:color w:val="auto"/>
        </w:rPr>
      </w:pPr>
    </w:p>
    <w:p>
      <w:pPr>
        <w:ind w:left="820" w:right="60" w:hanging="326"/>
        <w:spacing w:after="0" w:line="267"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reasonably assured. </w:t>
      </w:r>
      <w:r>
        <w:rPr>
          <w:rFonts w:ascii="Times New Roman" w:cs="Times New Roman" w:eastAsia="Times New Roman" w:hAnsi="Times New Roman"/>
          <w:sz w:val="18"/>
          <w:szCs w:val="18"/>
          <w:color w:val="auto"/>
        </w:rPr>
        <w:t>Subscription fees are generally collected on or near the effective date of the agreement and again at or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anniversary date thereof. We do not recognize revenue in instances where collectability is not reasonably assured. Generally, our subscription agreements state that all fees paid are non-refundable.</w:t>
      </w:r>
    </w:p>
    <w:p>
      <w:pPr>
        <w:spacing w:after="0" w:line="17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clients generally receive a term license to, and a release from all prior damages associated with, patent assets in our portfolio. The term license to each patent asset typically converts to a perpetual license at the end of a contractually specified vesting period, provided that the client is a member at such time. We do not view the conversion from term license to perpetual license to be a separate deliverable in our arrangements with our clients because the utility of, access to and freedom to practice the inventions covered by the patent asset is no different between a term and perpetual license.</w:t>
      </w:r>
    </w:p>
    <w:p>
      <w:pPr>
        <w:spacing w:after="0" w:line="180"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some instances, we accept a payment from a client to finance part or all of an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Times New Roman" w:cs="Times New Roman" w:eastAsia="Times New Roman" w:hAnsi="Times New Roman"/>
          <w:sz w:val="18"/>
          <w:szCs w:val="18"/>
          <w:i w:val="1"/>
          <w:iCs w:val="1"/>
          <w:color w:val="auto"/>
        </w:rPr>
        <w:t>Revenue Recognition: Principal Agent Considerations</w:t>
      </w:r>
      <w:r>
        <w:rPr>
          <w:rFonts w:ascii="Times New Roman" w:cs="Times New Roman" w:eastAsia="Times New Roman" w:hAnsi="Times New Roman"/>
          <w:sz w:val="18"/>
          <w:szCs w:val="18"/>
          <w:color w:val="auto"/>
        </w:rPr>
        <w:t>, in instances where we substantively act as an agent to acquire patent rights from a seller on behalf of clients who are paying for such rights separately from their subscription agreements, we may treat the client payments on a net basis. When treated on a net basis, there may be little or no revenue recognized for such contributions, and the basis of the acquired patent rights may exclude the amounts paid by the contributing client based on our determination that we are not the principal in these transactions. In these situations, where we substantively act as an agent, the contributing clients are typically defendants in an active or threatened patent infringement litigation filed by the owner of a patent. Our involvement is to assist our clients to secure a dismissal from litigation and a license to the underlying patents.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indicators evaluated to reach the determination that we are not the principal in the transaction include, among others:</w:t>
      </w:r>
    </w:p>
    <w:p>
      <w:pPr>
        <w:spacing w:after="0" w:line="77" w:lineRule="exact"/>
        <w:rPr>
          <w:sz w:val="20"/>
          <w:szCs w:val="20"/>
          <w:color w:val="auto"/>
        </w:rPr>
      </w:pPr>
    </w:p>
    <w:p>
      <w:pPr>
        <w:ind w:left="820" w:right="180" w:hanging="32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27"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inventory risk, as the clients generally enter into their contractual obligations with us prior to or contemporaneous to us entering into a contractual obligation with the seller;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have limited pricing latitude as client contributions are based on the sales price set by the seller;</w:t>
      </w:r>
    </w:p>
    <w:p>
      <w:pPr>
        <w:spacing w:after="0" w:line="76"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involved in the determination of the product or service specification and have no ability to change the product or perform any part of the service in connection with these transactions, as the seller owns the underlying patent(s); and</w:t>
      </w:r>
    </w:p>
    <w:p>
      <w:pPr>
        <w:spacing w:after="0" w:line="13"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or no credit risk, as each respective client has a contractually binding obligation, such clients are generally of high credit quality and in many instances, we collect the client contribution prior to making a payment to the seller.</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certain syndicated transactions, we may recognize revenue upon the sale of licenses to specific patent assets and/or upon completion of the rendering of advisory services.</w:t>
      </w:r>
    </w:p>
    <w:p>
      <w:pPr>
        <w:spacing w:after="0" w:line="16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arrangements with multiple deliverables. </w:t>
      </w:r>
      <w:r>
        <w:rPr>
          <w:rFonts w:ascii="Times New Roman" w:cs="Times New Roman" w:eastAsia="Times New Roman" w:hAnsi="Times New Roman"/>
          <w:sz w:val="18"/>
          <w:szCs w:val="18"/>
          <w:color w:val="auto"/>
        </w:rPr>
        <w:t>A multiple-element arrangement may include the sale of a subscription to our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management solution and an insurance policy to cover certain costs associated with patent infringement lawsuits by NPEs, each of which are individually considered separate units of accounting. Each element within a multiple-element arrangement is accounted for as a separate unit of accounting given that the delivered products have value to the customer on a standalone basis. We consider a deliverable to have standalone value if the product or service is sold separately by us or another vendor. The delivery of insurance coverage is not dependent on a client’s subscription to our patent risk management solution. While we believe our insurance product offering is unique, our clients are able to purchase insurance coverage as a standalone product from other providers. We sell the components of our our patent risk management solution on a standalone basis.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determined our best estimate of selling price (“BESP”) for a subscription to our patent risk management solution based on the following:</w:t>
      </w:r>
    </w:p>
    <w:p>
      <w:pPr>
        <w:spacing w:after="0" w:line="77" w:lineRule="exact"/>
        <w:rPr>
          <w:sz w:val="20"/>
          <w:szCs w:val="20"/>
          <w:color w:val="auto"/>
        </w:rPr>
      </w:pPr>
    </w:p>
    <w:p>
      <w:pPr>
        <w:ind w:left="1080" w:right="100" w:hanging="316"/>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price, which represents the rates listed on our annual rate card. We publish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revenue and operating income for its most recently completed fiscal years.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determined our BESP for our insurance product based on the following:</w:t>
      </w:r>
    </w:p>
    <w:p>
      <w:pPr>
        <w:spacing w:after="0" w:line="77" w:lineRule="exact"/>
        <w:rPr>
          <w:sz w:val="20"/>
          <w:szCs w:val="20"/>
          <w:color w:val="auto"/>
        </w:rPr>
      </w:pPr>
    </w:p>
    <w:p>
      <w:pPr>
        <w:jc w:val="both"/>
        <w:ind w:left="1080" w:right="180" w:hanging="316"/>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Actuarially determined factors. Although we sell our insurance product both on a standalone basis and as a component of a multiple-element arrangement, the pricing is not affected by the subscription to our patent risk management solution. We use an actuarial model that calculates an individual client’s insurance premium based on its projected annual frequency (i.e., number of claims during the policy term) and severity (i.e., the amount which it expects to settle a claim).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Assets, Net</w:t>
      </w:r>
    </w:p>
    <w:p>
      <w:pPr>
        <w:spacing w:after="0" w:line="81"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We generally acquire patent assets from third parties using cash. Patent assets are recorded at fair value at acquisition.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7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Because each client generally receives a license to the majority of our patent assets, we are unable to reliably determine the pattern over which our patent assets are consumed. As a result, we amortize each patent asset on a straight-line basis. The amortization period is equal to the asset’s estimated economic useful life. Estimating the economic useful life of patent assets requires significant management judgment. We consider various factors in estimating the economic useful lives of our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and the remaining contractual term of our existing clients at the time of acquisition. In certain instances, where we acquire patent assets and secure related client committed cash flows that extend beyond the statutory life of the underlying patents, the useful life may extend beyond the statutory life of the patent assets. As of December 31, 2014, the estimated economic useful life of our patent assets generally ranged from 24 to 60 months. The weighted-average estimated economic useful life of patent assets acquired since inception was 45 months. The weighted-average estimated economic useful life of patent assets acquired during the year ended December 31, 2014 was 39 months. We periodically evaluate whether events and circumstances have occurred that may warrant a revision to the remaining estimated useful life of our patent assets.</w:t>
      </w:r>
    </w:p>
    <w:p>
      <w:pPr>
        <w:spacing w:after="0" w:line="19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instances where we sell patent assets, the amount of consideration received is compared to the asset’s carrying value to determine and recognize a gain or loss.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7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stock-based compensation for equity-settled awards issued to employees and directors under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ASC 718 requires that stock-based compensation expense for equity-settled awards made to employees and directors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based on the estimated grant date fair value and recognized over the requisite service period. These equity-settled awards include stock options, restricted stock units (“RSUs”) and performance-based RSUs with a market condition (“PBRSUs”).</w:t>
      </w:r>
    </w:p>
    <w:p>
      <w:pPr>
        <w:spacing w:after="0" w:line="18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fair value of RSUs is estimated based on the fair market value of our common stock on the date of grant. For stock options and RSUs, the fair value of the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8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fair value of PBRSUs is estimated as of the date of grant using the Monte-Carlo simulation model. For PBRSUs, stock-based compensation expense is recognized over the derived service period for each tranche (or market condition). Because our PBRSUs have multiple derived service periods, we use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these awards will only be reversible if the employee terminates prior to completing the requisite service periods for these awards (i.e., compensation expense will not be reversed if the market condition is not met).</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Estimates of the fair value of equity-settled awards as of the grant date using valuation models, such as the Black-Scholes option-pricing model and a Monte-Carlo simulation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we calculated the expected term using the SEC simplified method. We have limited information on our past volatility and a limited operating history. Therefore, we have estimated the volatility data based on a study of publicly traded industry peer companies. For purposes of identifying these peer companies, we considered the industry, stage of development, size and financial leverage of potential comparable companies. As of the second quarter of 2014, we no longer calculate expected term using the SEC simplified method and began to calculate its expected term. We have not granted any stock options since making the change. The risk-free interest rate is based on the yield available on U.S. Treasury zero-coupon issues similar in duration to the expected term of the equity-settled award.</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stock-based compensation for equity-settled awards issued to non-employees in exchange for goods and services under ASC 505-50, </w:t>
      </w:r>
      <w:r>
        <w:rPr>
          <w:rFonts w:ascii="Times New Roman" w:cs="Times New Roman" w:eastAsia="Times New Roman" w:hAnsi="Times New Roman"/>
          <w:sz w:val="18"/>
          <w:szCs w:val="18"/>
          <w:i w:val="1"/>
          <w:iCs w:val="1"/>
          <w:color w:val="auto"/>
        </w:rPr>
        <w:t xml:space="preserve">Equity-Based Payments to Non-Employees </w:t>
      </w:r>
      <w:r>
        <w:rPr>
          <w:rFonts w:ascii="Times New Roman" w:cs="Times New Roman" w:eastAsia="Times New Roman" w:hAnsi="Times New Roman"/>
          <w:sz w:val="18"/>
          <w:szCs w:val="18"/>
          <w:color w:val="auto"/>
        </w:rPr>
        <w:t>(“ASC 505-50”). ASC 505-50 requires that equity-settled awards issued to non-employees be measured at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8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$4.5 million and $29.5 million of unrecognized compensation cost related to stock options and RSUs, including PBRSUs, respectively, which is expected to be recognized over a weighted-average period of 1.5 years and 2.7 years,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right="480"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4"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assess the likelihood that our deferred tax assets will be recovered from future taxable income, and to the extent we believe that recovery is not likely, we establish a valuation allowance. Judgment is required in determining our provision for income taxes, deferred tax assets and liabilities, and any valuation allowance recorded against the net deferred tax assets. We did not apply a valuation allowance against our deferred tax balances at December 31, 2014 or 2013.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calculation of our tax liabilities involves dealing with uncertainties in the application of complex tax laws and regulations in a multitude of jurisdictions across our global operations.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recognize tax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18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effective tax rate could be adversely affected by changes in federal, state or foreign tax laws, certain non-deductible expenses arising from stock-based awards and changes in accounting principles. Our 2010 tax year is currently under examination by the State of California Franchise Tax Board. We do not expect a material impact on our consolidated financial statements as a result of this examination. The 2011 through 2013 tax periods remain open to examination by the Internal Revenue Service and the 2010 through 2013 tax periods remain open to examination by most state tax authorities. For our foreign jurisdictions, the 2009 through 2013 tax years remain open to examination by their respective tax authorities.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79"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apply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7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use significant estimates and assumptions, including fair value estimates, to determine fair value of assets acquired,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8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We use actuarial models and techniques to estimate the reserve for incurred but not reported claims.</w:t>
      </w:r>
    </w:p>
    <w:p>
      <w:pPr>
        <w:spacing w:after="0" w:line="176"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Loss expense for known and incurred but not reported claims are charged to earnings after deducting recoverable amounts under our reinsurance contract.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259,335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197,688</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82,323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53,590</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3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61,952</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62,069</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23,112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38,957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consolidated statements of operations data as a percentage of revenue.</w:t>
      </w:r>
    </w:p>
    <w:p>
      <w:pPr>
        <w:spacing w:after="0" w:line="18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38735</wp:posOffset>
            </wp:positionV>
            <wp:extent cx="309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gridSpan w:val="2"/>
          </w:tcPr>
          <w:p>
            <w:pPr>
              <w:ind w:left="716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1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2014 and 2013</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revenue for the year ended December 31, 2014 was $259.3 million compared to $237.5 million during the same period a year prior, an increase of $21.8 million, or 9%. Subscription revenue, which includes membership subscription services, premiums earned from insurance policies and management fees, for the year ended December 31, 2014 was $251.4 million compared to $224.7 million for the year ended December 31, 2013. The increase in subscription revenue was attributable to an increase in membership fees and insurance premiums, which was comprised of $23.3 million from new clients who joined our network subsequent to December 31, 2013 and $3.4 million from clients who joined our network prior to December 31, 2013. As of December 31, 2014 we had a total client network of 204 companies as compared to 168 as of December 31, 2013. Revenue for the year ended December 31, 2014 also included $8.0 million of fee-related revenue as compared to $12.8 million in the same period in 2013.</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cost of revenue for the year ended December 31, 2014 was $124.4 million compared to $110.8 million during the same period a year prior, an increase of $13.6 million, or 12%. The increase was primarily attributable to a $14.2 million increase in patent amortization expense as a result of an increase in our patent assets and shorter than historical amortization periods for certain patent assets acquired during the year ended December 31, 2014, a $0.5 million increase to expenses incurred to maintain and prosecute patents and patent applications included in our portfolio, partially offset by a $0.8 million decrease in loss expense for known and incurred but not reported claims for insurance policies. Cost of revenue for the year ended December 31, 2013 also included $0.5 million of fees incurred in connection with our performance of advisory services without a similar cost for the year ended December 31,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selling, general and administrative expenses for the year ended December 31, 2014 were $71.7 million compared to $62.5 million during the same period a year prior, an increase of $9.2 million or 15%. The increase was primarily due to a $6.9 million increase in personnel-related costs, including a $1.5 million increase in stock-based compensation expense, attributable to increasing our headcount to 152 employees as of December 31, 2014, a $0.7 million increase in professional services fees primarily attributable to the development of the RPX Client Portal, $0.4 million increase in sales and marketing expense to increase industry awareness, and $0.5 million increase in IT related costs for software upgrades and licenses for additional users due to increases in headcount.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taxes was $24.9 million and $23.5 million for the years ended December 31, 2014 and 2013, respectively. Our effective tax rate, including the impact of discrete benefit items, was 39% and 37% for the years ended December 31, 2014 and 2013,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2013 and 2012</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revenue for the year ended December 31, 2013 was $237.5 million compared to $197.7 million during the same period a year prior, an increase of $39.8 million, or 20%. Subscription revenue, which includes membership subscription services and premiums earned from insurance policies, for the year ended December 31, 2013 was $224.7 million compared to $185.6 million for the year ended December 31, 2012. The increase in subscription revenue was attributable to an increase in membership fees and insurance premiums, which was comprised of $19.0 million from new clients who joined our network subsequent to December 31, 2012 and $20.1 million from clients who joined our network prior to December 31, 2012. As of December 31, 2013 we had a total client network of 168 companies as compared to 140 as of December 31, 2012. Revenue for the year ended December 31, 2013 also included $12.8 million of fee-related revenue, as compared to $12.1 million in the same period in 2012.</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cost of revenue for the year ended December 31, 2013 was $110.8 million compared to $82.3 million during the same period a year prior, an increase of $28.4 million, or 35%. The increase was primarily attributable to a $25.1 million increase in patent amortization expense as a result of an increase in our patent assets and shorter than historical amortization periods for certain patent assets acquired during the year ended December 31, 2013, a $1.1 million increase to expenses incurred to maintain and prosecute patents and patent applications included in our portfolio, a $0.6 million increase in premiums ceded to reinsurers, and a $0.7 million increase in loss expense for known and incurred but not reported claims for policies issued by our insurance business as a result of an increase in the number of active insurance policies from six at December 31, 2012 to 25 at December 31, 2013. Cost of revenue for the year ended December 31, 2013 also included $0.5 million of fees incurred in connection with our performance of advisory services.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for the year ended December 31, 2013 were $62.5 million compared to $53.6 million during the same period a year prior, an increase of $8.9 million, or 17%. The increase was primarily due to a $7.8 million increase in personnel-related costs, including a $5.8 million increase in stock-based compensation, attributable to increasing our headcount to 137 employees as of December 31, 2013, and a $1.1 million increase in rent expense for leasing additional office space at our San Francisco headquarters. This increase was partially offset by a $0.6 million decrease in legal expenses.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taxes was $23.5 million and $23.1 million for the years ended December 31, 2013 and 2012. Our effective tax rate, including the impact of discrete benefit items, was 37% for both years ended December 31, 2013 and 2012.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We have financed substantially all of our operations and patent asset acquisitions through the sale of equity securities, subscription fees collected from our clients and patent-seller financing. As of December 31, 2014, we had $78.0 million of cash and cash equivalents and $239.5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191,469</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91,377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7,142</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operating activities for the year ended December 31, 2014 was $191.5 million, consisting of adjustments for non-cash items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$129.4 million, changes in working capital and non-current assets and liabilities of $22.8 million, and net income of $39.3 million. Non-cash adjustments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primarily consisted of $123.1 million of depreciation and amortization, $17.7 million of stock-based compensation, $6.6 million of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premium on investments, a reduction of $2.6 million due to excess tax benefit from stock-based compensation and a $14.2 million net decrease in our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taxes. The change in working capital and non-current assets and liabilities resulted primarily from a $3.6 million decrease in prepaid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a decrease in accounts receivables of $14.0 million and a $6.9 million increase in our accrued and other liabilities, partially offset by $1.6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deferred revenue. The decrease in accounts receivables was due to collections of $271.5 million partially offset by billings of $257.5 million.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provided by operating activities for the year ended December 31, 2013 was $212.5 million, consisting of adjustments for non-cash items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$123.8 million, changes in working capital and non-current assets and liabilities of $47.9 million, and net income of $40.8 million. Non-cash adjustments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primarily consisted of $108.6 million of depreciation and amortization, $16.1 million of stock-based compensation, $6.0 million of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premium on investments, a reduction of $3.9 million due to excess tax benefit from stock-based compensation and a $3.3 million net decrease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The change in working capital and non-current assets and liabilities resulted primarily from a $33.8 million decrease 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representing the collection of client contributions outstanding as a result of the completion of a syndicated patent acquisition and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 $33.4 million increase in deferred revenue and a $3.6 million increase in our accrued and other liabilities which are partially offset by a $13.3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accounts receivable and a $9.4 million increase in prepaid expenses and other assets. The increase in deferred revenue was due to $258.7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billings to new and existing clients and was partially offset by revenue and other adjustments recognized during the period of $225.3 million.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deferred revenue in any given period varies with the addition of new clients, the mix of payment terms that we offer and the timing of invoicing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clients.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2014 was $214.4 million, of which $137.0 million was used to acquire patent assets, $25.0 million paid toward the non-refundable deposit for a syndicated patent acquisition transaction completed in January 2015, $49.9 million was used for the net purchases of short-term marketable securities, $2.3 million was used for a business acquisition, and $1.5 million was used to acquire property and equipment. This was partially offset by $1.1 million of proceeds received from the sale of patent assets.</w:t>
      </w:r>
    </w:p>
    <w:p>
      <w:pPr>
        <w:spacing w:after="0" w:line="180"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2013 was $194.2 million, of which $127.1 million was used to acquire patent assets, $62.5 million was used for the net purchases of short-term marketable securities, $2.9 million was used to acquire property and equipment, and $1.8 million represented an increase to our restricted cash.</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8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2014 was $0.8 million, resulting from $3.2 million in proceeds from the exercise of stock options and $2.6 million in excess tax benefit from stock-based compensation, partially offset by $4.9 million in tax payments for net-share settlements of restricted stock units.</w:t>
      </w:r>
    </w:p>
    <w:p>
      <w:pPr>
        <w:spacing w:after="0" w:line="176"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2013 was $8.3 million, resulting from $5.2 million in proceeds from the exercise of stock options and $3.9 million in excess tax benefit from stock-based compensation. This increase was partially offset by $0.8 million in tax payments for net-share settlements of restricted stock 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81" w:lineRule="exact"/>
        <w:rPr>
          <w:sz w:val="20"/>
          <w:szCs w:val="20"/>
          <w:color w:val="auto"/>
        </w:rPr>
      </w:pPr>
    </w:p>
    <w:p>
      <w:pPr>
        <w:ind w:right="440" w:firstLine="567"/>
        <w:spacing w:after="0" w:line="282" w:lineRule="auto"/>
        <w:rPr>
          <w:sz w:val="20"/>
          <w:szCs w:val="20"/>
          <w:color w:val="auto"/>
        </w:rPr>
      </w:pPr>
      <w:r>
        <w:rPr>
          <w:rFonts w:ascii="Times New Roman" w:cs="Times New Roman" w:eastAsia="Times New Roman" w:hAnsi="Times New Roman"/>
          <w:sz w:val="18"/>
          <w:szCs w:val="18"/>
          <w:color w:val="auto"/>
        </w:rPr>
        <w:t>The following summarizes our non-cancelable minimum payments under contractual obligations and commitments as of December 31, 2014 (in thousands):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28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200" w:type="dxa"/>
            <w:vAlign w:val="bottom"/>
          </w:tcPr>
          <w:p>
            <w:pPr>
              <w:spacing w:after="0"/>
              <w:rPr>
                <w:sz w:val="13"/>
                <w:szCs w:val="13"/>
                <w:color w:val="auto"/>
              </w:rPr>
            </w:pPr>
          </w:p>
        </w:tc>
        <w:tc>
          <w:tcPr>
            <w:tcW w:w="14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 commitments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8,475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20,645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lease office facilities under non-cancelable operating leases that expire at various dates through 2019. Our facility leases generally require us to pay operating costs, including property taxes, insurance and maintenance.</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March 2012, we entered into an amended lease agreement related to our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As of December 31, 2014, the total future minimum payments required under non-cancelable operating leases is $20.6 million, which is included in the table above. In October 2013, the Company entered into an agreement to sublease a portion of its San Francisco, California office space. This sublease took effect on February 1, 2014 for a 36-month term through January 2017.</w:t>
      </w:r>
    </w:p>
    <w:p>
      <w:pPr>
        <w:spacing w:after="0" w:line="18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2014, we had gross unrecognized tax benefits of $4.0 million, which includes interest and penalties of $0.7 million, classified as non-current liabilities. At this time, we are unable to make a reasonably reliable estimate of the timing of payments in individual years in connection with the tax liabilities; therefore, such amounts are not included in the above contractual obligations table.</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February 2015, our Board of Directors authorized the repurchase of up to $75.0 million of our outstanding shares of common stock. As part of the share repurchase program, shares may be purchased in open market transactions, including through block purchases, through privately negotiated transactions, or pursuant to any trading plan that may be adopted in accordance with Rule 10b5-1 of the Securities Exchange Act of 1934, as amended, or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the year ended December 31, 2014, no shares were repurchased because the program had not yet been approved.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81"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At December 31, 2014,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 full description of recent accounting pronouncements, including the expected dates of adoption and estimated effects on results of operations and financial condition can be found under the heading “Significant Accounting Policies” in Note 2 of the Notes to Consolidated Financial Statements in Part II, Item 8 of this Annual Report on Form 10-K. Such information is incorporated herein by reference.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investments of $317.5 million as of December 31, 2014. Our cash balances deposited in U.S. banks are non-interest bearing and insured up to the Federal Deposit Insurance Corporation (“FDIC”) limits. Cash equivalents consist of commercial paper, institutional money market funds, U.S. government and agency securities and municipal bonds denominated primarily in U.S. Dollars. Interest rate fluctuations affect the returns on our invested funds.</w:t>
      </w:r>
    </w:p>
    <w:p>
      <w:pPr>
        <w:spacing w:after="0" w:line="18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2014, our short-term investments of $239.5 million were primarily invested in municipal and corporate bonds maturing between 90 days and 12 months, commercial paper and U.S. government and agency securities. As of December 31, 2014,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December 31, 2014, we had not recorded an impairment related to our investments in the consolidated statement of operations.</w:t>
      </w:r>
    </w:p>
    <w:p>
      <w:pPr>
        <w:spacing w:after="0" w:line="188"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If overall interest rates had changed by 10% during the year ended December 31, 2014, the fair value of our investments would not have been materially affected.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Effect of Inflation</w:t>
      </w:r>
    </w:p>
    <w:p>
      <w:pPr>
        <w:spacing w:after="0" w:line="8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believe that inflation has not had a material impact on our consolidated results of operations for the year ended December 31, 2014. There can be no assurance that future inflation will not have an adverse impact on our consolidated results of operations or financial condition.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1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5"/>
        </w:trPr>
        <w:tc>
          <w:tcPr>
            <w:tcW w:w="4220" w:type="dxa"/>
            <w:vAlign w:val="bottom"/>
            <w:gridSpan w:val="2"/>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Report of Independent Registered Public Accounting Firm</w:t>
              </w:r>
            </w:hyperlink>
          </w:p>
        </w:tc>
        <w:tc>
          <w:tcPr>
            <w:tcW w:w="6360" w:type="dxa"/>
            <w:vAlign w:val="bottom"/>
            <w:gridSpan w:val="6"/>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Balance Sheets as of December 31, 2014 and 2013</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580" w:type="dxa"/>
            <w:vAlign w:val="bottom"/>
            <w:gridSpan w:val="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Consolidated Statements of Comprehensive Income for the Years Ended December 31, 2014, 2013 and 2012</w:t>
              </w:r>
            </w:hyperlink>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40" w:type="dxa"/>
            <w:vAlign w:val="bottom"/>
            <w:gridSpan w:val="6"/>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Consolidated Statements of Stockholders’ Equity for the Years Ended December 31, 2014, 2013 and 2012</w:t>
              </w:r>
            </w:hyperlink>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60" w:type="dxa"/>
            <w:vAlign w:val="bottom"/>
            <w:gridSpan w:val="5"/>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680" w:type="dxa"/>
            <w:vAlign w:val="bottom"/>
          </w:tcPr>
          <w:p>
            <w:pPr>
              <w:spacing w:after="0"/>
              <w:rPr>
                <w:sz w:val="24"/>
                <w:szCs w:val="24"/>
                <w:color w:val="auto"/>
              </w:rPr>
            </w:pPr>
          </w:p>
        </w:tc>
        <w:tc>
          <w:tcPr>
            <w:tcW w:w="2940" w:type="dxa"/>
            <w:vAlign w:val="bottom"/>
            <w:gridSpan w:val="2"/>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6960" w:type="dxa"/>
            <w:vAlign w:val="bottom"/>
            <w:gridSpan w:val="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Notes to Consolidated Financial Statements</w:t>
              </w:r>
            </w:hyperlink>
          </w:p>
        </w:tc>
        <w:tc>
          <w:tcPr>
            <w:tcW w:w="3620" w:type="dxa"/>
            <w:vAlign w:val="bottom"/>
            <w:gridSpan w:val="3"/>
          </w:tcPr>
          <w:p>
            <w:pPr>
              <w:spacing w:after="0"/>
              <w:rPr>
                <w:sz w:val="24"/>
                <w:szCs w:val="24"/>
                <w:color w:val="auto"/>
              </w:rPr>
            </w:pPr>
          </w:p>
        </w:tc>
        <w:tc>
          <w:tcPr>
            <w:tcW w:w="8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r>
      <w:tr>
        <w:trPr>
          <w:trHeight w:val="507"/>
        </w:trPr>
        <w:tc>
          <w:tcPr>
            <w:tcW w:w="3140" w:type="dxa"/>
            <w:vAlign w:val="bottom"/>
            <w:tcBorders>
              <w:top w:val="single" w:sz="8" w:color="0000EE"/>
            </w:tcBorders>
          </w:tcPr>
          <w:p>
            <w:pPr>
              <w:spacing w:after="0"/>
              <w:rPr>
                <w:sz w:val="24"/>
                <w:szCs w:val="24"/>
                <w:color w:val="auto"/>
              </w:rPr>
            </w:pPr>
          </w:p>
        </w:tc>
        <w:tc>
          <w:tcPr>
            <w:tcW w:w="376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RPX Corporation</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comprehensive income, stockholders’ equity, and cash flows present fairly, in all material respects, the financial position of RPX Corporation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of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2"/>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78,019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100,155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190,567</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38,477</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3,817</w:t>
            </w:r>
          </w:p>
        </w:tc>
      </w:tr>
      <w:tr>
        <w:trPr>
          <w:trHeight w:val="23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350,776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343,926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236,349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219,954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642,064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588,801</w:t>
            </w:r>
          </w:p>
        </w:tc>
      </w:tr>
      <w:tr>
        <w:trPr>
          <w:trHeight w:val="217"/>
        </w:trPr>
        <w:tc>
          <w:tcPr>
            <w:tcW w:w="8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8,784</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133,316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131,808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1,638</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148,448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143,062</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11,654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157,019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163,878</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54,062 and 52,692 issued and outstanding as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2014 and 2013,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326,280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305,343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158,868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119,527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485,045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424,923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642,064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588,801</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259,335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197,688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82,323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53,590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61,952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62,069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51"/>
        </w:trPr>
        <w:tc>
          <w:tcPr>
            <w:tcW w:w="6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39,341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185"/>
        </w:trPr>
        <w:tc>
          <w:tcPr>
            <w:tcW w:w="6760" w:type="dxa"/>
            <w:vAlign w:val="bottom"/>
            <w:tcBorders>
              <w:top w:val="single" w:sz="8" w:color="CCEEFF"/>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Weighted-average shares used in computing net income available to common stockholders</w:t>
            </w: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49,766</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38,957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holding gains (losses) arising during the period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gains (losses) on available-for-sale securities,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39,185</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78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3"/>
                <w:szCs w:val="13"/>
                <w:color w:val="auto"/>
              </w:rPr>
            </w:pPr>
          </w:p>
        </w:tc>
        <w:tc>
          <w:tcPr>
            <w:tcW w:w="680" w:type="dxa"/>
            <w:vAlign w:val="bottom"/>
          </w:tcPr>
          <w:p>
            <w:pPr>
              <w:jc w:val="right"/>
              <w:ind w:right="212"/>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5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6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7"/>
        </w:trPr>
        <w:tc>
          <w:tcPr>
            <w:tcW w:w="5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2011</w:t>
            </w:r>
          </w:p>
        </w:tc>
        <w:tc>
          <w:tcPr>
            <w:tcW w:w="5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93"/>
              </w:rPr>
              <w:t>49,145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96"/>
              </w:rPr>
              <w:t>$ 259,315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39,787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299,084</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Components of comprehensive income, net of tax:</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38,957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38,957</w:t>
            </w:r>
          </w:p>
        </w:tc>
        <w:tc>
          <w:tcPr>
            <w:tcW w:w="0" w:type="dxa"/>
            <w:vAlign w:val="bottom"/>
          </w:tcPr>
          <w:p>
            <w:pPr>
              <w:spacing w:after="0"/>
              <w:rPr>
                <w:sz w:val="1"/>
                <w:szCs w:val="1"/>
                <w:color w:val="auto"/>
              </w:rPr>
            </w:pPr>
          </w:p>
        </w:tc>
      </w:tr>
      <w:tr>
        <w:trPr>
          <w:trHeight w:val="263"/>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gain on available-for-sale securities, net of tax</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Issuance of common stock upon exercise of stock options, vesting of restricted stock units and</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common stock issuances</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upon early exercise of options</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Vesting of options early exercised</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10,644</w:t>
            </w: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benefit of equity award deductions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8,317</w:t>
            </w:r>
          </w:p>
        </w:tc>
        <w:tc>
          <w:tcPr>
            <w:tcW w:w="0" w:type="dxa"/>
            <w:vAlign w:val="bottom"/>
          </w:tcPr>
          <w:p>
            <w:pPr>
              <w:spacing w:after="0"/>
              <w:rPr>
                <w:sz w:val="1"/>
                <w:szCs w:val="1"/>
                <w:color w:val="auto"/>
              </w:rPr>
            </w:pPr>
          </w:p>
        </w:tc>
      </w:tr>
      <w:tr>
        <w:trPr>
          <w:trHeight w:val="264"/>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57"/>
        </w:trPr>
        <w:tc>
          <w:tcPr>
            <w:tcW w:w="5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2012</w:t>
            </w:r>
          </w:p>
        </w:tc>
        <w:tc>
          <w:tcPr>
            <w:tcW w:w="5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93"/>
              </w:rPr>
              <w:t>51,084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281,530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78,744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360,259</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Components of comprehensive income, net of tax:</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40,783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40,783</w:t>
            </w:r>
          </w:p>
        </w:tc>
        <w:tc>
          <w:tcPr>
            <w:tcW w:w="0" w:type="dxa"/>
            <w:vAlign w:val="bottom"/>
          </w:tcPr>
          <w:p>
            <w:pPr>
              <w:spacing w:after="0"/>
              <w:rPr>
                <w:sz w:val="1"/>
                <w:szCs w:val="1"/>
                <w:color w:val="auto"/>
              </w:rPr>
            </w:pPr>
          </w:p>
        </w:tc>
      </w:tr>
      <w:tr>
        <w:trPr>
          <w:trHeight w:val="263"/>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gain on available-for-sale securities, net of tax</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Issuance of common stock upon exercise of stock options, vesting of restricted stock units and</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common stock issuances</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Vesting of options early exercised</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16,192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16,192</w:t>
            </w: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benefit of equity award deductions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3,088</w:t>
            </w:r>
          </w:p>
        </w:tc>
        <w:tc>
          <w:tcPr>
            <w:tcW w:w="0" w:type="dxa"/>
            <w:vAlign w:val="bottom"/>
          </w:tcPr>
          <w:p>
            <w:pPr>
              <w:spacing w:after="0"/>
              <w:rPr>
                <w:sz w:val="1"/>
                <w:szCs w:val="1"/>
                <w:color w:val="auto"/>
              </w:rPr>
            </w:pPr>
          </w:p>
        </w:tc>
      </w:tr>
      <w:tr>
        <w:trPr>
          <w:trHeight w:val="264"/>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withholdings related to net share settlements of restricted stock units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257"/>
        </w:trPr>
        <w:tc>
          <w:tcPr>
            <w:tcW w:w="5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2013</w:t>
            </w:r>
          </w:p>
        </w:tc>
        <w:tc>
          <w:tcPr>
            <w:tcW w:w="5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93"/>
              </w:rPr>
              <w:t>52,692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305,343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119,527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424,923</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Components of comprehensive income, net of tax:</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39,341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39,341</w:t>
            </w:r>
          </w:p>
        </w:tc>
        <w:tc>
          <w:tcPr>
            <w:tcW w:w="0" w:type="dxa"/>
            <w:vAlign w:val="bottom"/>
          </w:tcPr>
          <w:p>
            <w:pPr>
              <w:spacing w:after="0"/>
              <w:rPr>
                <w:sz w:val="1"/>
                <w:szCs w:val="1"/>
                <w:color w:val="auto"/>
              </w:rPr>
            </w:pPr>
          </w:p>
        </w:tc>
      </w:tr>
      <w:tr>
        <w:trPr>
          <w:trHeight w:val="263"/>
        </w:trPr>
        <w:tc>
          <w:tcPr>
            <w:tcW w:w="5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loss on available-for-sale securities, net of tax</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Issuance of common stock upon exercise of stock options, vesting of restricted stock units and</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common stock issuances</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3,163</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related to business acquisition</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3,156</w:t>
            </w:r>
          </w:p>
        </w:tc>
        <w:tc>
          <w:tcPr>
            <w:tcW w:w="0" w:type="dxa"/>
            <w:vAlign w:val="bottom"/>
          </w:tcPr>
          <w:p>
            <w:pPr>
              <w:spacing w:after="0"/>
              <w:rPr>
                <w:sz w:val="1"/>
                <w:szCs w:val="1"/>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17,747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17,747</w:t>
            </w:r>
          </w:p>
        </w:tc>
        <w:tc>
          <w:tcPr>
            <w:tcW w:w="0" w:type="dxa"/>
            <w:vAlign w:val="bottom"/>
          </w:tcPr>
          <w:p>
            <w:pPr>
              <w:spacing w:after="0"/>
              <w:rPr>
                <w:sz w:val="1"/>
                <w:szCs w:val="1"/>
                <w:color w:val="auto"/>
              </w:rPr>
            </w:pPr>
          </w:p>
        </w:tc>
      </w:tr>
      <w:tr>
        <w:trPr>
          <w:trHeight w:val="26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benefit of equity award deductions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 withholdings related to net share settlements of restricted stock units</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2014</w:t>
            </w:r>
          </w:p>
        </w:tc>
        <w:tc>
          <w:tcPr>
            <w:tcW w:w="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93"/>
              </w:rPr>
              <w:t>54,062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96"/>
              </w:rPr>
              <w:t>$ 326,280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158,868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485,045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80"/>
          </w:cols>
          <w:pgMar w:left="240" w:top="121" w:right="8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39,341</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40,783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38,957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108,629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83,137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10,334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Imputed interest on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sale of patent assets,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premium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5,131</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acquired:</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(8,984)</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receivables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8,667</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91,377</w:t>
            </w:r>
          </w:p>
        </w:tc>
      </w:tr>
      <w:tr>
        <w:trPr>
          <w:trHeight w:val="231"/>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Maturities of investments classified as available-for-sale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147,052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188,026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Business acquisition, net of cash acquired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(Increase) decrease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patent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Deposit for acquisition of patent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patent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(131,630)</w:t>
            </w:r>
          </w:p>
        </w:tc>
      </w:tr>
      <w:tr>
        <w:trPr>
          <w:trHeight w:val="231"/>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of principal on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other obligations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 and other common stock issuances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Taxes paid related to net-share settlements of restricted stock units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8,574</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7,142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73,638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106,749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78,019</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73,638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92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15,066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4,672</w:t>
            </w:r>
          </w:p>
        </w:tc>
      </w:tr>
      <w:tr>
        <w:trPr>
          <w:trHeight w:val="284"/>
        </w:trPr>
        <w:tc>
          <w:tcPr>
            <w:tcW w:w="6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patent assets purchased and accrued but not paid</w:t>
            </w:r>
          </w:p>
        </w:tc>
        <w:tc>
          <w:tcPr>
            <w:tcW w:w="92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1,100</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fixed assets purchased and accrued but not paid</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other assets purchased and accrued but not paid</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Patent assets and intangible assets received in barter transactions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w:t>
            </w:r>
          </w:p>
        </w:tc>
      </w:tr>
      <w:tr>
        <w:trPr>
          <w:trHeight w:val="265"/>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related to business acquisition</w:t>
            </w:r>
          </w:p>
        </w:tc>
        <w:tc>
          <w:tcPr>
            <w:tcW w:w="920" w:type="dxa"/>
            <w:vAlign w:val="bottom"/>
          </w:tcPr>
          <w:p>
            <w:pPr>
              <w:spacing w:after="0"/>
              <w:rPr>
                <w:sz w:val="23"/>
                <w:szCs w:val="2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3,156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Unpaid cash consideration for business acquisition</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some portion of the underwriting risk on insurance policies that the Company issues on behalf of a Lloyd’s of London underwriting syndicate. The Company began placing new policies under the reinsurance model in May 2014. As of and for the year ended December 31, 2014, the effect of the insurance policies that the Company has issued or assumed through our reinsurance business was not material to the Company’s results of operations, financial condition or cash flows.</w:t>
      </w:r>
    </w:p>
    <w:p>
      <w:pPr>
        <w:spacing w:after="0" w:line="173" w:lineRule="exact"/>
        <w:rPr>
          <w:sz w:val="20"/>
          <w:szCs w:val="20"/>
          <w:color w:val="auto"/>
        </w:rPr>
      </w:pPr>
    </w:p>
    <w:p>
      <w:pPr>
        <w:ind w:left="620" w:hanging="612"/>
        <w:spacing w:after="0"/>
        <w:tabs>
          <w:tab w:leader="none" w:pos="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include the accounts of RPX and its wholly owned subsidiaries. All intercompany transactions have been eliminated.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8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economic useful lives of patent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a best estimated selling price of a subscription to the Company’s patent risk management solution and its insurance offering;</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assets acquired and liabilities assumed for business combinations;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current and deferred income taxes and uncertain tax positions;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stock awards issued; and</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reserves for known and incurred but not reported claims.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(“FASB”)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and related authoritative guidance. The primary source of the Company’s revenue is fees paid by its clients under subscription agreements. The Company believes the subscription component of its patent risk management solution comprises a single deliverable. The Company recognizes each subscription fee ratably over the period for which the fee applies. Revenue is recognized net of any discounts or other contractual incentives. The Company starts recognizing revenue when all of the following criteria have been met:</w:t>
      </w:r>
    </w:p>
    <w:p>
      <w:pPr>
        <w:spacing w:after="0" w:line="33"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All subscription fees are supported by an executed subscription agreement.</w:t>
      </w:r>
    </w:p>
    <w:p>
      <w:pPr>
        <w:spacing w:after="0" w:line="76" w:lineRule="exact"/>
        <w:rPr>
          <w:rFonts w:ascii="Times New Roman" w:cs="Times New Roman" w:eastAsia="Times New Roman" w:hAnsi="Times New Roman"/>
          <w:sz w:val="18"/>
          <w:szCs w:val="18"/>
          <w:color w:val="auto"/>
        </w:rPr>
      </w:pPr>
    </w:p>
    <w:p>
      <w:pPr>
        <w:ind w:left="820" w:right="100" w:hanging="326"/>
        <w:spacing w:after="0" w:line="267"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The subscription agreement calls for the Company to provide its patent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over a specific term commencing on the agreement effective date. Because services are not on an individualized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Company generally performs its services on behalf of all of its clients as opposed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320"/>
        <w:spacing w:after="0" w:line="319" w:lineRule="auto"/>
        <w:rPr>
          <w:sz w:val="20"/>
          <w:szCs w:val="20"/>
          <w:color w:val="auto"/>
        </w:rPr>
      </w:pPr>
      <w:r>
        <w:rPr>
          <w:rFonts w:ascii="Times New Roman" w:cs="Times New Roman" w:eastAsia="Times New Roman" w:hAnsi="Times New Roman"/>
          <w:sz w:val="18"/>
          <w:szCs w:val="18"/>
          <w:color w:val="auto"/>
        </w:rPr>
        <w:t>each client individually), delivery occurs automatically with the passage of time. Consequently, the Company recognizes subscription revenue ratably.</w:t>
      </w:r>
    </w:p>
    <w:p>
      <w:pPr>
        <w:spacing w:after="0" w:line="1" w:lineRule="exact"/>
        <w:rPr>
          <w:sz w:val="20"/>
          <w:szCs w:val="20"/>
          <w:color w:val="auto"/>
        </w:rPr>
      </w:pPr>
    </w:p>
    <w:p>
      <w:pPr>
        <w:ind w:left="820" w:right="80" w:hanging="326"/>
        <w:spacing w:after="0" w:line="257"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Seller’s price to the buyer is fixed or determinable. </w:t>
      </w:r>
      <w:r>
        <w:rPr>
          <w:rFonts w:ascii="Times New Roman" w:cs="Times New Roman" w:eastAsia="Times New Roman" w:hAnsi="Times New Roman"/>
          <w:sz w:val="18"/>
          <w:szCs w:val="18"/>
          <w:color w:val="auto"/>
        </w:rPr>
        <w:t>Each client’s annual subscription fee is typically based on the Company’s rate card in effect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the client’s initial agreement. A client’s subscription fee is generally determined using the applicable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34" w:lineRule="exact"/>
        <w:rPr>
          <w:rFonts w:ascii="Times New Roman" w:cs="Times New Roman" w:eastAsia="Times New Roman" w:hAnsi="Times New Roman"/>
          <w:sz w:val="18"/>
          <w:szCs w:val="18"/>
          <w:color w:val="auto"/>
        </w:rPr>
      </w:pPr>
    </w:p>
    <w:p>
      <w:pPr>
        <w:ind w:left="820" w:right="20" w:hanging="326"/>
        <w:spacing w:after="0" w:line="267"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Collectability is reasonably assured. </w:t>
      </w:r>
      <w:r>
        <w:rPr>
          <w:rFonts w:ascii="Times New Roman" w:cs="Times New Roman" w:eastAsia="Times New Roman" w:hAnsi="Times New Roman"/>
          <w:sz w:val="18"/>
          <w:szCs w:val="18"/>
          <w:color w:val="auto"/>
        </w:rPr>
        <w:t>Subscription fees are generally collected on or near the effective date of the agreement and again at or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anniversary date thereof. The Company does not recognize revenue in instances where collectability is not reasonably assured. Generally, the Company’s subscription agreements state that all fees paid are non-refundable.</w:t>
      </w:r>
    </w:p>
    <w:p>
      <w:pPr>
        <w:spacing w:after="0" w:line="17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clients generally receive a term license to, and a release from all prior damages associated with, patent assets in the Company’s portfolio. The term license to each patent asset typically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1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some instances, the Company accepts a payment from a client to finance part or all of an acquisition. The Company refers to such transactions as syndicated acquisitions. The accounting for syndicated acquisitions can be complex and often requires judgments on the part of management as to the appropriate accounting treatment. In accordance with ASC 605-45, </w:t>
      </w:r>
      <w:r>
        <w:rPr>
          <w:rFonts w:ascii="Times New Roman" w:cs="Times New Roman" w:eastAsia="Times New Roman" w:hAnsi="Times New Roman"/>
          <w:sz w:val="18"/>
          <w:szCs w:val="18"/>
          <w:i w:val="1"/>
          <w:iCs w:val="1"/>
          <w:color w:val="auto"/>
        </w:rPr>
        <w:t>Revenue Recognition: Principal Agent Considerations</w:t>
      </w:r>
      <w:r>
        <w:rPr>
          <w:rFonts w:ascii="Times New Roman" w:cs="Times New Roman" w:eastAsia="Times New Roman" w:hAnsi="Times New Roman"/>
          <w:sz w:val="18"/>
          <w:szCs w:val="18"/>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indicators evaluated to reach the determination that the Company is not the principal in the transaction include, among others:</w:t>
      </w:r>
    </w:p>
    <w:p>
      <w:pPr>
        <w:spacing w:after="0" w:line="77" w:lineRule="exact"/>
        <w:rPr>
          <w:sz w:val="20"/>
          <w:szCs w:val="20"/>
          <w:color w:val="auto"/>
        </w:rPr>
      </w:pPr>
    </w:p>
    <w:p>
      <w:pPr>
        <w:ind w:left="820" w:right="140" w:hanging="326"/>
        <w:spacing w:after="0" w:line="266"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27"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inventory risk, as the clients generally enter into their contractual obligations with the Company prior to or contemporaneous to the Company entering into a contractual obligation with the seller;</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has limited pricing latitude as client contributions are based on the sales price set by the seller;</w:t>
      </w:r>
    </w:p>
    <w:p>
      <w:pPr>
        <w:spacing w:after="0" w:line="76"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13"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or no credit risk, as each respective client has a contractually binding obligation, such clients are generally of high credit quality and in many instances, the Company collects the client contribution prior to making a payment to the seller.</w:t>
      </w:r>
    </w:p>
    <w:p>
      <w:pPr>
        <w:spacing w:after="0" w:line="16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certain syndicated transactions, the Company may recognize revenue upon the sale of licenses to specific patent assets and/or upon completion of the rendering of advisory services.</w:t>
      </w:r>
    </w:p>
    <w:p>
      <w:pPr>
        <w:spacing w:after="0" w:line="160"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arrangements with multiple deliverables. </w:t>
      </w:r>
      <w:r>
        <w:rPr>
          <w:rFonts w:ascii="Times New Roman" w:cs="Times New Roman" w:eastAsia="Times New Roman" w:hAnsi="Times New Roman"/>
          <w:sz w:val="18"/>
          <w:szCs w:val="18"/>
          <w:color w:val="auto"/>
        </w:rPr>
        <w:t>A multiple-element arrangement may include the sale of a subscription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patent risk management solution and an insurance policy to cover certain costs associated with patent infringement lawsuits by NPEs, each of which are individually considered separate units of accounting. Each element within a</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121"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multiple-element arrangement is accounted for as a separate unit of accounting given that the delivered products have value to the customer on a standalone basis. The Company considers a deliverable to have standalone value if the product or service is sold separately by itself or another vendor. The delivery of insurance coverage is not dependent on a client’s subscription to the Company’s patent risk management solution. While the Company believes its insurance product offering is unique, its clients are able to purchase insurance coverage as a standalone product from other providers. The Company sells the components of its patent risk management solution on a standalone basis.</w:t>
      </w:r>
    </w:p>
    <w:p>
      <w:pPr>
        <w:spacing w:after="0" w:line="130"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The Company has determined its best estimate of selling price (“BESP”) for a subscription to our patent risk management solution based on the following:</w:t>
      </w:r>
    </w:p>
    <w:p>
      <w:pPr>
        <w:spacing w:after="0" w:line="13" w:lineRule="exact"/>
        <w:rPr>
          <w:sz w:val="20"/>
          <w:szCs w:val="20"/>
          <w:color w:val="auto"/>
        </w:rPr>
      </w:pPr>
    </w:p>
    <w:p>
      <w:pPr>
        <w:ind w:left="1080" w:right="80" w:hanging="316"/>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price, which represents the rates listed on its annual rate card. The Company publishes a standard rate card annually. Each client’s subscription fee is typically calculated using its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revenue and operating income for its most recently completed fiscal years.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determined its BESP for its insurance product based on the following:</w:t>
      </w:r>
    </w:p>
    <w:p>
      <w:pPr>
        <w:spacing w:after="0" w:line="77" w:lineRule="exact"/>
        <w:rPr>
          <w:sz w:val="20"/>
          <w:szCs w:val="20"/>
          <w:color w:val="auto"/>
        </w:rPr>
      </w:pPr>
    </w:p>
    <w:p>
      <w:pPr>
        <w:ind w:left="1080" w:hanging="316"/>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Actuarially determined factors. Although the Company sells its insurance product both on a standalone basis and as a component of a multiple-element arrangement, the pricing is not affected by the subscription to our patent risk management solution. The Company uses an actuarial model that calculates an individual client’s insurance premium based on its projected annual frequency (i.e., number of claims during the policy term) and severity (i.e., the amount which it expects to settle a claim).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Payments to Clients</w:t>
      </w:r>
    </w:p>
    <w:p>
      <w:pPr>
        <w:spacing w:after="0" w:line="8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Times New Roman" w:cs="Times New Roman" w:eastAsia="Times New Roman" w:hAnsi="Times New Roman"/>
          <w:sz w:val="18"/>
          <w:szCs w:val="18"/>
          <w:i w:val="1"/>
          <w:iCs w:val="1"/>
          <w:color w:val="auto"/>
        </w:rPr>
        <w:t>Revenue Recognition: Customer Payments and Incentives</w:t>
      </w:r>
      <w:r>
        <w:rPr>
          <w:rFonts w:ascii="Times New Roman" w:cs="Times New Roman" w:eastAsia="Times New Roman" w:hAnsi="Times New Roman"/>
          <w:sz w:val="18"/>
          <w:szCs w:val="18"/>
          <w:color w:val="auto"/>
        </w:rPr>
        <w:t>, which requires the Company to offset the amount of the payment, discount or other contractual incentive against revenue if the Company is unable to demonstrate both receipt of an identifiable benefit and determine the fair value of the benefit received.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8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clients upon execution of a new agreement and prior to any anniversary date for existing agreements. The Company records the amount of fees billed as deferred revenue and recognizes such amounts as revenue ratably over the period for which they apply. The Company generally records deferred revenue when it has the legal right to bill amounts owed and the applicable service period has commenced. In the rare instance where a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Accounts receivable primarily includes amounts billed to clients under their subscription agreements. The majority of the Company’s clients are well-established operating companies with investment-grade credit. For the years ended December 31, 2014 and 2013, the Company has not incurred any losses on its accounts receivable. Based upon its historical collections experience and specific client information, the Company has determined that no allowance for doubtful accounts was required at either December 31, 2014 or 2013.</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concentrations of credit risk principally attributable to cash, cash equivalents, investments, accounts receivable and other receivables. The Company’s non-restricted cash balances deposited in U.S. banks are non-interest bearing and are insured up to the Federal Deposit Insurance Corporation (“FDIC”) limits. Cash equivalents primarily consist of institutional money market funds, U.S. government and agency securities, municipal bonds and commercial paper denominated primarily in U.S. dollars. Investment policies have been implemented that limit purchases of debt securities to investment-grade securities.</w:t>
      </w:r>
    </w:p>
    <w:p>
      <w:pPr>
        <w:spacing w:after="0" w:line="1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Credit risk with respect to accounts and other receivables is generally mitigated by short collection periods and/or subscription agreements that provide for payments in advance of the rendering of services. Three clients individually accounted for 28%, 24%, and 14% of accounts receivable at December 31, 2014. Four clients individually accounted for 18%, 16%, 13% and 11% of accounts receivable at December 31, 2013. No client accounted for more than 10% of subscription fee revenue in any of the years ended December 31, 2014, 2013 or 2012.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1220" w:right="200" w:hanging="7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and readily accessible by the Company at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 w:lineRule="exact"/>
        <w:rPr>
          <w:sz w:val="20"/>
          <w:szCs w:val="20"/>
          <w:color w:val="auto"/>
        </w:rPr>
      </w:pPr>
    </w:p>
    <w:p>
      <w:pPr>
        <w:ind w:left="1220" w:right="440" w:hanging="72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inputs other than quoted prices included within Level 1 that are observable for assets or liabilities,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through market corroboration, for substantially the full term of the financial instrument.</w:t>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inputs that are unobservable.</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investments, accounts receivable, other receivables and accounts payable, approximate their fair values due to their short maturities. Based on borrowing rates currently available to the Company for notes payable and other deferred payment obligations with similar terms, and considering the Company’s credit risk, the carrying value of deferred payment obligations approximates fair value.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principally consist of commercial paper, institutional money market funds, U.S. government and agency securities and municipal bonds denominated primarily in U.S. dollars. Cash equivalents are highly liquid, short-term investments having an original maturity of 90 days or less that are readily convertible to known amounts of cash.</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8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Restricted cash consists primarily of a certificate of deposit established as collateral for the Company’s office lease agreement as well as amounts held in trust. At December 31, 2014 and 2013, the Company had restricted cash (current and non-current) of $1.7 million and $1.8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8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Company holds short-term investments in municipal and corporate bonds maturing between 90 days and 12 months, commercial paper and U.S. government and agency securities. The Company considers its investments as available to support current operations. As a result, the Company classifies its investments, including those with stated maturities beyond twelve months, as current assets in the accompanying consolidated balance sheets. The Company classifies these securities as “available-for-sale” and carries them at fair value on the consolidated balance sheets. Unrealized gains or losses are recorded, net of estimated taxes, in accumulated other comprehensive income (loss), a component of stockholders’ equity. Realized gains and losses are recognized upon sale. The specific identification method is used to determine the cost basis of fixed income securities sold.</w:t>
      </w:r>
    </w:p>
    <w:p>
      <w:pPr>
        <w:spacing w:after="0" w:line="188" w:lineRule="exact"/>
        <w:rPr>
          <w:sz w:val="20"/>
          <w:szCs w:val="20"/>
          <w:color w:val="auto"/>
        </w:rPr>
      </w:pPr>
    </w:p>
    <w:p>
      <w:pPr>
        <w:ind w:right="120" w:firstLine="486"/>
        <w:spacing w:after="0" w:line="277" w:lineRule="auto"/>
        <w:rPr>
          <w:sz w:val="20"/>
          <w:szCs w:val="20"/>
          <w:color w:val="auto"/>
        </w:rPr>
      </w:pPr>
      <w:r>
        <w:rPr>
          <w:rFonts w:ascii="Times New Roman" w:cs="Times New Roman" w:eastAsia="Times New Roman" w:hAnsi="Times New Roman"/>
          <w:sz w:val="17"/>
          <w:szCs w:val="17"/>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statements of operations.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81"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a straight-line method over the estimated useful lives of the related assets, which is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and Website Development Costs</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capitalizes development costs related to internal-use software and its website and records such amounts as property and equipment, net, on its consolidated balance sheets. These costs include personnel and personnel-related expenses and consultant fees incurred during the application development stages of the project. Costs related to preliminary project activities, minor enhancement and maintenance, and post 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8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capitalized $1.2 million, $1.2 million, and $1.9 million, respectively, of internal-use software and website development costs. Amortization of internal-use software was $1.3 million, $1.1 million, $0.8 million for the years ended December 31, 2014, 2013 and 2012,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Assets, Net</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 generally acquires patent assets from third parties using cash and contractually deferred payments. Patent assets are recorded at fair value at acquisition.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Because each client generally receives a license to the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and the remaining contractual term of the Company’s existing clients at the time of acquisition. In certain instances, where the Company acquires patent assets and secures related client committed cash flows that extend beyond the statutory life of the underlying patent assets, the useful life may extend beyond the statutory life of the patent assets. As of December 31, 2014, the estimated economic useful life of the Company’s patent assets generally ranged from 24 to 60 months. The weighted-average estimated economic useful life of patent assets acquired since inception was 45 months. The weighted-average estimated economic useful life of patent assets acquired during the year ended December 31, 2014 was 39 months. The Company periodically evaluates whether events and circumstances have occurred that may warrant a revision to the remaining estimated useful life of its patent assets.</w:t>
      </w:r>
    </w:p>
    <w:p>
      <w:pPr>
        <w:spacing w:after="0" w:line="18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instances where the Company sells patent assets, the amount of consideration received is compared to the asset’s carrying value to determine and recognize a gain or loss.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8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includes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a majority of the portfolio of patent assets to all of its membership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8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on September 30th or more frequently if events or changes in circumstances indicate that the carrying value of goodwill may not be recoverable. For the years ended December 31, 2014 and 2013, the Company elected to first assess the qualitative factors to determine whether it is more likely than not that the fair value of its single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reporting unit is less than its carrying amount as a basis for determining whether it is necessary to perform the two-step goodwill impairment under ASC Topic 350, </w:t>
      </w:r>
      <w:r>
        <w:rPr>
          <w:rFonts w:ascii="Times New Roman" w:cs="Times New Roman" w:eastAsia="Times New Roman" w:hAnsi="Times New Roman"/>
          <w:sz w:val="18"/>
          <w:szCs w:val="18"/>
          <w:i w:val="1"/>
          <w:iCs w:val="1"/>
          <w:color w:val="auto"/>
        </w:rPr>
        <w:t>Intangibles - Goodwill &amp; Other</w:t>
      </w:r>
      <w:r>
        <w:rPr>
          <w:rFonts w:ascii="Times New Roman" w:cs="Times New Roman" w:eastAsia="Times New Roman" w:hAnsi="Times New Roman"/>
          <w:sz w:val="18"/>
          <w:szCs w:val="18"/>
          <w:color w:val="auto"/>
        </w:rPr>
        <w:t xml:space="preserve"> (“ASC Topic 350”). This qualitative assessment evaluated factors including, but not limited to, economic market and industry conditions, cost factors and the overall financial performance of the Company. No impairment charges were recorded as a result of the Company’s 2014 and 2013 annual impairment analysis.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If the Company were to determine that it is more likely than not that the fair value of its single reporting unit is less than its carrying amount, then the two-step goodwill impairment test is performed. The first step in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reporting unit’s goodwill with the carrying amount of that goodwill. Any excess of the goodwill carrying amount over the implied fair value is recognized as an impairment charge, and the carrying value of goodwill is written down to fair value.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8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Intangible assets, net primarily consists of intangible assets acquired from other companies as a result of acquisitions. Such assets are capitalized and amortized on a straight-line basis over their estimated useful lives. Intangible assets, net excludes patent related intangible assets, which are recorded within patent assets, net in the accompanying consolidated balance sheets.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expenses advertising costs as they are incurred. Advertising expenses were not material for any of the periods presented.</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Accounting</w:t>
      </w:r>
    </w:p>
    <w:p>
      <w:pPr>
        <w:spacing w:after="0" w:line="8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U.S. dollar. Monetary assets and liabilities are remeasured using the current exchange rate at the balance sheet date. Non-monetary assets and liabilities and capital accounts are reflected using historical exchange rates. Expenses are remeasured using the average exchange rates in effect during the period. Foreign currency exchange gains and losses, which have not been material for any periods presented, are included in the consolidated statements of operations within other income, net.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1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assesses the likelihood that its deferred tax assets will be recovered from future taxable income, and to the extent the Company believes that recovery is not likely, the Company establishes a valuation allowance. Judgment is required in determining the Company’s provision for income taxes, deferred tax assets and liabilities, and any valuation allowance recorded against the net deferred tax assets. The Company did not apply a valuation allowance against its deferred tax balances at December 31, 2014 or 2013.</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calculation of the Company’s tax liabilities involves dealing with uncertainties in the application of complex tax laws and regulations in a multitude of jurisdictions across its global operations.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18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18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7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for equity-settled awards issued to employees and directors under ASC 718, </w:t>
      </w:r>
      <w:r>
        <w:rPr>
          <w:rFonts w:ascii="Times New Roman" w:cs="Times New Roman" w:eastAsia="Times New Roman" w:hAnsi="Times New Roman"/>
          <w:sz w:val="18"/>
          <w:szCs w:val="18"/>
          <w:i w:val="1"/>
          <w:iCs w:val="1"/>
          <w:color w:val="auto"/>
        </w:rPr>
        <w:t xml:space="preserve">Compensation-Stock Compensation </w:t>
      </w:r>
      <w:r>
        <w:rPr>
          <w:rFonts w:ascii="Times New Roman" w:cs="Times New Roman" w:eastAsia="Times New Roman" w:hAnsi="Times New Roman"/>
          <w:sz w:val="18"/>
          <w:szCs w:val="18"/>
          <w:color w:val="auto"/>
        </w:rPr>
        <w:t>(“ASC 718”). ASC 718 requires that stock-based compensation expense for equity-settled awards made to employees and directors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based on the estimated grant date fair value and recognized over the requisite service period. These equity-settled awards include stock options, restricted stock units (“RSUs”) and performance-based RSUs with a market condition (“PBRSUs”).</w:t>
      </w:r>
    </w:p>
    <w:p>
      <w:pPr>
        <w:spacing w:after="0" w:line="18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fair value of RSUs is estimated based on the fair market value of the Company’s common stock on the date of grant. For stock options and RSUs, the fair value of award that is expected to vest is recognized as compensation expense on a straight-line basis over the requisite service period. Because stock-based compensation expense is based on awards ultimately expected to vest, it reflects estimated forfeitures. Forfeitures are estimated at the time of grant and revised, if necessary, in subsequent periods if actual forfeitures differ from initial estimates. Previously recognized expense is reversed for the portion of awards forfeited prior to vesting.</w:t>
      </w:r>
    </w:p>
    <w:p>
      <w:pPr>
        <w:spacing w:after="0" w:line="18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PBRSUs is estimated as of the date of grant using the Monte-Carlo simulation model. For PBRSUs, stock-based compensation expense is recognized over the derived service period for each tranche (or market condition). Because the Company’s PBRSUs have multiple derived service periods, it uses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these awards will only be reversible if the employee terminates prior to completing the requisite service periods for these awards (i.e., compensation expense will not be reversed if the market condition is not met).</w:t>
      </w:r>
    </w:p>
    <w:p>
      <w:pPr>
        <w:spacing w:after="0" w:line="188"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Estimates of the fair value of equity-settled awards as of the grant date using valuation models, such as the Black-Scholes option-pricing model and a Monte-Carlo simulation model, are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the volatility data based on a study of publicly traded industry peer companies. For purposes of identifying these peer companies, the Company considered the industry, stage of development, size and financial leverage of potential comparable companies. As of the second quarter of 2014, the Company no longer calculates expected term using the SEC simplified method and began to calculate its expected term. The Company has not granted any stock options since making the change. The risk-free interest rate is based on the yield available on U.S. Treasury zero-coupon issues similar in duration to the expected term of the equity-settled award.</w:t>
      </w:r>
    </w:p>
    <w:p>
      <w:pPr>
        <w:spacing w:after="0" w:line="18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for equity-settled awards issued to non-employees in exchange for goods and services under ASC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xml:space="preserve"> (“ASC 505-50”). ASC 505-50 requires that equity-settled awards issued to non-employees be measured at the fair value as of the date at which either the commitment for performance by the non-employee to earn the award is reached or the date the non-employee’s performance is complete. Until that point is reached, the award must be revalued at each reporting period with the true-up to expense recorded in the then current period earnings. The value of the award is recognized as an expense over the requisite service period.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79"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7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uses significant estimates and assumptions, including fair value estimates, to determine fair value of assets acquired,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81"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The Company uses actuarial models and techniques to estimate the reserve for incurred but not reported claims.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121" w:right="27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Loss expense for known and incurred but not reported claims are charged to earnings after deducting recoverable amounts under the Company’s reinsurance contract.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31"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November 2014, the Financial Accounting Standards Board ("FASB") issued Accounting Standards Update ("ASU") 2014-17,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(Topic 805) – Pushdown Accounting </w:t>
      </w:r>
      <w:r>
        <w:rPr>
          <w:rFonts w:ascii="Times New Roman" w:cs="Times New Roman" w:eastAsia="Times New Roman" w:hAnsi="Times New Roman"/>
          <w:sz w:val="18"/>
          <w:szCs w:val="18"/>
          <w:color w:val="auto"/>
        </w:rPr>
        <w:t>("ASU 2014-17"). The primary purpose of the ASU is to provide guidance on whether and at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threshold an acquired entity that is a business or nonprofit activity can apply pushdown accounting in its separate financial statements. The amendments should reduce diversity in the timing and content of footnote disclosure. ASU 2014-17 is effective after November 18, 2014. The Company does not believe that this guidance will have a material impact on its consolidated financial statements.</w:t>
      </w:r>
    </w:p>
    <w:p>
      <w:pPr>
        <w:spacing w:after="0" w:line="185"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("ASU 2014-15") provides new guidance related to management’s responsibility to evaluate whether there is substantial doubt about an entity’s ability to continue as a going concern by incorporating and expanding upon certain principles that are currently in U.S. auditing standards and to provide related footnote disclosures. This new guidance is effective for the annual period ending after December 15, 2016, and for annual periods and interim periods thereafter; early adoption is permitted. The requirements of ASU 2014-15 are not expected to have a significant impact on the Company's consolidated financial statements.</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June 2014, the FASB issued ASU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Be Achieved after the Requisite Service Period </w:t>
      </w:r>
      <w:r>
        <w:rPr>
          <w:rFonts w:ascii="Times New Roman" w:cs="Times New Roman" w:eastAsia="Times New Roman" w:hAnsi="Times New Roman"/>
          <w:sz w:val="18"/>
          <w:szCs w:val="18"/>
          <w:color w:val="auto"/>
        </w:rPr>
        <w:t>(“ASU 2014-12”), which amends</w:t>
      </w:r>
      <w:r>
        <w:rPr>
          <w:rFonts w:ascii="Times New Roman" w:cs="Times New Roman" w:eastAsia="Times New Roman" w:hAnsi="Times New Roman"/>
          <w:sz w:val="18"/>
          <w:szCs w:val="18"/>
          <w:i w:val="1"/>
          <w:iCs w:val="1"/>
          <w:color w:val="auto"/>
        </w:rPr>
        <w:t xml:space="preserve"> Compensation - Stock Compensation (Topic 718) </w:t>
      </w:r>
      <w:r>
        <w:rPr>
          <w:rFonts w:ascii="Times New Roman" w:cs="Times New Roman" w:eastAsia="Times New Roman" w:hAnsi="Times New Roman"/>
          <w:sz w:val="18"/>
          <w:szCs w:val="18"/>
          <w:color w:val="auto"/>
        </w:rPr>
        <w:t>in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ASU 2014-12 requires that a performance target that affects vesting and that could be achieved after the requisite service period be treated as a performance condition. A reporting entity should apply existing guidance in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as it relates to awards with performance conditions that affect vesting to account for such awards. The amendments in ASU 2014-12 will be effective for annual and interim periods beginning after December 15, 2015 and early adoption is permitted. The adoption of ASU 2014-12 is not expected to have a material impact on the Company’s consolidated financial statements.</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The Company is currently evaluating the impact of the adoption of ASU 2014-12 on its consolidated financial statements.</w:t>
      </w:r>
    </w:p>
    <w:p>
      <w:pPr>
        <w:spacing w:after="0" w:line="18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Presentation of Financial Statements (Topic 205) and Property, Plant and Equipment (Topic 360)</w:t>
      </w:r>
      <w:r>
        <w:rPr>
          <w:rFonts w:ascii="Times New Roman" w:cs="Times New Roman" w:eastAsia="Times New Roman" w:hAnsi="Times New Roman"/>
          <w:sz w:val="18"/>
          <w:szCs w:val="18"/>
          <w:color w:val="auto"/>
        </w:rPr>
        <w:t xml:space="preserve"> (“ASU 2014-08”), which amends the requirements for reporting discontinued operations and enhances disclosure requirements. The amendments in ASU 2014-08 will be effective for all disposals (or classifications as held for sale) of components of an entity beginning on or after December 15, 2014 and early adoption is permitted. The adoption of ASU 2014-08 is not expected to have a material impact on the Company’s consolidated financial statements.</w:t>
      </w:r>
    </w:p>
    <w:p>
      <w:pPr>
        <w:spacing w:after="0" w:line="248"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February 2013, the FASB issued ASU 2013-02, </w:t>
      </w:r>
      <w:r>
        <w:rPr>
          <w:rFonts w:ascii="Times New Roman" w:cs="Times New Roman" w:eastAsia="Times New Roman" w:hAnsi="Times New Roman"/>
          <w:sz w:val="18"/>
          <w:szCs w:val="18"/>
          <w:i w:val="1"/>
          <w:iCs w:val="1"/>
          <w:color w:val="auto"/>
        </w:rPr>
        <w:t>Reporting of Amounts of Reclassified Out of Accumulated Other Comprehensive Income</w:t>
      </w:r>
      <w:r>
        <w:rPr>
          <w:rFonts w:ascii="Times New Roman" w:cs="Times New Roman" w:eastAsia="Times New Roman" w:hAnsi="Times New Roman"/>
          <w:sz w:val="18"/>
          <w:szCs w:val="18"/>
          <w:color w:val="auto"/>
        </w:rPr>
        <w:t xml:space="preserve"> (“ASU 2013-02”), which amends </w:t>
      </w:r>
      <w:r>
        <w:rPr>
          <w:rFonts w:ascii="Times New Roman" w:cs="Times New Roman" w:eastAsia="Times New Roman" w:hAnsi="Times New Roman"/>
          <w:sz w:val="18"/>
          <w:szCs w:val="18"/>
          <w:i w:val="1"/>
          <w:iCs w:val="1"/>
          <w:color w:val="auto"/>
        </w:rPr>
        <w:t>Comprehensive Income (Topic 220)</w:t>
      </w:r>
      <w:r>
        <w:rPr>
          <w:rFonts w:ascii="Times New Roman" w:cs="Times New Roman" w:eastAsia="Times New Roman" w:hAnsi="Times New Roman"/>
          <w:sz w:val="18"/>
          <w:szCs w:val="18"/>
          <w:color w:val="auto"/>
        </w:rPr>
        <w:t xml:space="preserve"> in the ASC. These 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the Company’s interim and annual fiscal periods that began January 1, 2013. The adoption of ASU 2013-02 did not have a material impact on the Company’s consolidated financial statements.</w:t>
      </w:r>
    </w:p>
    <w:p>
      <w:pPr>
        <w:spacing w:after="0" w:line="140"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Available to Common Stockholders</w:t>
      </w:r>
    </w:p>
    <w:p>
      <w:pPr>
        <w:spacing w:after="0" w:line="81" w:lineRule="exact"/>
        <w:rPr>
          <w:sz w:val="20"/>
          <w:szCs w:val="20"/>
          <w:color w:val="auto"/>
        </w:rPr>
      </w:pPr>
    </w:p>
    <w:p>
      <w:pPr>
        <w:ind w:right="200" w:firstLine="446"/>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share available to common stockholders are presented in conformity with the two-class method required for participating securities. Under the two-class method, basic net income per share available to common stockholders is computed by dividing the net income available to common stockholders by the weighted-average number of shares of common stock outstanding during the period.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available to common stockholders (in thousands, except for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Allocation of net income to participating stockholders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5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5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Undistributed earnings re-allocated to common stockholders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5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available to common</w:t>
            </w:r>
          </w:p>
        </w:tc>
        <w:tc>
          <w:tcPr>
            <w:tcW w:w="3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49,766</w:t>
            </w: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available to common</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 using treasury-stock method</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05"/>
        </w:trPr>
        <w:tc>
          <w:tcPr>
            <w:tcW w:w="67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diluted net income available to common</w:t>
            </w: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53,652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common share available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5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4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the following securities were not included in the calculation of diluted shares outstanding, as the effect would have been anti-dilutive (in thousands):</w:t>
      </w:r>
    </w:p>
    <w:p>
      <w:pPr>
        <w:spacing w:after="0" w:line="12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38735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gridSpan w:val="2"/>
          </w:tcPr>
          <w:p>
            <w:pPr>
              <w:ind w:left="73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2,672</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of common stock subject to repurchase</w:t>
            </w:r>
          </w:p>
        </w:tc>
        <w:tc>
          <w:tcPr>
            <w:tcW w:w="15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649</w:t>
            </w:r>
          </w:p>
        </w:tc>
      </w:tr>
      <w:tr>
        <w:trPr>
          <w:trHeight w:val="486"/>
        </w:trPr>
        <w:tc>
          <w:tcPr>
            <w:tcW w:w="67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financial assets measured at fair value on a recurring basis as of December 31, 2014 and 2013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1,409</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9,158</w:t>
            </w:r>
          </w:p>
        </w:tc>
      </w:tr>
      <w:tr>
        <w:trPr>
          <w:trHeight w:val="67"/>
        </w:trPr>
        <w:tc>
          <w:tcPr>
            <w:tcW w:w="6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120,282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68,672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48,062</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239,514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34,498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146,100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146,100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31,597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4,995</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190,567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190,567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620" w:right="1660" w:hanging="5169"/>
        <w:spacing w:after="0" w:line="564" w:lineRule="auto"/>
        <w:rPr>
          <w:sz w:val="20"/>
          <w:szCs w:val="20"/>
          <w:color w:val="auto"/>
        </w:rPr>
      </w:pPr>
      <w:r>
        <w:rPr>
          <w:rFonts w:ascii="Times New Roman" w:cs="Times New Roman" w:eastAsia="Times New Roman" w:hAnsi="Times New Roman"/>
          <w:sz w:val="18"/>
          <w:szCs w:val="18"/>
          <w:color w:val="auto"/>
        </w:rPr>
        <w:t>As of December 31, 2014 and 2013, the Company did not use level 3 inputs to measure financial assets or liabilities at fair value. 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available-for-sale securities as of December 31, 2014 and 2013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120,282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48,062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239,621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239,514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146,100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190,567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net in the Company’s consolidated statements of operations and have not been material for all periods presented.</w:t>
      </w:r>
    </w:p>
    <w:p>
      <w:pPr>
        <w:spacing w:after="0" w:line="176"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The weighted-average remaining maturity of the Company’s investment portfolio was less than one year as of December 31, 2014 and 2013. As of December 31, 2014, no individual securities incurred continuous unrealized losses for greater than 12 months.</w:t>
      </w:r>
    </w:p>
    <w:p>
      <w:pPr>
        <w:spacing w:after="0" w:line="117"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Patent assets, net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2014</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529,526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665,290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(428,941)</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236,349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34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2013</w:t>
            </w:r>
          </w:p>
        </w:tc>
      </w:tr>
      <w:tr>
        <w:trPr>
          <w:trHeight w:val="33"/>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403,875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529,526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(309,572)</w:t>
            </w:r>
          </w:p>
        </w:tc>
      </w:tr>
      <w:tr>
        <w:trPr>
          <w:trHeight w:val="27"/>
        </w:trPr>
        <w:tc>
          <w:tcPr>
            <w:tcW w:w="5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199,314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219,954</w:t>
            </w:r>
          </w:p>
        </w:tc>
      </w:tr>
      <w:tr>
        <w:trPr>
          <w:trHeight w:val="20"/>
        </w:trPr>
        <w:tc>
          <w:tcPr>
            <w:tcW w:w="5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December 31, 2014, the estimated economic useful lives of the Company’s patent assets generally ranged from 24 to 60 months. As of December 31, 2014, the weighted-average estimated economic useful life at the time of acquisition was 45 months.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 December 31, 2014,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111,415</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80,576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36,241</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r>
      <w:tr>
        <w:trPr>
          <w:trHeight w:val="257"/>
        </w:trPr>
        <w:tc>
          <w:tcPr>
            <w:tcW w:w="9940" w:type="dxa"/>
            <w:vAlign w:val="bottom"/>
          </w:tcPr>
          <w:p>
            <w:pPr>
              <w:jc w:val="right"/>
              <w:ind w:right="653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236,349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was $119.7 million, $105.5 million and $80.4 million for the years ended December 31, 2014, 2013 and 2012, respectively.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Syndicated Acquisitions</w:t>
      </w:r>
    </w:p>
    <w:p>
      <w:pPr>
        <w:spacing w:after="0" w:line="31" w:lineRule="exact"/>
        <w:rPr>
          <w:sz w:val="20"/>
          <w:szCs w:val="20"/>
          <w:color w:val="auto"/>
        </w:rPr>
      </w:pPr>
    </w:p>
    <w:p>
      <w:pPr>
        <w:ind w:right="80" w:firstLine="432"/>
        <w:spacing w:after="0" w:line="252" w:lineRule="auto"/>
        <w:rPr>
          <w:sz w:val="20"/>
          <w:szCs w:val="20"/>
          <w:color w:val="auto"/>
        </w:rPr>
      </w:pPr>
      <w:r>
        <w:rPr>
          <w:rFonts w:ascii="Times New Roman" w:cs="Times New Roman" w:eastAsia="Times New Roman" w:hAnsi="Times New Roman"/>
          <w:sz w:val="18"/>
          <w:szCs w:val="18"/>
          <w:color w:val="auto"/>
        </w:rPr>
        <w:t>Syndicated acquisitions are transactions involving patent assets that may cost more than the Company is prepared to spend with its own capital resources or that are relevant only to a very small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145"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7,926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4,667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4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$2.0 million, $1.6 million and $1.3 million for the years ended December 31, 2014, 2013 and 2012, respectively. Stock-based compensation capitalized as part of the cost of internal-use software was $0.1 million, $0.1 million, and $0.3 million for the years ended December 31, 2014, 2013 and 2012, respectively.</w:t>
      </w:r>
    </w:p>
    <w:p>
      <w:pPr>
        <w:spacing w:after="0" w:line="132"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June 19, 2014, the Company completed its acquisition of all of the issued and outstanding membership interests in DCML Services Corporation (“DCML”), a provider of data, intelligence and consulting on NPEs (operating under the trade name PatentFreedom). The final purchase price for DCML was approximately $6.2 million, consisting of $3.0 million in cash and 182,408 shares of the Company’s common stock. The fair value of the equity component of the final purchase price of $3.2 million was determined for accounting purposes based on the fair value of the Company’s common stock on the closing date of the acquisition. As of December 31, 2014, the Company has paid $2.6 million of the cash consideration. The shares of common stock were issued in July 2014 and are restricted pursuant to the terms of the agreement. The Company recorded $3.3 million of intangible assets which includes a covenant not to compete, proprietary data and customer relationships, $1.1 million in net deferred tax liabilities, $0.5 million in net tangible assets, and $3.5 million of residual goodwill. The covenant not to compete and proprietary data and customer relationships are being amortized over a weighted-average estimated economic useful life of 3 years. The goodwill recorded pertains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the cost benefits and operational synergies realized by integrating DCML’s data with the Company’s proprietary database that cross-references all patent, litigation and entity information. The goodwill is not expected to be deductible for tax purposes. For the year ended December 31, 2014, the Company recorded acquisition-related costs of $0.1 million which were expensed as incurred and included in the Company's selling, general and administrative expenses. The Company has included the financial results of DCML in its consolidated financial statements from the acquisition date and the results are not individually material to its consolidated financial statements.</w:t>
      </w:r>
    </w:p>
    <w:p>
      <w:pPr>
        <w:spacing w:after="0" w:line="139"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 from business acquisition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Intangible Assets, Net</w:t>
            </w: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8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rPr>
              <w:t>Intangible assets, net, as of December 31, 2014 and 2013 consisted of the following (in thousands):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4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02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Proprietary data and models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not to compete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17"/>
          </w:tcPr>
          <w:p>
            <w:pPr>
              <w:jc w:val="center"/>
              <w:ind w:right="340"/>
              <w:spacing w:after="0"/>
              <w:rPr>
                <w:sz w:val="20"/>
                <w:szCs w:val="20"/>
                <w:color w:val="auto"/>
              </w:rPr>
            </w:pPr>
            <w:r>
              <w:rPr>
                <w:rFonts w:ascii="Times New Roman" w:cs="Times New Roman" w:eastAsia="Times New Roman" w:hAnsi="Times New Roman"/>
                <w:sz w:val="18"/>
                <w:szCs w:val="18"/>
                <w:color w:val="auto"/>
                <w:w w:val="99"/>
              </w:rPr>
              <w:t>As of December 31, 2014, the Company expects amortization expense in future periods to be as follows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5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Total estimated future amortization expense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intangible assets was $1.5 million each year for the years ended December 31, 2014, 2013 and 2012.</w:t>
      </w:r>
    </w:p>
    <w:p>
      <w:pPr>
        <w:spacing w:after="0" w:line="181"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4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8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14,257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8,784</w:t>
            </w:r>
          </w:p>
        </w:tc>
        <w:tc>
          <w:tcPr>
            <w:tcW w:w="0" w:type="dxa"/>
            <w:vAlign w:val="bottom"/>
          </w:tcPr>
          <w:p>
            <w:pPr>
              <w:spacing w:after="0"/>
              <w:rPr>
                <w:sz w:val="1"/>
                <w:szCs w:val="1"/>
                <w:color w:val="auto"/>
              </w:rPr>
            </w:pPr>
          </w:p>
        </w:tc>
      </w:tr>
      <w:tr>
        <w:trPr>
          <w:trHeight w:val="311"/>
        </w:trPr>
        <w:tc>
          <w:tcPr>
            <w:tcW w:w="448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and other assets purchased but not paid</w:t>
            </w:r>
          </w:p>
        </w:tc>
        <w:tc>
          <w:tcPr>
            <w:tcW w:w="4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5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8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right="8380" w:hanging="492"/>
        <w:spacing w:after="0" w:line="350" w:lineRule="auto"/>
        <w:tabs>
          <w:tab w:leader="none" w:pos="5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spacing w:after="0" w:line="1" w:lineRule="exact"/>
        <w:rPr>
          <w:sz w:val="20"/>
          <w:szCs w:val="20"/>
          <w:color w:val="auto"/>
        </w:rPr>
      </w:pPr>
    </w:p>
    <w:p>
      <w:pPr>
        <w:ind w:right="120" w:firstLine="446"/>
        <w:spacing w:after="0" w:line="261" w:lineRule="auto"/>
        <w:rPr>
          <w:sz w:val="20"/>
          <w:szCs w:val="20"/>
          <w:color w:val="auto"/>
        </w:rPr>
      </w:pPr>
      <w:r>
        <w:rPr>
          <w:rFonts w:ascii="Times New Roman" w:cs="Times New Roman" w:eastAsia="Times New Roman" w:hAnsi="Times New Roman"/>
          <w:sz w:val="18"/>
          <w:szCs w:val="18"/>
          <w:color w:val="auto"/>
        </w:rPr>
        <w:t>The Company leases its facilities under non-cancelable lease agreements. Certain of these arrangements have free rent, escalating rent payment provisions and tenant allowances. Under such arrangements the Company recognizes rent expense on a straight line basis over the non-cancelable lease term and records the difference between cash rent payments and the recognition of rent expense as a deferred rent liability within other current liabilities (current portion) and other liabilities (non-current portion).</w:t>
      </w:r>
    </w:p>
    <w:p>
      <w:pPr>
        <w:spacing w:after="0" w:line="180" w:lineRule="exact"/>
        <w:rPr>
          <w:sz w:val="20"/>
          <w:szCs w:val="20"/>
          <w:color w:val="auto"/>
        </w:rPr>
      </w:pPr>
    </w:p>
    <w:p>
      <w:pPr>
        <w:ind w:right="60" w:firstLine="446"/>
        <w:spacing w:after="0" w:line="261" w:lineRule="auto"/>
        <w:rPr>
          <w:sz w:val="20"/>
          <w:szCs w:val="20"/>
          <w:color w:val="auto"/>
        </w:rPr>
      </w:pPr>
      <w:r>
        <w:rPr>
          <w:rFonts w:ascii="Times New Roman" w:cs="Times New Roman" w:eastAsia="Times New Roman" w:hAnsi="Times New Roman"/>
          <w:sz w:val="18"/>
          <w:szCs w:val="18"/>
          <w:color w:val="auto"/>
        </w:rPr>
        <w:t>In March 2012, the Company entered into an amended lease agreement related to its San Francisco, California office space. The amendment, which took effect on May 1, 2013, increased the rentable space to approximately 67,000 total square feet and extended the term through October 2019. The monthly base rent payments pursuant to this lease are approximately $0.3 million per month, increasing to approximately $0.4 million per month over the life of the lease.</w:t>
      </w:r>
    </w:p>
    <w:p>
      <w:pPr>
        <w:spacing w:after="0" w:line="180" w:lineRule="exact"/>
        <w:rPr>
          <w:sz w:val="20"/>
          <w:szCs w:val="20"/>
          <w:color w:val="auto"/>
        </w:rPr>
      </w:pPr>
    </w:p>
    <w:p>
      <w:pPr>
        <w:ind w:right="220" w:firstLine="446"/>
        <w:spacing w:after="0" w:line="266" w:lineRule="auto"/>
        <w:rPr>
          <w:sz w:val="20"/>
          <w:szCs w:val="20"/>
          <w:color w:val="auto"/>
        </w:rPr>
      </w:pPr>
      <w:r>
        <w:rPr>
          <w:rFonts w:ascii="Times New Roman" w:cs="Times New Roman" w:eastAsia="Times New Roman" w:hAnsi="Times New Roman"/>
          <w:sz w:val="18"/>
          <w:szCs w:val="18"/>
          <w:color w:val="auto"/>
        </w:rPr>
        <w:t>In October 2013, the Company entered into an agreement to sublease a portion of its San Francisco, California office space. This sublease took effect on February 1, 2014 for a 36-month term through January 2017. The Company received income from this sublease of $0.6 million for the year ended December 31, 2014.</w:t>
      </w:r>
    </w:p>
    <w:p>
      <w:pPr>
        <w:spacing w:after="0" w:line="176" w:lineRule="exact"/>
        <w:rPr>
          <w:sz w:val="20"/>
          <w:szCs w:val="20"/>
          <w:color w:val="auto"/>
        </w:rPr>
      </w:pPr>
    </w:p>
    <w:p>
      <w:pPr>
        <w:ind w:right="300" w:firstLine="446"/>
        <w:spacing w:after="0" w:line="282" w:lineRule="auto"/>
        <w:rPr>
          <w:sz w:val="20"/>
          <w:szCs w:val="20"/>
          <w:color w:val="auto"/>
        </w:rPr>
      </w:pPr>
      <w:r>
        <w:rPr>
          <w:rFonts w:ascii="Times New Roman" w:cs="Times New Roman" w:eastAsia="Times New Roman" w:hAnsi="Times New Roman"/>
          <w:sz w:val="18"/>
          <w:szCs w:val="18"/>
          <w:color w:val="auto"/>
        </w:rPr>
        <w:t>Rent expense related to non-cancelable operating leases, net of sublease income, was $3.5 million, $3.5 million and $2.4 million for the years ended December 31, 2014, 2013 and 2012, respectively.</w:t>
      </w:r>
    </w:p>
    <w:p>
      <w:pPr>
        <w:spacing w:after="0" w:line="16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2014, the future minimum lease payments required under non-cancelable operating leases and the future minimum payments to be received from non-cancelable subleases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4,284</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4,269</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w:t>
            </w:r>
          </w:p>
        </w:tc>
      </w:tr>
      <w:tr>
        <w:trPr>
          <w:trHeight w:val="243"/>
        </w:trPr>
        <w:tc>
          <w:tcPr>
            <w:tcW w:w="9940" w:type="dxa"/>
            <w:vAlign w:val="bottom"/>
          </w:tcPr>
          <w:p>
            <w:pPr>
              <w:jc w:val="right"/>
              <w:ind w:right="9450"/>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right"/>
              <w:ind w:right="9450"/>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3,613</w:t>
            </w:r>
          </w:p>
        </w:tc>
      </w:tr>
      <w:tr>
        <w:trPr>
          <w:trHeight w:val="23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 non-cancelable minimum operating lease payments</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20,645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minimum payments to be received from non-cancelable subleases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57"/>
        </w:trPr>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non-cancelable minimum operating lease payments, net</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19,146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legal contingencies was recorded as of December 31, 2014 or 2013.</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has subsequently continued the stay until June 2015. We are not currently able to determine whether there is a reasonable possibility that a loss has been incurred, nor can we estimate the potential loss or range of the potential loss that may result from this litigation.</w:t>
      </w: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2014 or 2013.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9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August 2012, the Company began offering insurance to cover certain costs of litigation brought against its insured clients by NPEs. As of December 31, 2014 and 2013, the Company had a total of 48 and 25 active policies, respectively, and has recorded a reserve of $0.5 million and $0.6 million, respectively, for known and incurred but not reported claims that represent estimated claim costs and related expenses.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regularly reviews loss reserves using a variety of actuarial techniques and updates them as its loss experience develops.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 Asset Purchase Commitments</w:t>
      </w:r>
    </w:p>
    <w:p>
      <w:pPr>
        <w:spacing w:after="0" w:line="9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 November 2013, the Company entered into an agreement to acquire patent assets for an aggregate purchase price of $3.0 million. Pursuant to this agreement, the Company paid the purchase price and acquired the patent assets in January 2014.</w:t>
      </w:r>
    </w:p>
    <w:p>
      <w:pPr>
        <w:spacing w:after="0" w:line="117" w:lineRule="exact"/>
        <w:rPr>
          <w:sz w:val="20"/>
          <w:szCs w:val="20"/>
          <w:color w:val="auto"/>
        </w:rPr>
      </w:pPr>
    </w:p>
    <w:p>
      <w:pPr>
        <w:ind w:left="500" w:right="9360" w:hanging="492"/>
        <w:spacing w:after="0" w:line="331" w:lineRule="auto"/>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Equity </w:t>
      </w:r>
      <w:r>
        <w:rPr>
          <w:rFonts w:ascii="Times New Roman" w:cs="Times New Roman" w:eastAsia="Times New Roman" w:hAnsi="Times New Roman"/>
          <w:sz w:val="18"/>
          <w:szCs w:val="18"/>
          <w:b w:val="1"/>
          <w:bCs w:val="1"/>
          <w:i w:val="1"/>
          <w:iCs w:val="1"/>
          <w:color w:val="auto"/>
        </w:rPr>
        <w:t>Common Stock</w:t>
      </w: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2014, under the Company’s amended and restated certificate of incorporation, the Company is authorized to issue 200 million shares of common stock with a par value of $0.0001 per share.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2014,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initially reserved 1,500,000 shares of common stock for future issuance under the 2011 Plan. In March 2014 and 2013, the Company reserved an additional 1,000,000 shares of common stock each year for future issuance under the 2011 Plan. As of December 31, 2014, there were 2,685,154 shares available for grant under the 2011 Plan.</w:t>
      </w:r>
    </w:p>
    <w:p>
      <w:pPr>
        <w:spacing w:after="0" w:line="188"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In August 2008, the Company’s Board of Directors adopted the 2008 Plan (the “2008 Plan”) which provided for the issuance of incentive stock options, non-qualified stock options, as well as the direct award or sale of shares of common stock to employees, directors and non-employees for up to 9,019,474 shares of common stock, as amended. No further awards have been made under the 2008 Plan; however, all awards outstanding under the 2008 Plan will continue to be governed by the existing terms.</w:t>
      </w:r>
    </w:p>
    <w:p>
      <w:pPr>
        <w:spacing w:after="0" w:line="18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RSUs granted to newly hired employees vest 25% on the first Company-established vest date after the first anniversary of the employee’s date of hire and ratably each quarter over the ensuing 12-quarter period. RSUs granted to existing employees generally vest ratably each quarter over the 16 quarters following the date of grant. PBRSUs granted to employees may vest 25% on each anniversary of the grant date, provided that the average closing price per share of the Company’s common stock for any 90-calendar day period during the year preceding such anniversary date is equal to or greater than 1.25 times the Company’s stock price on the grant date or on the anniversary of the grant date. To the extent that a portion of the award does not vest on a specific anniversary date, it will remain eligible to vest in any of following three successive anniversaries of the grant date, provided that the market conditions have been satisfied at that time.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activity under its equity-settled award plans and related information is as follows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Available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4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Grant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 December 31, 2013</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related to net share</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 December 31, 2014</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14,475</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exercisable - December 31, 2014</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11,094</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 December 31, 2014</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14,078</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2014, 2013 and 2012 was $7.0 million, $13.5 million and $23.8 million, respectively. The total fair value of stock options vested during the years ended December 31, 2014, 2013 and 2012 was $6.2 million, $9.1 million and $8.5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summary of restricted stock unit activity, which includes PBRSUs, is as follows (in thousands, except for per share data):</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638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6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 December 31, 2013</w:t>
            </w: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 December 31, 2014</w:t>
            </w: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33,896</w:t>
            </w:r>
          </w:p>
        </w:tc>
      </w:tr>
      <w:tr>
        <w:trPr>
          <w:trHeight w:val="20"/>
        </w:trPr>
        <w:tc>
          <w:tcPr>
            <w:tcW w:w="6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2014, 2013 and 2012 was $13.7 million, $6.6 million and $1.6 million, respectively.</w:t>
      </w:r>
    </w:p>
    <w:p>
      <w:pPr>
        <w:spacing w:after="0" w:line="16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In October 2013, the Board of Directors approved net-share settlement for tax withholdings on RSU vesting. In 2014 and 2013, the Company withheld issuing 325,292 and 45,338 shares of its common stock, respectively, based on the value of the RSUs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their vesting dates as determined by the Company’s closing common stock price. Total payments for the employees’ minimum tax obligations to taxing authorities were $4.9 million and $0.8 million for the years ended December 31, 2014 and 2013, respectively, and were recorded as a reduction to additional paid-in capital and reflected as a financing activity within the consolidated statements of cash flows. The net-share settlements reduced the number of shares that would have otherwise been issued on the vesting date and increased the number of shares reserved for future issuance under the 2011 Plan.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Employees and Directors</w:t>
      </w:r>
    </w:p>
    <w:p>
      <w:pPr>
        <w:spacing w:after="0" w:line="81"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The Company did not grant any stock options during the year ended December 31, 2014. The weighted-average assumptions used to estimate the fair value of stock options granted and the resulting fair values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2960" w:type="dxa"/>
            <w:vAlign w:val="bottom"/>
            <w:gridSpan w:val="4"/>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680" w:type="dxa"/>
            <w:vAlign w:val="bottom"/>
          </w:tcPr>
          <w:p>
            <w:pPr>
              <w:spacing w:after="0"/>
              <w:rPr>
                <w:sz w:val="20"/>
                <w:szCs w:val="20"/>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08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tcPr>
          <w:p>
            <w:pPr>
              <w:spacing w:after="0"/>
              <w:rPr>
                <w:sz w:val="21"/>
                <w:szCs w:val="21"/>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77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RSUs granted to employees and non-employee directors is measured by reference to the fair value of the underlying shares on the date of grant.</w:t>
      </w:r>
    </w:p>
    <w:p>
      <w:pPr>
        <w:spacing w:after="0" w:line="16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PBRSUs contain both service and market conditions that affect the quantity of awards that will vest. During the years ended December 31, 2014 and 2013, the Company granted 200,000 and 175,000 PBRSUs, respectively. The Company did not grant any PBRSUs during the year ended December 31, 2012. The Company estimates the grant date fair value of the PBRSUs using the Monte Carlo simulation model. The weighted-average assumptions used to estimate the fair value of PBRSUs and the resulting fair values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18"/>
                <w:szCs w:val="18"/>
                <w:color w:val="auto"/>
              </w:rPr>
            </w:pPr>
          </w:p>
        </w:tc>
        <w:tc>
          <w:tcPr>
            <w:tcW w:w="2840" w:type="dxa"/>
            <w:vAlign w:val="bottom"/>
            <w:gridSpan w:val="4"/>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80" w:type="dxa"/>
            <w:vAlign w:val="bottom"/>
          </w:tcPr>
          <w:p>
            <w:pPr>
              <w:spacing w:after="0"/>
              <w:rPr>
                <w:sz w:val="20"/>
                <w:szCs w:val="20"/>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6.39</w:t>
            </w:r>
          </w:p>
        </w:tc>
      </w:tr>
    </w:tbl>
    <w:p>
      <w:pPr>
        <w:spacing w:after="0" w:line="22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employees and non-employee directors was $5.4 million, $8.5 million and $7.9 million for the years ended December 31, 2014, 2013 and 2012, respectively. Stock-based compensation expense related to RSUs granted to employees and non-employee directors was $11.6 million, $6.9 million and $2.0 million for the years ended December 31, 2014, 2013 and 2012, respectively. Stock-based compensation expense related to PBRSUs granted to employees was $0.8 million, $0.4 million, and nil for the years ended December 31, 2014, 2013 and 2012, respectively.</w:t>
      </w:r>
    </w:p>
    <w:p>
      <w:pPr>
        <w:spacing w:after="0" w:line="18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2014, there was $4.5 million and $29.5 million of unrecognized compensation cost related to stock options and RSUs, including PBRSUs, respectively, which is expected to be recognized over a weighted-average period of 1.5 years and 2.7 years, respectively. Future grants of equity awards will increase the amount of stock-based compensation expense to be recorded.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Non-Employees</w:t>
      </w:r>
    </w:p>
    <w:p>
      <w:pPr>
        <w:spacing w:after="0" w:line="8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Non-employee stock-based compensation expense related to stock options was nil, $0.2 million and $0.3 million for the years ended December 31, 2014, 2013 and 2012, respectively. Non-employee stock-based compensation expense related to RSUs was nil, $0.2 million and $0.3 million for the years ended December 31, 2014, 2013 and 2012,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00" w:type="dxa"/>
            <w:vAlign w:val="bottom"/>
          </w:tcPr>
          <w:p>
            <w:pPr>
              <w:spacing w:after="0"/>
              <w:rPr>
                <w:sz w:val="24"/>
                <w:szCs w:val="24"/>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 provision consists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64,238</w:t>
            </w:r>
          </w:p>
        </w:tc>
        <w:tc>
          <w:tcPr>
            <w:tcW w:w="5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61,983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income before income 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64,282</w:t>
            </w:r>
          </w:p>
        </w:tc>
        <w:tc>
          <w:tcPr>
            <w:tcW w:w="5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62,069</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5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0" w:type="dxa"/>
            <w:vAlign w:val="bottom"/>
          </w:tcPr>
          <w:p>
            <w:pPr>
              <w:spacing w:after="0"/>
              <w:rPr>
                <w:sz w:val="1"/>
                <w:szCs w:val="1"/>
                <w:color w:val="auto"/>
              </w:rPr>
            </w:pPr>
          </w:p>
        </w:tc>
      </w:tr>
      <w:tr>
        <w:trPr>
          <w:trHeight w:val="22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6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2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Net deferred tax assets (liabilities) consist of the following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060" w:type="dxa"/>
            <w:vAlign w:val="bottom"/>
            <w:gridSpan w:val="4"/>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85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to the Company’s effective tax (in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5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tax – net of federal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income not taxed at federal rate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2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17"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117"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firstLine="486"/>
        <w:spacing w:after="0" w:line="258"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2014, management believes it is more-likely-than-not that the U.S. net deferred tax asset will be fully realized. Accordingly, management has not applied a valuation allowance against its net deferred tax assets.</w:t>
      </w:r>
    </w:p>
    <w:p>
      <w:pPr>
        <w:spacing w:after="0" w:line="13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2013, the Company had state net operating loss carryforwards of $2.0 million available to reduce future taxable income which were fully utilized during 2014.</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Internal Revenue Code Section 382 places a limitation (the Section 382 Limitation) on the amount of taxable income that can be offset by net operating loss carryforwards after a change in control (generally greater than 50% change in ownership) of a loss corporation. California has similar rules. Generally, after a change in control, a loss corporation cannot deduct operating loss carryforwards in excess of the Section 382 Limitation. Management has considered the impact of such limitation in determining the utilization of its operating loss carryforwards against taxable income in future periods.</w:t>
      </w:r>
    </w:p>
    <w:p>
      <w:pPr>
        <w:spacing w:after="0" w:line="12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Deferred tax liabilities have not been recognized for undistributed earnings for foreign subsidiaries because it is management’s intention to indefinitely reinvest such undistributed earnings outside the U.S. Generally, such earnings are subject to potential foreign withholding tax and the U.S. tax upon remittance of dividends and under certain other circumstances. The Company believes that the the potential liability would be immaterial.</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8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Company’s total amount of unrecognized tax benefits was $3.7 million, all of which would impact the Company’s effective tax rate, if recognized.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3"/>
        </w:trPr>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increase related to current period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767</w:t>
            </w:r>
          </w:p>
        </w:tc>
      </w:tr>
      <w:tr>
        <w:trPr>
          <w:trHeight w:val="243"/>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decrease related to prior period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its unrecognized tax benefits will significantly change within the next twelve months.</w:t>
      </w:r>
    </w:p>
    <w:p>
      <w:pPr>
        <w:spacing w:after="0" w:line="17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benefits as a component of income tax expense. During the years ended December 31, 2014, 2013 and 2012, the Company recognized $0.7 million, $0.1 million, and $0.1 million, respectively, of interest and penalties associated with unrecognized tax benefits.</w:t>
      </w:r>
    </w:p>
    <w:p>
      <w:pPr>
        <w:spacing w:after="0" w:line="17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2010 tax year is currently under examination by the State of California Franchise Tax Board. The Company does not expect a material impact on its consolidated financial statements as a result of this examination. The 2011 through 2013 tax periods remain open to examination by the Internal Revenue Service and the 2010 through 2013 tax periods remain open to examination by most state tax authorities. For the Company's foreign jurisdictions, the 2009 through 2013 tax years remain open to examination by their respective tax authorities.</w:t>
      </w:r>
    </w:p>
    <w:p>
      <w:pPr>
        <w:spacing w:after="0" w:line="136"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81" w:lineRule="exact"/>
        <w:rPr>
          <w:sz w:val="20"/>
          <w:szCs w:val="20"/>
          <w:color w:val="auto"/>
        </w:rPr>
      </w:pPr>
    </w:p>
    <w:p>
      <w:pPr>
        <w:ind w:right="80" w:firstLine="446"/>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2014, five members of the Company’s Board of Directors also served on the boards of directors of RPX clients. During the year ended December 31, 2013, four members of the Company’s Board of Directors also served on the boards of directors of RPX clients. During the year ended December 31, 2012, two members of the Company’s Board of Directors also served on the board of directors of an RPX client. The Company recognized subscription revenue from these clients in the amount of $9.4 million, $5.1 million and $3.6 million during the years ended December 31, 2014, 2013 and 2012, respectively. There were $0.1 million and $4.4 million of receivables due from these clients as of December 31, 2014 and 2013, respectively.</w:t>
      </w:r>
    </w:p>
    <w:p>
      <w:pPr>
        <w:spacing w:after="0" w:line="124"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Savings Plan</w:t>
      </w:r>
    </w:p>
    <w:p>
      <w:pPr>
        <w:spacing w:after="0" w:line="81"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The Company has a savings plan, which qualifies under Section 401(k) of the Internal Revenue Code (the “Plan”), available for its employees in the United States who meet the Plan’s age and service requirements. Employees are eligible to participate in the Plan in the month following their 3-month anniversary with the Company. Under the terms of the Plan, employees may make voluntary contributions up to maximum statutory limits. The Company elected to contribute a discretionary match of one dollar for each dollar contributed, with a maximum employer contribution for each United States employee of $5,000 and $2,500 for the years ended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December 31, 2014 and December 31, 2013, respectively. The Company recorded contribution expense of $0.4 million and $0.2 million during the years ended December 31, 2014 and 2013, respectively.</w:t>
      </w:r>
    </w:p>
    <w:p>
      <w:pPr>
        <w:spacing w:after="0" w:line="117"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8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 reviews financial information presented on a consolidated basis and, as a result, the Company concluded that there is only one operating and reportable segment.</w:t>
      </w:r>
    </w:p>
    <w:p>
      <w:pPr>
        <w:spacing w:after="0" w:line="18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 markets its solution to companies around the world. Revenue is generally attributed to geographic areas based on the country in which the client is domiciled.</w:t>
      </w:r>
    </w:p>
    <w:p>
      <w:pPr>
        <w:spacing w:after="0" w:line="16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145,310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111,419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36,849</w:t>
            </w:r>
          </w:p>
        </w:tc>
        <w:tc>
          <w:tcPr>
            <w:tcW w:w="1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39,465</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40,484</w:t>
            </w:r>
          </w:p>
        </w:tc>
        <w:tc>
          <w:tcPr>
            <w:tcW w:w="1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52,729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45,785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259,335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237,504</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197,688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information by location is presented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40" w:type="dxa"/>
            <w:vAlign w:val="bottom"/>
          </w:tcPr>
          <w:p>
            <w:pPr>
              <w:spacing w:after="0"/>
              <w:rPr>
                <w:sz w:val="20"/>
                <w:szCs w:val="20"/>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4,667</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December 22, 2014, the Company and RPX Clearinghouse LLC (a wholly-owned subsidiary of the Company) entered into an Asset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by and among Rockstar Consortium US LP, Rockstar Consortium LLC, Bockstar Technologies LLC, Constellation Technologies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MobileStar Technologies LLC, and NetStar Technologies LLC (the “Sellers”), for the purchase of substantially all of the patent assets owned or controlled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(the “Rockstar Transaction”), as well as other ancillary agreements, including but not limited to an Escrow Agreement by and among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acting as escrow agent, RPX Clearinghouse LLC and the Company (the “Escrow Agreement”). RPX Clearinghouse LLC paid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as a non-refundable deposit on December 26, 2014 upon the execution of the Asset Purchase Agreement, which is reflected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 other assets. The third-party funding commitments described below were delivered pursuant with the Escrow Agreement and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conditions under the Asset Purchase Agreement were met on January 28, 2015 on which date the Rockstar Transaction was consummated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received an additional payment of $875.0 million from escrow.</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RPX Clearinghouse LLC received funding commitments for the Rockstar Transaction from a syndicate of more than 30 companies including a contribution of approximately $29.0 million from the Company which was recorded as a patent asset upon closing of the Rockstar Transaction and will be amortized over its estimated economic useful life of 60 months. Also upon the closing of the Rockstar Transaction, syndicate participants received non-exclusive licenses to the patent assets included in the Rockstar Transaction, and RPX Clearinghouse made the patent assets available for license to all other interested companies under fair, reasonable, and non-discriminatory terms.</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10, 2015, the Company announced that its Board of Directors has authorized a share repurchase program under which the Company is authorized to repurchase up to $75.0 million of its outstanding common stock. The Company’s share repurchase program does not obligate it to acquire any specific number of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Information (Unaudited)</w:t>
      </w:r>
    </w:p>
    <w:p>
      <w:pPr>
        <w:spacing w:after="0" w:line="8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quarterly financial information for the years ended December 31, 2014 and 2013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67,747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sale of patent assets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Net income available to common stockholders per common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136,209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589"/>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60,275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patent assets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14,678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Net income available to common stockholders per common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including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137,743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220" w:firstLine="8"/>
        <w:spacing w:after="0" w:line="290" w:lineRule="auto"/>
        <w:tabs>
          <w:tab w:leader="none" w:pos="178"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Basic and diluted earnings per share are computed independently for each of the quarters presented. Therefore, the sum of quarterly basic and diluted per share information may not equal annual basic and diluted earnings per share.</w:t>
      </w:r>
    </w:p>
    <w:p>
      <w:pPr>
        <w:sectPr>
          <w:pgSz w:w="11900" w:h="16838" w:orient="portrait"/>
          <w:cols w:equalWidth="0" w:num="1">
            <w:col w:w="11420"/>
          </w:cols>
          <w:pgMar w:left="240" w:top="121"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maintains a set of disclosure controls and procedures designed to ensure that information required to be disclosed by the Company in reports that it files or submits under the Exchange Act, is recorded, processed, summarized and reported within the time periods specified in the SEC’s rules and forms and is accumulated and communicated to the Company’s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the Company’s management, including its Chief Executive Officer and Chief Financial Officer, of the effectiveness of its disclosure controls and procedures. Based on that evaluation, the Company’s Chief Executive Officer and Chief Financial Officer concluded that the Company’s disclosure controls and procedures, as of the end of the period covered by this Annual Report on Form 10-K, were effective to provide reasonable assurance.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2014 based on the guidelines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the results of our evaluation, our management concluded that our internal control over financial reporting was effective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2014 has been audited by PricewaterhouseCoopers LLP, an independent registered public accounting firm, as stated in its report which is included in Item 8 of this Annual Report on Form 10-K.</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Company’s most recent fiscal quarter that has materially affected, or is reasonably likely to materially affect, our internal control over financial reporting.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8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8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17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will be contained in our definitive proxy statement to be filed with the SEC in connection with our 2015 annual meeting of stockholders (the “2015 Proxy Statement”), which we expect to file within 120 days of our fiscal year ended December 31, 2014, and is incorporated herein by reference.</w:t>
      </w:r>
    </w:p>
    <w:p>
      <w:pPr>
        <w:spacing w:after="0" w:line="1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8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regarding executive compensation required by this item will be included under the caption “Executive Compensation” in the 2015 Proxy Statement and is incorporated herein by reference.</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required by this item will be included under the caption “Equity Compensation Plan Information” in the 2015 Proxy Statement and is incorporated herein by reference. The information regarding security ownership of certain beneficial owners and management required by this item will be included under the caption “Security Ownership of Certain Beneficial Owners and Management” in the 2015 Proxy Statement and is incorporated herein by reference.</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8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regarding transactions with related persons required by this item is included under the caption “Certain Relationships and Related Persons Transactions” in the 2015 Proxy Statement and will be incorporated herein by reference. The information regarding director independence required by this item is included under the caption “Corporate Governance” in the 2015 Proxy Statement and is incorporated herein by reference.</w:t>
      </w:r>
    </w:p>
    <w:p>
      <w:pPr>
        <w:spacing w:after="0" w:line="1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8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incorporated under the captions “Independent Registered Public Accounting Firm’s Fees” and “Pre-Approval Policies and Procedures” in the 2015 Proxy Statement and is incorporated herein by reference.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121" w:right="29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81" w:lineRule="exact"/>
        <w:rPr>
          <w:sz w:val="20"/>
          <w:szCs w:val="20"/>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7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financial statements as set forth under Item 8 of this Annual Report on Form 10-K are incorporated herein by reference.</w:t>
      </w:r>
    </w:p>
    <w:p>
      <w:pPr>
        <w:spacing w:after="0" w:line="77" w:lineRule="exact"/>
        <w:rPr>
          <w:sz w:val="20"/>
          <w:szCs w:val="20"/>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77" w:lineRule="exact"/>
        <w:rPr>
          <w:sz w:val="20"/>
          <w:szCs w:val="20"/>
          <w:color w:val="auto"/>
        </w:rPr>
      </w:pPr>
    </w:p>
    <w:p>
      <w:pPr>
        <w:ind w:left="820" w:right="340"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is shown in the financial statements or notes thereto.</w:t>
      </w:r>
    </w:p>
    <w:p>
      <w:pPr>
        <w:spacing w:after="0" w:line="13" w:lineRule="exact"/>
        <w:rPr>
          <w:sz w:val="20"/>
          <w:szCs w:val="20"/>
          <w:color w:val="auto"/>
        </w:rPr>
      </w:pPr>
    </w:p>
    <w:p>
      <w:pPr>
        <w:ind w:left="820" w:hanging="326"/>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herein by reference as part of this Annual Report on Form</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10-K.</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21" w:right="27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3800"/>
        <w:spacing w:after="0"/>
        <w:tabs>
          <w:tab w:leader="none" w:pos="5220" w:val="left"/>
          <w:tab w:leader="none" w:pos="6320" w:val="left"/>
        </w:tabs>
        <w:rPr>
          <w:sz w:val="20"/>
          <w:szCs w:val="20"/>
          <w:color w:val="auto"/>
        </w:rPr>
      </w:pPr>
      <w:r>
        <w:rPr>
          <w:rFonts w:ascii="Times New Roman" w:cs="Times New Roman" w:eastAsia="Times New Roman" w:hAnsi="Times New Roman"/>
          <w:sz w:val="18"/>
          <w:szCs w:val="18"/>
          <w:color w:val="auto"/>
        </w:rPr>
        <w:t>March 2,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00"/>
          </w:cols>
          <w:pgMar w:left="240" w:top="121" w:right="4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right="140" w:firstLine="486"/>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John A. Amster and Martin E. Roberts,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566"/>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JOHN A. AMSTER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 Director (Principal Executive Officer)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A. Amster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 Financial and</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ROBERT HEATH</w:t>
            </w:r>
          </w:p>
        </w:tc>
        <w:tc>
          <w:tcPr>
            <w:tcW w:w="220" w:type="dxa"/>
            <w:vAlign w:val="bottom"/>
          </w:tcPr>
          <w:p>
            <w:pPr>
              <w:spacing w:after="0"/>
              <w:rPr>
                <w:sz w:val="20"/>
                <w:szCs w:val="20"/>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Heath</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GEOFFREY T. BARKER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Geoffrey T. Barker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SHELBY W. BONNIE</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Shelby W. Bonnie</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FRANK E. DANGEARD</w:t>
            </w:r>
          </w:p>
        </w:tc>
        <w:tc>
          <w:tcPr>
            <w:tcW w:w="220" w:type="dxa"/>
            <w:vAlign w:val="bottom"/>
          </w:tcPr>
          <w:p>
            <w:pPr>
              <w:spacing w:after="0"/>
              <w:rPr>
                <w:sz w:val="20"/>
                <w:szCs w:val="20"/>
                <w:color w:val="auto"/>
              </w:rPr>
            </w:pPr>
          </w:p>
        </w:tc>
        <w:tc>
          <w:tcPr>
            <w:tcW w:w="640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Frank E. Dangeard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STEVEN L. FINGERHOOD</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Steven L. Fingerhood</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RANDY KOMISAR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Randy Komisar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THOMAS O. RYDER</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O. Ryder</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SANFORD R. ROBERTSON</w:t>
            </w:r>
          </w:p>
        </w:tc>
        <w:tc>
          <w:tcPr>
            <w:tcW w:w="220" w:type="dxa"/>
            <w:vAlign w:val="bottom"/>
          </w:tcPr>
          <w:p>
            <w:pPr>
              <w:spacing w:after="0"/>
              <w:rPr>
                <w:sz w:val="24"/>
                <w:szCs w:val="24"/>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2, 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Sanford R. Robertson</w:t>
            </w:r>
          </w:p>
        </w:tc>
        <w:tc>
          <w:tcPr>
            <w:tcW w:w="2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980" w:type="dxa"/>
            <w:vAlign w:val="bottom"/>
          </w:tcPr>
          <w:p>
            <w:pPr>
              <w:spacing w:after="0"/>
              <w:rPr>
                <w:sz w:val="24"/>
                <w:szCs w:val="24"/>
                <w:color w:val="auto"/>
              </w:rPr>
            </w:pPr>
          </w:p>
        </w:tc>
        <w:tc>
          <w:tcPr>
            <w:tcW w:w="6400" w:type="dxa"/>
            <w:vAlign w:val="bottom"/>
            <w:gridSpan w:val="2"/>
          </w:tcPr>
          <w:p>
            <w:pPr>
              <w:jc w:val="right"/>
              <w:ind w:right="3492"/>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60" w:type="dxa"/>
            <w:vAlign w:val="bottom"/>
            <w:gridSpan w:val="2"/>
          </w:tcPr>
          <w:p>
            <w:pPr>
              <w:ind w:left="30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3"/>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Amended and Restated Certificate of Incorporation of RPX Corporation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Amended and Restated Bylaws of RPX Corporation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Reference is made to Exhibits 3.1 and 3.2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Common Stock Certificate evidencing shares of common stock of the</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Registrant</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Amended and Restated Investors’ Rights Agreement by and among the Registrant,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John Amster, Geoffrey T. Barker, Eran Zur and the Investors (as defined therein),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dated as of July 15, 2009</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Waiver and Amendment No. 1 to the Amended and Restated Investors’ Rights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Agreement, the Amended and Restated Voting Agreement and the Amended and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Restated First Refusal and Co-Sale Agreement, dated as of November 12, 2010</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Indemnification Agreement between the Registrant and each officer and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John Amster, dated as of</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August 9, 2008</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Geoffrey Barker, dated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 of August 10, 2008</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Henri Linde, dated as of</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October 8, 2008</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Revised Employment Offer Letter by and between the Registrant and Adam Spiegel,</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dated as of February 10, 2010</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Mallun Yen, dated as of</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October 25, 2010</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 Offer Letter by and between the Registrant and Shelby Bonnie, dated as of</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January 29, 2011</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 Offer Letter by and between the Registrant and Sanford R. Robertson, dated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 of March 2, 2011</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2008 Stock Plan, as amended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Grant (Early Exercise) and Stock Option Agreement</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under 2008 Stock Plan</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Grant and Stock Option Agreement under 2008</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 Plan</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Exercise (Early Exercise) under 2008 Stock Plan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Exercise under 2008 Stock Plan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2011 Equity Incentive Plan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Grant and Stock Option Agreement under 2011</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 Incentive Plan</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Option Grant (Non-Employee Directors) and Stock Option</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Agreement (Non-Employee Directors) under 2011 Equity Incentive Plan</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Form of Notice of Stock Unit Award and Stock Unit Agreement under 2011 Equity</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4/29/2011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Incentive Plan</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Amended and Restated Compensation Program for Non-Employee Directors</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10-Q</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001-35146</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Reference is made to Exhibit 4.3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Reference is made to Exhibit 4.4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Common Stock Purchase Agreement by and among the Registrant and the Investors</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(as defined therein), dated as of April 7, 2011</w:t>
            </w:r>
          </w:p>
        </w:tc>
        <w:tc>
          <w:tcPr>
            <w:tcW w:w="9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Lock-Up Agreement, entered into by MHV Partners LLC and Sanford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8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10.30</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4/18/2011</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Robertson</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Sublease by and between Registrant and Sedgwick, Detert, Moran &amp; Arnold LLP,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8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10.23</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1/21/2011</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dated as of September 29, 2009</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10.24</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Office Lease Agreement between Registrant and PPF Paramount One Market Plaza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333-171817</w:t>
            </w:r>
          </w:p>
        </w:tc>
        <w:tc>
          <w:tcPr>
            <w:tcW w:w="8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10.24</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1/21/2011</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Owner, L.P., dated as of July 28, 2010</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10.25</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Office Lease Agreement between Registrant and PPF Paramount One Market Plaza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10-K</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8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10.31</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3/26/2012</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Owner, L.P., dated as of March 9, 2012</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Ned Segal, dated as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8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2/12/2013</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February 7, 2013</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10.27</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Separation Agreement between RPX Corporation and Adam Spiegel dated March 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8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3/13/2013</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2013</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10.28†</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Asset Purchase Agreement (Redacted), dated December 22, 2014, by and among</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Rockstar Consortium US LP, Rockstar Consortium LLC, Bockstar Technologies</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LLC, Constellation Technologies LLC, MobileStar Technologies LLC, NetStar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001-35146</w:t>
            </w:r>
          </w:p>
        </w:tc>
        <w:tc>
          <w:tcPr>
            <w:tcW w:w="8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10.1</w:t>
            </w:r>
          </w:p>
        </w:tc>
        <w:tc>
          <w:tcPr>
            <w:tcW w:w="17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2/3/2015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Technologies LLC, RPX Clearinghouse LLC, and the Registrant</w:t>
            </w:r>
          </w:p>
        </w:tc>
        <w:tc>
          <w:tcPr>
            <w:tcW w:w="7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10.29</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Employment Offer Letter by and between the Registrant and Robert Heath, dated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 March 15, 2011</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List of subsidiaries of the Registrant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Consent of PricewaterhouseCoopers LLP, Independent Registered Public Accounting</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Firm</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Power of Attorney (Included in Signature Page)</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5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 2002.</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Certification of Chief Financial Officer Pursuant to Rule 13-14(a) of the Securities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Exchange Act of 1934 as Adopted Pursuant to Section 302 of the Sarbanes-Oxley Act</w:t>
            </w: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 2002.</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Instance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Portions of this exhibit have been omitted and filed separately with the Securities and Exchange Commission pursuant to a request for confidential treatment.</w:t>
      </w:r>
    </w:p>
    <w:p>
      <w:pPr>
        <w:spacing w:after="0" w:line="200" w:lineRule="exact"/>
        <w:rPr>
          <w:sz w:val="20"/>
          <w:szCs w:val="20"/>
          <w:color w:val="auto"/>
        </w:rPr>
      </w:pP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60"/>
          </w:cols>
          <w:pgMar w:left="240" w:top="121" w:right="7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Robert H. Heath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15, 2011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RPX CORPORATION</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ONE MARKET PLAZA, STEUART TOWER, SUITE 700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FRANCISCO, CA 94105</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15, 2011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H. Heath</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Robert: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RPX Corporation (the “Company”) is pleased to offer you employment on the following terms:</w:t>
      </w:r>
    </w:p>
    <w:p>
      <w:pPr>
        <w:spacing w:after="0" w:line="216" w:lineRule="exact"/>
        <w:rPr>
          <w:sz w:val="20"/>
          <w:szCs w:val="20"/>
          <w:color w:val="auto"/>
        </w:rPr>
      </w:pPr>
    </w:p>
    <w:p>
      <w:pPr>
        <w:ind w:right="20" w:firstLine="656"/>
        <w:spacing w:after="0" w:line="275" w:lineRule="auto"/>
        <w:tabs>
          <w:tab w:leader="none" w:pos="145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Your initial title will be Vice President, Corporate Development and you will initially report to Mallun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Yen, Executive Vice President. This is a full-time position.</w:t>
      </w:r>
    </w:p>
    <w:p>
      <w:pPr>
        <w:spacing w:after="0" w:line="149" w:lineRule="exact"/>
        <w:rPr>
          <w:rFonts w:ascii="Times New Roman" w:cs="Times New Roman" w:eastAsia="Times New Roman" w:hAnsi="Times New Roman"/>
          <w:sz w:val="22"/>
          <w:szCs w:val="22"/>
          <w:color w:val="auto"/>
        </w:rPr>
      </w:pPr>
    </w:p>
    <w:p>
      <w:pPr>
        <w:ind w:right="20" w:firstLine="656"/>
        <w:spacing w:after="0" w:line="288" w:lineRule="auto"/>
        <w:tabs>
          <w:tab w:leader="none" w:pos="112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Commencement of Employment</w:t>
      </w:r>
      <w:r>
        <w:rPr>
          <w:rFonts w:ascii="Times New Roman" w:cs="Times New Roman" w:eastAsia="Times New Roman" w:hAnsi="Times New Roman"/>
          <w:sz w:val="22"/>
          <w:szCs w:val="22"/>
          <w:color w:val="auto"/>
        </w:rPr>
        <w:t>. This letter is conditioned upon your agreement to begin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no later than April 1, 2011.</w:t>
      </w:r>
    </w:p>
    <w:p>
      <w:pPr>
        <w:spacing w:after="0" w:line="135" w:lineRule="exact"/>
        <w:rPr>
          <w:rFonts w:ascii="Times New Roman" w:cs="Times New Roman" w:eastAsia="Times New Roman" w:hAnsi="Times New Roman"/>
          <w:sz w:val="22"/>
          <w:szCs w:val="22"/>
          <w:color w:val="auto"/>
        </w:rPr>
      </w:pPr>
    </w:p>
    <w:p>
      <w:pPr>
        <w:jc w:val="both"/>
        <w:ind w:firstLine="656"/>
        <w:spacing w:after="0" w:line="265" w:lineRule="auto"/>
        <w:tabs>
          <w:tab w:leader="none" w:pos="11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 The Company will pay you a starting salary at the rate of $225,000 per year,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Company’s standard payroll schedule. This salary will be subject to adjustment pursuant to the Company’s employee compensation policies in effect from time to time.</w:t>
      </w:r>
    </w:p>
    <w:p>
      <w:pPr>
        <w:spacing w:after="0" w:line="161" w:lineRule="exact"/>
        <w:rPr>
          <w:rFonts w:ascii="Times New Roman" w:cs="Times New Roman" w:eastAsia="Times New Roman" w:hAnsi="Times New Roman"/>
          <w:sz w:val="22"/>
          <w:szCs w:val="22"/>
          <w:color w:val="auto"/>
        </w:rPr>
      </w:pPr>
    </w:p>
    <w:p>
      <w:pPr>
        <w:jc w:val="both"/>
        <w:ind w:firstLine="656"/>
        <w:spacing w:after="0" w:line="249" w:lineRule="auto"/>
        <w:tabs>
          <w:tab w:leader="none" w:pos="99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 Compensation Plan. </w:t>
      </w:r>
      <w:r>
        <w:rPr>
          <w:rFonts w:ascii="Times New Roman" w:cs="Times New Roman" w:eastAsia="Times New Roman" w:hAnsi="Times New Roman"/>
          <w:sz w:val="22"/>
          <w:szCs w:val="22"/>
          <w:color w:val="auto"/>
        </w:rPr>
        <w:t>You will also be eligible to participate in the Company's annual incentive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Your incentive plan target will be 30% of your base salary. If RPX meets all of its annual corporate goals, and you also perform well against your individual and group goals, to be established with your supervisor, you can expect to receive an incentive plan payment at or near this target after our Board of Directors approves our year-end financial statements. Your actual incentive plan payment may be more or less than this target based on the performance of the Company and the achievement of your individual and group goals. No incentive plan payment will be paid unless you are an employee of the Company on the date the incentive plan payment is paid. Please note that this incentive plan does not constitute a contract of employment or alter the "at will" status of your employment.</w:t>
      </w:r>
    </w:p>
    <w:p>
      <w:pPr>
        <w:spacing w:after="0" w:line="182" w:lineRule="exact"/>
        <w:rPr>
          <w:rFonts w:ascii="Times New Roman" w:cs="Times New Roman" w:eastAsia="Times New Roman" w:hAnsi="Times New Roman"/>
          <w:sz w:val="22"/>
          <w:szCs w:val="22"/>
          <w:color w:val="auto"/>
        </w:rPr>
      </w:pPr>
    </w:p>
    <w:p>
      <w:pPr>
        <w:jc w:val="both"/>
        <w:ind w:firstLine="656"/>
        <w:spacing w:after="0" w:line="254" w:lineRule="auto"/>
        <w:tabs>
          <w:tab w:leader="none" w:pos="105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Compensation</w:t>
      </w:r>
      <w:r>
        <w:rPr>
          <w:rFonts w:ascii="Times New Roman" w:cs="Times New Roman" w:eastAsia="Times New Roman" w:hAnsi="Times New Roman"/>
          <w:sz w:val="22"/>
          <w:szCs w:val="22"/>
          <w:color w:val="auto"/>
        </w:rPr>
        <w:t>. As part of your offer, we are also pleased to offer you a grant of 90,000 options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of the Company. This grant is subject to approval by the Company’s board of directors and will vest 25% upon completion of your first year of employment with the Company, with the remaining 75% vesting ratably on a monthly basis over three years of employment. You will also receive a grant of 20,000 restricted shares or restricted stock units. This grant is subject to the approval of the Company’s board of directors and will vest</w:t>
      </w:r>
    </w:p>
    <w:p>
      <w:pPr>
        <w:sectPr>
          <w:pgSz w:w="11900" w:h="16838" w:orient="portrait"/>
          <w:cols w:equalWidth="0" w:num="1">
            <w:col w:w="11420"/>
          </w:cols>
          <w:pgMar w:left="240" w:top="126"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Robert H. Heath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15, 2011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25% upon the first quarterly vesting date following the completion of your first year of employment, with the remaining 75% vesting in equal quarterly installments over the next three years of employment. For administrative reasons, vesting of restricted shares or restricted stock units will occur only on the Company’s established quarterly vesting dates rather than on the anniversary of your vesting commencement date. These awards will be subject to the terms and conditions applicable to awards granted under the Company’s 2008 Stock Plan or 2011 Equity Incentive Plan, as described in the applicable Plan and award agreement.</w:t>
      </w:r>
    </w:p>
    <w:p>
      <w:pPr>
        <w:spacing w:after="0" w:line="162" w:lineRule="exact"/>
        <w:rPr>
          <w:sz w:val="20"/>
          <w:szCs w:val="20"/>
          <w:color w:val="auto"/>
        </w:rPr>
      </w:pPr>
    </w:p>
    <w:p>
      <w:pPr>
        <w:jc w:val="both"/>
        <w:ind w:firstLine="656"/>
        <w:spacing w:after="0" w:line="265" w:lineRule="auto"/>
        <w:tabs>
          <w:tab w:leader="none" w:pos="115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As a regular employee of the Company, you will be eligible to participate in a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Company-sponsored benefits. In addition, you will be entitled to paid time off in accordance with the Company’s PTO policy, as in effect from time to time.</w:t>
      </w:r>
    </w:p>
    <w:p>
      <w:pPr>
        <w:spacing w:after="0" w:line="161" w:lineRule="exact"/>
        <w:rPr>
          <w:rFonts w:ascii="Times New Roman" w:cs="Times New Roman" w:eastAsia="Times New Roman" w:hAnsi="Times New Roman"/>
          <w:sz w:val="22"/>
          <w:szCs w:val="22"/>
          <w:color w:val="auto"/>
        </w:rPr>
      </w:pPr>
    </w:p>
    <w:p>
      <w:pPr>
        <w:jc w:val="both"/>
        <w:ind w:right="20" w:firstLine="656"/>
        <w:spacing w:after="0" w:line="265" w:lineRule="auto"/>
        <w:tabs>
          <w:tab w:leader="none" w:pos="11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Proprietary Information and Inventions Agreement</w:t>
      </w:r>
      <w:r>
        <w:rPr>
          <w:rFonts w:ascii="Times New Roman" w:cs="Times New Roman" w:eastAsia="Times New Roman" w:hAnsi="Times New Roman"/>
          <w:sz w:val="22"/>
          <w:szCs w:val="22"/>
          <w:color w:val="auto"/>
        </w:rPr>
        <w:t>. Like all Company employees, you will be required,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 of your employment with the Company, to sign the Company’s standard Proprietary Information and Inventions Agreement, a copy of which is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firstLine="656"/>
        <w:spacing w:after="0" w:line="260" w:lineRule="exact"/>
        <w:tabs>
          <w:tab w:leader="none" w:pos="11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Employment Relationship</w:t>
      </w:r>
      <w:r>
        <w:rPr>
          <w:rFonts w:ascii="Times New Roman" w:cs="Times New Roman" w:eastAsia="Times New Roman" w:hAnsi="Times New Roman"/>
          <w:sz w:val="21"/>
          <w:szCs w:val="21"/>
          <w:color w:val="auto"/>
        </w:rPr>
        <w:t>. Our benefits, payroll, and other human resource management services are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TriNet Employer Group, Inc., a professional employer organization. As a result of our arrangement with TriNet, TriNet will be considered your employer of record for these purposes and your managers at the Company will be responsible for directing your work, reviewing your performance, setting your schedule, and otherwise directing your work.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While you render services to the Company, you will not engage in any other employment, consulting or other business activity (whether full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time or part-time) that would create a conflict of interest with the Company. By signing this letter of agreement, you confirm to the Company that you have no contractual commitments or other legal obligations that would prohibit you from performing your duties for the Company.</w:t>
      </w:r>
    </w:p>
    <w:p>
      <w:pPr>
        <w:spacing w:after="0" w:line="190"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5"/>
        <w:spacing w:after="0" w:line="288" w:lineRule="auto"/>
        <w:tabs>
          <w:tab w:leader="none" w:pos="174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All forms of compensation referred to in this letter agreement are subject to reduction to reflect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withholding and payroll taxes and other deductions required by law.</w:t>
      </w:r>
    </w:p>
    <w:p>
      <w:pPr>
        <w:spacing w:after="0" w:line="135" w:lineRule="exact"/>
        <w:rPr>
          <w:rFonts w:ascii="Times New Roman" w:cs="Times New Roman" w:eastAsia="Times New Roman" w:hAnsi="Times New Roman"/>
          <w:sz w:val="22"/>
          <w:szCs w:val="22"/>
          <w:color w:val="auto"/>
        </w:rPr>
      </w:pPr>
    </w:p>
    <w:p>
      <w:pPr>
        <w:jc w:val="both"/>
        <w:ind w:firstLine="1305"/>
        <w:spacing w:after="0" w:line="265" w:lineRule="auto"/>
        <w:tabs>
          <w:tab w:leader="none" w:pos="18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Advice</w:t>
      </w:r>
      <w:r>
        <w:rPr>
          <w:rFonts w:ascii="Times New Roman" w:cs="Times New Roman" w:eastAsia="Times New Roman" w:hAnsi="Times New Roman"/>
          <w:sz w:val="22"/>
          <w:szCs w:val="22"/>
          <w:color w:val="auto"/>
        </w:rPr>
        <w:t>. You are encouraged to obtain your own tax advice regarding your compensation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You agree that the Company does not have a duty to design its compensation policies in a manner that minimizes your tax liabilities, and you will not make</w:t>
      </w:r>
    </w:p>
    <w:p>
      <w:pPr>
        <w:sectPr>
          <w:pgSz w:w="11900" w:h="16838" w:orient="portrait"/>
          <w:cols w:equalWidth="0" w:num="1">
            <w:col w:w="11420"/>
          </w:cols>
          <w:pgMar w:left="240" w:top="126"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Robert H. Heath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15, 2011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claim against the Company or its Board of Directors related to tax liabilities arising from your compensation.</w:t>
      </w:r>
    </w:p>
    <w:p>
      <w:pPr>
        <w:spacing w:after="0" w:line="216" w:lineRule="exact"/>
        <w:rPr>
          <w:sz w:val="20"/>
          <w:szCs w:val="20"/>
          <w:color w:val="auto"/>
        </w:rPr>
      </w:pPr>
    </w:p>
    <w:p>
      <w:pPr>
        <w:jc w:val="both"/>
        <w:ind w:firstLine="656"/>
        <w:spacing w:after="0" w:line="248" w:lineRule="auto"/>
        <w:tabs>
          <w:tab w:leader="none" w:pos="130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 Amendment and Enforcement</w:t>
      </w:r>
      <w:r>
        <w:rPr>
          <w:rFonts w:ascii="Times New Roman" w:cs="Times New Roman" w:eastAsia="Times New Roman" w:hAnsi="Times New Roman"/>
          <w:sz w:val="22"/>
          <w:szCs w:val="22"/>
          <w:color w:val="auto"/>
        </w:rPr>
        <w:t>. This letter agreement and Exhibit A constitute the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 Francisco, California, in connection with any Dispute or any claim related to any Dispute.</w:t>
      </w:r>
    </w:p>
    <w:p>
      <w:pPr>
        <w:spacing w:after="0" w:line="185" w:lineRule="exact"/>
        <w:rPr>
          <w:rFonts w:ascii="Times New Roman" w:cs="Times New Roman" w:eastAsia="Times New Roman" w:hAnsi="Times New Roman"/>
          <w:sz w:val="22"/>
          <w:szCs w:val="22"/>
          <w:color w:val="auto"/>
        </w:rPr>
      </w:pPr>
    </w:p>
    <w:p>
      <w:pPr>
        <w:ind w:left="5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required by law, your employment with the Company is contingent upon your providing legal proof of your identity and authorization to work in the United States. This offer is contingent upon our receipt of a satisfactory investigation report of your background.</w:t>
      </w:r>
    </w:p>
    <w:p>
      <w:pPr>
        <w:spacing w:after="0" w:line="2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may indicate your agreement with these terms and accept this offer by signing and dating both the enclosed duplicate original of this letter agreement and the enclosed Proprietary Information and Inventions Agreement and returning them to me.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offer shall remain in effect through 5:00pm March 25, 2011 after which time it shall become void.</w:t>
      </w:r>
    </w:p>
    <w:p>
      <w:pPr>
        <w:spacing w:after="0" w:line="3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5"/>
          <w:szCs w:val="25"/>
          <w:color w:val="auto"/>
        </w:rPr>
        <w:t>RPX CORPORATION</w:t>
      </w: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u w:val="single" w:color="auto"/>
          <w:color w:val="auto"/>
        </w:rPr>
        <w:t>/S/ MALLUN YEN</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Mallun Yen</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Executive Vice President</w:t>
      </w:r>
    </w:p>
    <w:p>
      <w:pPr>
        <w:sectPr>
          <w:pgSz w:w="11900" w:h="16838" w:orient="portrait"/>
          <w:cols w:equalWidth="0" w:num="1">
            <w:col w:w="11420"/>
          </w:cols>
          <w:pgMar w:left="240" w:top="126"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Robert H. Heath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15, 2011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-13970</wp:posOffset>
            </wp:positionV>
            <wp:extent cx="1341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3/22/2011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8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Proprietary Information and Inventions Agreement</w:t>
      </w:r>
    </w:p>
    <w:p>
      <w:pPr>
        <w:sectPr>
          <w:pgSz w:w="11900" w:h="16838" w:orient="portrait"/>
          <w:cols w:equalWidth="0" w:num="1">
            <w:col w:w="10219"/>
          </w:cols>
          <w:pgMar w:left="240" w:top="125" w:right="1440" w:bottom="1440" w:gutter="0" w:footer="0" w:header="0"/>
        </w:sectPr>
      </w:pPr>
    </w:p>
    <w:bookmarkStart w:id="77" w:name="page78"/>
    <w:bookmarkEnd w:id="77"/>
    <w:p>
      <w:pPr>
        <w:ind w:left="98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List of Subsidiaries of RPX Corporation</w:t>
            </w:r>
          </w:p>
        </w:tc>
        <w:tc>
          <w:tcPr>
            <w:tcW w:w="4640" w:type="dxa"/>
            <w:vAlign w:val="bottom"/>
          </w:tcPr>
          <w:p>
            <w:pPr>
              <w:spacing w:after="0"/>
              <w:rPr>
                <w:sz w:val="22"/>
                <w:szCs w:val="22"/>
                <w:color w:val="auto"/>
              </w:rPr>
            </w:pPr>
          </w:p>
        </w:tc>
      </w:tr>
      <w:tr>
        <w:trPr>
          <w:trHeight w:val="608"/>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640" w:type="dxa"/>
            <w:vAlign w:val="bottom"/>
          </w:tcPr>
          <w:p>
            <w:pPr>
              <w:jc w:val="center"/>
              <w:ind w:left="2941"/>
              <w:spacing w:after="0"/>
              <w:rPr>
                <w:sz w:val="20"/>
                <w:szCs w:val="20"/>
                <w:color w:val="auto"/>
              </w:rPr>
            </w:pPr>
            <w:r>
              <w:rPr>
                <w:rFonts w:ascii="Times New Roman" w:cs="Times New Roman" w:eastAsia="Times New Roman" w:hAnsi="Times New Roman"/>
                <w:sz w:val="20"/>
                <w:szCs w:val="20"/>
                <w:b w:val="1"/>
                <w:bCs w:val="1"/>
                <w:color w:val="auto"/>
                <w:w w:val="97"/>
              </w:rPr>
              <w:t>Jurisdiction</w:t>
            </w:r>
          </w:p>
        </w:tc>
      </w:tr>
      <w:tr>
        <w:trPr>
          <w:trHeight w:val="21"/>
        </w:trPr>
        <w:tc>
          <w:tcPr>
            <w:tcW w:w="6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6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Asia Corporation</w:t>
            </w:r>
          </w:p>
        </w:tc>
        <w:tc>
          <w:tcPr>
            <w:tcW w:w="4640" w:type="dxa"/>
            <w:vAlign w:val="bottom"/>
            <w:tcBorders>
              <w:bottom w:val="single" w:sz="8" w:color="CCEEFF"/>
            </w:tcBorders>
            <w:shd w:val="clear" w:color="auto" w:fill="CCEEFF"/>
          </w:tcPr>
          <w:p>
            <w:pPr>
              <w:jc w:val="center"/>
              <w:ind w:left="2941"/>
              <w:spacing w:after="0"/>
              <w:rPr>
                <w:sz w:val="20"/>
                <w:szCs w:val="20"/>
                <w:color w:val="auto"/>
              </w:rPr>
            </w:pPr>
            <w:r>
              <w:rPr>
                <w:rFonts w:ascii="Times New Roman" w:cs="Times New Roman" w:eastAsia="Times New Roman" w:hAnsi="Times New Roman"/>
                <w:sz w:val="20"/>
                <w:szCs w:val="20"/>
                <w:color w:val="auto"/>
                <w:w w:val="96"/>
              </w:rPr>
              <w:t>Japan</w:t>
            </w:r>
          </w:p>
        </w:tc>
      </w:tr>
      <w:tr>
        <w:trPr>
          <w:trHeight w:val="263"/>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Clearinghouse LLC</w:t>
            </w:r>
          </w:p>
        </w:tc>
        <w:tc>
          <w:tcPr>
            <w:tcW w:w="4640" w:type="dxa"/>
            <w:vAlign w:val="bottom"/>
          </w:tcPr>
          <w:p>
            <w:pPr>
              <w:jc w:val="center"/>
              <w:ind w:left="29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6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Freedom Corporation</w:t>
            </w:r>
          </w:p>
        </w:tc>
        <w:tc>
          <w:tcPr>
            <w:tcW w:w="4640" w:type="dxa"/>
            <w:vAlign w:val="bottom"/>
            <w:tcBorders>
              <w:bottom w:val="single" w:sz="8" w:color="CCEEFF"/>
            </w:tcBorders>
            <w:shd w:val="clear" w:color="auto" w:fill="CCEEFF"/>
          </w:tcPr>
          <w:p>
            <w:pPr>
              <w:jc w:val="center"/>
              <w:ind w:left="29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63"/>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Insurance Services, LLC</w:t>
            </w:r>
          </w:p>
        </w:tc>
        <w:tc>
          <w:tcPr>
            <w:tcW w:w="4640" w:type="dxa"/>
            <w:vAlign w:val="bottom"/>
          </w:tcPr>
          <w:p>
            <w:pPr>
              <w:jc w:val="center"/>
              <w:ind w:left="29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6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Reinsurance LLC</w:t>
            </w:r>
          </w:p>
        </w:tc>
        <w:tc>
          <w:tcPr>
            <w:tcW w:w="4640" w:type="dxa"/>
            <w:vAlign w:val="bottom"/>
            <w:tcBorders>
              <w:bottom w:val="single" w:sz="8" w:color="CCEEFF"/>
            </w:tcBorders>
            <w:shd w:val="clear" w:color="auto" w:fill="CCEEFF"/>
          </w:tcPr>
          <w:p>
            <w:pPr>
              <w:jc w:val="center"/>
              <w:ind w:left="2941"/>
              <w:spacing w:after="0"/>
              <w:rPr>
                <w:sz w:val="20"/>
                <w:szCs w:val="20"/>
                <w:color w:val="auto"/>
              </w:rPr>
            </w:pPr>
            <w:r>
              <w:rPr>
                <w:rFonts w:ascii="Times New Roman" w:cs="Times New Roman" w:eastAsia="Times New Roman" w:hAnsi="Times New Roman"/>
                <w:sz w:val="20"/>
                <w:szCs w:val="20"/>
                <w:color w:val="auto"/>
                <w:w w:val="96"/>
              </w:rPr>
              <w:t>Hawaii</w:t>
            </w:r>
          </w:p>
        </w:tc>
      </w:tr>
      <w:tr>
        <w:trPr>
          <w:trHeight w:val="263"/>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Reinsurance LLC</w:t>
            </w:r>
          </w:p>
        </w:tc>
        <w:tc>
          <w:tcPr>
            <w:tcW w:w="4640" w:type="dxa"/>
            <w:vAlign w:val="bottom"/>
          </w:tcPr>
          <w:p>
            <w:pPr>
              <w:jc w:val="center"/>
              <w:ind w:left="2941"/>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21"/>
        </w:trPr>
        <w:tc>
          <w:tcPr>
            <w:tcW w:w="6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6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RPX Risk Retention Group, Inc.</w:t>
            </w:r>
          </w:p>
        </w:tc>
        <w:tc>
          <w:tcPr>
            <w:tcW w:w="4640" w:type="dxa"/>
            <w:vAlign w:val="bottom"/>
            <w:tcBorders>
              <w:bottom w:val="single" w:sz="8" w:color="CCEEFF"/>
            </w:tcBorders>
            <w:shd w:val="clear" w:color="auto" w:fill="CCEEFF"/>
          </w:tcPr>
          <w:p>
            <w:pPr>
              <w:jc w:val="center"/>
              <w:ind w:left="2941"/>
              <w:spacing w:after="0"/>
              <w:rPr>
                <w:sz w:val="20"/>
                <w:szCs w:val="20"/>
                <w:color w:val="auto"/>
              </w:rPr>
            </w:pPr>
            <w:r>
              <w:rPr>
                <w:rFonts w:ascii="Times New Roman" w:cs="Times New Roman" w:eastAsia="Times New Roman" w:hAnsi="Times New Roman"/>
                <w:sz w:val="20"/>
                <w:szCs w:val="20"/>
                <w:color w:val="auto"/>
                <w:w w:val="96"/>
              </w:rPr>
              <w:t>Hawaii</w:t>
            </w:r>
          </w:p>
        </w:tc>
      </w:tr>
      <w:tr>
        <w:trPr>
          <w:trHeight w:val="263"/>
        </w:trPr>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RPX RRG Holdings, Inc.</w:t>
            </w:r>
          </w:p>
        </w:tc>
        <w:tc>
          <w:tcPr>
            <w:tcW w:w="4640" w:type="dxa"/>
            <w:vAlign w:val="bottom"/>
          </w:tcPr>
          <w:p>
            <w:pPr>
              <w:jc w:val="center"/>
              <w:ind w:left="2941"/>
              <w:spacing w:after="0"/>
              <w:rPr>
                <w:sz w:val="20"/>
                <w:szCs w:val="20"/>
                <w:color w:val="auto"/>
              </w:rPr>
            </w:pPr>
            <w:r>
              <w:rPr>
                <w:rFonts w:ascii="Times New Roman" w:cs="Times New Roman" w:eastAsia="Times New Roman" w:hAnsi="Times New Roman"/>
                <w:sz w:val="20"/>
                <w:szCs w:val="20"/>
                <w:color w:val="auto"/>
                <w:w w:val="99"/>
              </w:rPr>
              <w:t>Delaware</w:t>
            </w:r>
          </w:p>
        </w:tc>
      </w:tr>
    </w:tbl>
    <w:p>
      <w:pPr>
        <w:sectPr>
          <w:pgSz w:w="11900" w:h="16838" w:orient="portrait"/>
          <w:cols w:equalWidth="0" w:num="1">
            <w:col w:w="11420"/>
          </w:cols>
          <w:pgMar w:left="240" w:top="738"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333-173911, 333-180357, and 333-187152, 333-194438) of RPX Corporation of our report dated March 2, 2015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1008"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Amster, certify that:</w:t>
      </w:r>
    </w:p>
    <w:p>
      <w:pPr>
        <w:spacing w:after="0" w:line="20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RPX Corporation;</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760" w:right="80" w:hanging="334"/>
        <w:spacing w:after="0" w:line="266"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60" w:right="140" w:hanging="334"/>
        <w:spacing w:after="0" w:line="266"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60" w:right="240" w:hanging="334"/>
        <w:spacing w:after="0" w:line="266"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60" w:right="360" w:hanging="334"/>
        <w:spacing w:after="0" w:line="266"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60" w:right="180" w:hanging="334"/>
        <w:spacing w:after="0" w:line="282"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60" w:right="480" w:hanging="334"/>
        <w:spacing w:after="0" w:line="282" w:lineRule="auto"/>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 2015</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Heath,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RPX Corporation;</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760" w:right="80" w:hanging="334"/>
        <w:spacing w:after="0" w:line="266"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760" w:right="140" w:hanging="334"/>
        <w:spacing w:after="0" w:line="266"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760" w:right="240" w:hanging="334"/>
        <w:spacing w:after="0" w:line="266"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760" w:right="360" w:hanging="334"/>
        <w:spacing w:after="0" w:line="266"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60" w:right="180" w:hanging="334"/>
        <w:spacing w:after="0" w:line="282"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60" w:right="480" w:hanging="334"/>
        <w:spacing w:after="0" w:line="282" w:lineRule="auto"/>
        <w:tabs>
          <w:tab w:leader="none" w:pos="17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 2015</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and Senior Vice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Finance</w:t>
      </w:r>
    </w:p>
    <w:p>
      <w:pPr>
        <w:spacing w:after="0" w:line="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2014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 2015</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fiscal year ended December 31, 2014 of RPX Corporation (the “Company”) as filed with the Securities and Exchange Commission on the date hereof (the “Report”), I, Robert Heath, Chief Financial Officer and Senior Vice President, Finance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 2015</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and Senior Vice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Finance</w:t>
      </w:r>
    </w:p>
    <w:p>
      <w:pPr>
        <w:spacing w:after="0" w:line="5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upperLetter"/>
      <w:start w:val="1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3"/>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decimal"/>
      <w:start w:val="5"/>
    </w:lvl>
  </w:abstractNum>
  <w:abstractNum w:abstractNumId="34">
    <w:nsid w:val="7A6D8D3C"/>
    <w:multiLevelType w:val="hybridMultilevel"/>
    <w:lvl w:ilvl="0">
      <w:lvlJc w:val="left"/>
      <w:lvlText w:val="%1."/>
      <w:numFmt w:val="decimal"/>
      <w:start w:val="6"/>
    </w:lvl>
  </w:abstractNum>
  <w:abstractNum w:abstractNumId="35">
    <w:nsid w:val="4B588F54"/>
    <w:multiLevelType w:val="hybridMultilevel"/>
    <w:lvl w:ilvl="0">
      <w:lvlJc w:val="left"/>
      <w:lvlText w:val="%1."/>
      <w:numFmt w:val="decimal"/>
      <w:start w:val="7"/>
    </w:lvl>
  </w:abstractNum>
  <w:abstractNum w:abstractNumId="36">
    <w:nsid w:val="542289EC"/>
    <w:multiLevelType w:val="hybridMultilevel"/>
    <w:lvl w:ilvl="0">
      <w:lvlJc w:val="left"/>
      <w:lvlText w:val="%1."/>
      <w:numFmt w:val="decimal"/>
      <w:start w:val="8"/>
    </w:lvl>
  </w:abstractNum>
  <w:abstractNum w:abstractNumId="37">
    <w:nsid w:val="6DE91B18"/>
    <w:multiLevelType w:val="hybridMultilevel"/>
    <w:lvl w:ilvl="0">
      <w:lvlJc w:val="left"/>
      <w:lvlText w:val="%1."/>
      <w:numFmt w:val="decimal"/>
      <w:start w:val="9"/>
    </w:lvl>
  </w:abstractNum>
  <w:abstractNum w:abstractNumId="38">
    <w:nsid w:val="38437FDB"/>
    <w:multiLevelType w:val="hybridMultilevel"/>
    <w:lvl w:ilvl="0">
      <w:lvlJc w:val="left"/>
      <w:lvlText w:val="%1."/>
      <w:numFmt w:val="decimal"/>
      <w:start w:val="11"/>
    </w:lvl>
  </w:abstractNum>
  <w:abstractNum w:abstractNumId="39">
    <w:nsid w:val="7644A45C"/>
    <w:multiLevelType w:val="hybridMultilevel"/>
    <w:lvl w:ilvl="0">
      <w:lvlJc w:val="left"/>
      <w:lvlText w:val="%1."/>
      <w:numFmt w:val="decimal"/>
      <w:start w:val="12"/>
    </w:lvl>
  </w:abstractNum>
  <w:abstractNum w:abstractNumId="40">
    <w:nsid w:val="32FFF902"/>
    <w:multiLevelType w:val="hybridMultilevel"/>
    <w:lvl w:ilvl="0">
      <w:lvlJc w:val="left"/>
      <w:lvlText w:val="%1."/>
      <w:numFmt w:val="decimal"/>
      <w:start w:val="13"/>
    </w:lvl>
  </w:abstractNum>
  <w:abstractNum w:abstractNumId="41">
    <w:nsid w:val="684A481A"/>
    <w:multiLevelType w:val="hybridMultilevel"/>
    <w:lvl w:ilvl="0">
      <w:lvlJc w:val="left"/>
      <w:lvlText w:val="%1."/>
      <w:numFmt w:val="decimal"/>
      <w:start w:val="15"/>
    </w:lvl>
  </w:abstractNum>
  <w:abstractNum w:abstractNumId="42">
    <w:nsid w:val="579478FE"/>
    <w:multiLevelType w:val="hybridMultilevel"/>
    <w:lvl w:ilvl="0">
      <w:lvlJc w:val="left"/>
      <w:lvlText w:val="%1."/>
      <w:numFmt w:val="decimal"/>
      <w:start w:val="16"/>
    </w:lvl>
  </w:abstractNum>
  <w:abstractNum w:abstractNumId="43">
    <w:nsid w:val="749ABB43"/>
    <w:multiLevelType w:val="hybridMultilevel"/>
    <w:lvl w:ilvl="0">
      <w:lvlJc w:val="left"/>
      <w:lvlText w:val="%1."/>
      <w:numFmt w:val="decimal"/>
      <w:start w:val="17"/>
    </w:lvl>
  </w:abstractNum>
  <w:abstractNum w:abstractNumId="44">
    <w:nsid w:val="3DC240FB"/>
    <w:multiLevelType w:val="hybridMultilevel"/>
    <w:lvl w:ilvl="0">
      <w:lvlJc w:val="left"/>
      <w:lvlText w:val="%1."/>
      <w:numFmt w:val="decimal"/>
      <w:start w:val="18"/>
    </w:lvl>
  </w:abstractNum>
  <w:abstractNum w:abstractNumId="45">
    <w:nsid w:val="1BA026FA"/>
    <w:multiLevelType w:val="hybridMultilevel"/>
    <w:lvl w:ilvl="0">
      <w:lvlJc w:val="left"/>
      <w:lvlText w:val="%1."/>
      <w:numFmt w:val="decimal"/>
      <w:start w:val="19"/>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2"/>
    </w:lvl>
  </w:abstractNum>
  <w:abstractNum w:abstractNumId="49">
    <w:nsid w:val="70C6A529"/>
    <w:multiLevelType w:val="hybridMultilevel"/>
    <w:lvl w:ilvl="0">
      <w:lvlJc w:val="left"/>
      <w:lvlText w:val="%1."/>
      <w:numFmt w:val="decimal"/>
      <w:start w:val="3"/>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6"/>
    </w:lvl>
    <w:lvl w:ilvl="1">
      <w:lvlJc w:val="left"/>
      <w:lvlText w:val="(%2)"/>
      <w:numFmt w:val="lowerLetter"/>
      <w:start w:val="1"/>
    </w:lvl>
  </w:abstractNum>
  <w:abstractNum w:abstractNumId="52">
    <w:nsid w:val="4F4EF005"/>
    <w:multiLevelType w:val="hybridMultilevel"/>
    <w:lvl w:ilvl="0">
      <w:lvlJc w:val="left"/>
      <w:lvlText w:val="%1."/>
      <w:numFmt w:val="decimal"/>
      <w:start w:val="10"/>
    </w:lvl>
    <w:lvl w:ilvl="1">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2019-12-29T17:39:55Z</dcterms:created>
  <dcterms:modified xsi:type="dcterms:W3CDTF">2019-12-29T17:39:55Z</dcterms:modified>
</cp:coreProperties>
</file>