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9"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9"/>
          <w:szCs w:val="19"/>
          <w:color w:val="auto"/>
        </w:rPr>
        <w:t>x QUARTERLY REPORT PURSUANT TO SECTION 13 OR 15(d) OF THE SECURITIES EXCHANGE ACT OF 1934</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March 31, 2017</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or</w:t>
      </w:r>
    </w:p>
    <w:p>
      <w:pPr>
        <w:spacing w:after="0" w:line="1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13 OR 15(d) OF THE SECURITIES EXCHANGE ACT OF 1934</w:t>
      </w:r>
    </w:p>
    <w:p>
      <w:pPr>
        <w:spacing w:after="0" w:line="278"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For the transition period from _____to_____</w:t>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Commission File Number: 001-35146</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51435</wp:posOffset>
            </wp:positionV>
            <wp:extent cx="109791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RPX Corporation</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1380"/>
          </w:cols>
          <w:pgMar w:left="240" w:top="233" w:right="279" w:bottom="1440" w:gutter="0" w:footer="0" w:header="0"/>
        </w:sectPr>
      </w:pPr>
    </w:p>
    <w:p>
      <w:pPr>
        <w:spacing w:after="0" w:line="146"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p>
    <w:p>
      <w:pPr>
        <w:ind w:left="580"/>
        <w:spacing w:after="0"/>
        <w:rPr>
          <w:sz w:val="20"/>
          <w:szCs w:val="20"/>
          <w:color w:val="auto"/>
        </w:rPr>
      </w:pPr>
      <w:r>
        <w:rPr>
          <w:rFonts w:ascii="Arial" w:cs="Arial" w:eastAsia="Arial" w:hAnsi="Arial"/>
          <w:sz w:val="13"/>
          <w:szCs w:val="13"/>
          <w:color w:val="auto"/>
        </w:rPr>
        <w:t>(State or Other Jurisdiction of</w:t>
      </w:r>
    </w:p>
    <w:p>
      <w:pPr>
        <w:ind w:left="5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jc w:val="center"/>
              <w:ind w:right="754"/>
              <w:spacing w:after="0"/>
              <w:rPr>
                <w:sz w:val="20"/>
                <w:szCs w:val="20"/>
                <w:color w:val="auto"/>
              </w:rPr>
            </w:pPr>
            <w:r>
              <w:rPr>
                <w:rFonts w:ascii="Arial" w:cs="Arial" w:eastAsia="Arial" w:hAnsi="Arial"/>
                <w:sz w:val="18"/>
                <w:szCs w:val="18"/>
                <w:b w:val="1"/>
                <w:bCs w:val="1"/>
                <w:color w:val="auto"/>
                <w:w w:val="92"/>
              </w:rPr>
              <w:t>One Market Plaza, Suite 800</w:t>
            </w:r>
          </w:p>
        </w:tc>
        <w:tc>
          <w:tcPr>
            <w:tcW w:w="2900" w:type="dxa"/>
            <w:vAlign w:val="bottom"/>
          </w:tcPr>
          <w:p>
            <w:pPr>
              <w:jc w:val="right"/>
              <w:ind w:right="519"/>
              <w:spacing w:after="0"/>
              <w:rPr>
                <w:sz w:val="20"/>
                <w:szCs w:val="20"/>
                <w:color w:val="auto"/>
              </w:rPr>
            </w:pPr>
            <w:r>
              <w:rPr>
                <w:rFonts w:ascii="Arial" w:cs="Arial" w:eastAsia="Arial" w:hAnsi="Arial"/>
                <w:sz w:val="18"/>
                <w:szCs w:val="18"/>
                <w:b w:val="1"/>
                <w:bCs w:val="1"/>
                <w:color w:val="auto"/>
              </w:rPr>
              <w:t>26-2990113</w:t>
            </w:r>
          </w:p>
        </w:tc>
        <w:tc>
          <w:tcPr>
            <w:tcW w:w="0" w:type="dxa"/>
            <w:vAlign w:val="bottom"/>
          </w:tcPr>
          <w:p>
            <w:pPr>
              <w:spacing w:after="0"/>
              <w:rPr>
                <w:sz w:val="1"/>
                <w:szCs w:val="1"/>
                <w:color w:val="auto"/>
              </w:rPr>
            </w:pPr>
          </w:p>
        </w:tc>
      </w:tr>
      <w:tr>
        <w:trPr>
          <w:trHeight w:val="182"/>
        </w:trPr>
        <w:tc>
          <w:tcPr>
            <w:tcW w:w="4000" w:type="dxa"/>
            <w:vAlign w:val="bottom"/>
            <w:vMerge w:val="restart"/>
          </w:tcPr>
          <w:p>
            <w:pPr>
              <w:jc w:val="center"/>
              <w:ind w:right="734"/>
              <w:spacing w:after="0"/>
              <w:rPr>
                <w:sz w:val="20"/>
                <w:szCs w:val="20"/>
                <w:color w:val="auto"/>
              </w:rPr>
            </w:pPr>
            <w:r>
              <w:rPr>
                <w:rFonts w:ascii="Arial" w:cs="Arial" w:eastAsia="Arial" w:hAnsi="Arial"/>
                <w:sz w:val="18"/>
                <w:szCs w:val="18"/>
                <w:b w:val="1"/>
                <w:bCs w:val="1"/>
                <w:color w:val="auto"/>
                <w:w w:val="90"/>
              </w:rPr>
              <w:t>San Francisco, California 94105</w:t>
            </w:r>
          </w:p>
        </w:tc>
        <w:tc>
          <w:tcPr>
            <w:tcW w:w="2900" w:type="dxa"/>
            <w:vAlign w:val="bottom"/>
          </w:tcPr>
          <w:p>
            <w:pPr>
              <w:jc w:val="center"/>
              <w:ind w:left="739"/>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69"/>
        </w:trPr>
        <w:tc>
          <w:tcPr>
            <w:tcW w:w="4000" w:type="dxa"/>
            <w:vAlign w:val="bottom"/>
            <w:vMerge w:val="continue"/>
          </w:tcPr>
          <w:p>
            <w:pPr>
              <w:spacing w:after="0"/>
              <w:rPr>
                <w:sz w:val="6"/>
                <w:szCs w:val="6"/>
                <w:color w:val="auto"/>
              </w:rPr>
            </w:pPr>
          </w:p>
        </w:tc>
        <w:tc>
          <w:tcPr>
            <w:tcW w:w="2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000" w:type="dxa"/>
            <w:vAlign w:val="bottom"/>
          </w:tcPr>
          <w:p>
            <w:pPr>
              <w:jc w:val="center"/>
              <w:ind w:right="734"/>
              <w:spacing w:after="0"/>
              <w:rPr>
                <w:sz w:val="20"/>
                <w:szCs w:val="20"/>
                <w:color w:val="auto"/>
              </w:rPr>
            </w:pPr>
            <w:r>
              <w:rPr>
                <w:rFonts w:ascii="Arial" w:cs="Arial" w:eastAsia="Arial" w:hAnsi="Arial"/>
                <w:sz w:val="14"/>
                <w:szCs w:val="14"/>
                <w:color w:val="auto"/>
                <w:w w:val="95"/>
              </w:rPr>
              <w:t>(Address of Principal Executive Offices and Zip Code)</w:t>
            </w: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4"/>
        </w:trPr>
        <w:tc>
          <w:tcPr>
            <w:tcW w:w="4000" w:type="dxa"/>
            <w:vAlign w:val="bottom"/>
          </w:tcPr>
          <w:p>
            <w:pPr>
              <w:jc w:val="center"/>
              <w:ind w:right="734"/>
              <w:spacing w:after="0"/>
              <w:rPr>
                <w:sz w:val="20"/>
                <w:szCs w:val="20"/>
                <w:color w:val="auto"/>
              </w:rPr>
            </w:pPr>
            <w:r>
              <w:rPr>
                <w:rFonts w:ascii="Arial" w:cs="Arial" w:eastAsia="Arial" w:hAnsi="Arial"/>
                <w:sz w:val="18"/>
                <w:szCs w:val="18"/>
                <w:b w:val="1"/>
                <w:bCs w:val="1"/>
                <w:color w:val="auto"/>
                <w:w w:val="92"/>
              </w:rPr>
              <w:t>(866) 779-7641</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2">
            <w:col w:w="3420" w:space="720"/>
            <w:col w:w="7240"/>
          </w:cols>
          <w:pgMar w:left="240" w:top="233" w:right="279" w:bottom="1440"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60" w:lineRule="exact"/>
        <w:rPr>
          <w:sz w:val="24"/>
          <w:szCs w:val="24"/>
          <w:color w:val="auto"/>
        </w:rPr>
      </w:pPr>
    </w:p>
    <w:p>
      <w:pPr>
        <w:ind w:right="100"/>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60" w:hanging="252"/>
        <w:spacing w:after="0" w:line="184" w:lineRule="exact"/>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83" w:lineRule="exact"/>
        <w:rPr>
          <w:sz w:val="24"/>
          <w:szCs w:val="24"/>
          <w:color w:val="auto"/>
        </w:rPr>
      </w:pPr>
    </w:p>
    <w:p>
      <w:pPr>
        <w:ind w:left="40" w:right="28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3" w:lineRule="exact"/>
        <w:rPr>
          <w:sz w:val="24"/>
          <w:szCs w:val="24"/>
          <w:color w:val="auto"/>
        </w:rPr>
      </w:pPr>
    </w:p>
    <w:p>
      <w:pPr>
        <w:ind w:left="40"/>
        <w:spacing w:after="0"/>
        <w:tabs>
          <w:tab w:leader="none" w:pos="3000" w:val="left"/>
          <w:tab w:leader="none" w:pos="6880" w:val="left"/>
          <w:tab w:leader="none" w:pos="97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Arial" w:cs="Arial" w:eastAsia="Arial" w:hAnsi="Arial"/>
          <w:sz w:val="16"/>
          <w:szCs w:val="16"/>
          <w:color w:val="auto"/>
        </w:rPr>
        <w:t>x</w:t>
      </w:r>
    </w:p>
    <w:p>
      <w:pPr>
        <w:spacing w:after="0" w:line="86" w:lineRule="exact"/>
        <w:rPr>
          <w:sz w:val="24"/>
          <w:szCs w:val="24"/>
          <w:color w:val="auto"/>
        </w:rPr>
      </w:pPr>
    </w:p>
    <w:p>
      <w:pPr>
        <w:ind w:left="40"/>
        <w:spacing w:after="0"/>
        <w:tabs>
          <w:tab w:leader="none" w:pos="3000" w:val="left"/>
          <w:tab w:leader="none" w:pos="3360" w:val="left"/>
          <w:tab w:leader="none" w:pos="6880" w:val="left"/>
          <w:tab w:leader="none" w:pos="972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Arial" w:cs="Arial" w:eastAsia="Arial" w:hAnsi="Arial"/>
          <w:sz w:val="14"/>
          <w:szCs w:val="14"/>
          <w:color w:val="auto"/>
        </w:rPr>
        <w:t>o</w:t>
      </w:r>
    </w:p>
    <w:p>
      <w:pPr>
        <w:spacing w:after="0" w:line="194" w:lineRule="exact"/>
        <w:rPr>
          <w:sz w:val="24"/>
          <w:szCs w:val="24"/>
          <w:color w:val="auto"/>
        </w:rPr>
      </w:pPr>
    </w:p>
    <w:p>
      <w:pPr>
        <w:ind w:left="40"/>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ind w:left="500" w:hanging="303"/>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Emerging growth company</w:t>
      </w:r>
    </w:p>
    <w:p>
      <w:pPr>
        <w:spacing w:after="0" w:line="72"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w:t>
      </w:r>
    </w:p>
    <w:p>
      <w:pPr>
        <w:spacing w:after="0" w:line="33" w:lineRule="exact"/>
        <w:rPr>
          <w:rFonts w:ascii="Arial" w:cs="Arial" w:eastAsia="Arial" w:hAnsi="Arial"/>
          <w:sz w:val="16"/>
          <w:szCs w:val="16"/>
          <w:color w:val="auto"/>
        </w:rPr>
      </w:pPr>
    </w:p>
    <w:p>
      <w:pPr>
        <w:ind w:left="500" w:hanging="303"/>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financial accounting standards provided pursuant to Section 13(a) of the Exchange Act.</w:t>
      </w:r>
    </w:p>
    <w:p>
      <w:pPr>
        <w:spacing w:after="0" w:line="120" w:lineRule="exact"/>
        <w:rPr>
          <w:sz w:val="24"/>
          <w:szCs w:val="24"/>
          <w:color w:val="auto"/>
        </w:rPr>
      </w:pPr>
    </w:p>
    <w:p>
      <w:pPr>
        <w:ind w:right="280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There were 48,677,111 shares of the registrant’s common stock issued and outstanding as of April 28, 2017.</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380" w:type="dxa"/>
            <w:vAlign w:val="bottom"/>
            <w:gridSpan w:val="2"/>
            <w:vMerge w:val="restart"/>
          </w:tcPr>
          <w:p>
            <w:pPr>
              <w:spacing w:after="0"/>
              <w:rPr>
                <w:sz w:val="2"/>
                <w:szCs w:val="2"/>
                <w:color w:val="auto"/>
              </w:rPr>
            </w:pPr>
          </w:p>
        </w:tc>
        <w:tc>
          <w:tcPr>
            <w:tcW w:w="9660" w:type="dxa"/>
            <w:vAlign w:val="bottom"/>
            <w:gridSpan w:val="1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6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40" w:type="dxa"/>
            <w:vAlign w:val="bottom"/>
          </w:tcPr>
          <w:p>
            <w:pPr>
              <w:spacing w:after="0"/>
              <w:rPr>
                <w:sz w:val="20"/>
                <w:szCs w:val="20"/>
                <w:color w:val="auto"/>
              </w:rPr>
            </w:pPr>
            <w:r>
              <w:rPr>
                <w:rFonts w:ascii="Arial" w:cs="Arial" w:eastAsia="Arial" w:hAnsi="Arial"/>
                <w:sz w:val="18"/>
                <w:szCs w:val="18"/>
                <w:color w:val="auto"/>
                <w:w w:val="94"/>
              </w:rPr>
              <w:t>Item 1.</w:t>
            </w:r>
          </w:p>
        </w:tc>
        <w:tc>
          <w:tcPr>
            <w:tcW w:w="380" w:type="dxa"/>
            <w:vAlign w:val="bottom"/>
            <w:gridSpan w:val="2"/>
          </w:tcPr>
          <w:p>
            <w:pPr>
              <w:spacing w:after="0"/>
              <w:rPr>
                <w:sz w:val="24"/>
                <w:szCs w:val="24"/>
                <w:color w:val="auto"/>
              </w:rPr>
            </w:pP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8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2017 and December 31, 2016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2017 and 2016 (unaudited)</w:t>
              </w:r>
            </w:hyperlink>
          </w:p>
        </w:tc>
        <w:tc>
          <w:tcPr>
            <w:tcW w:w="114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2017 and 2016 (unaudited)</w:t>
              </w:r>
            </w:hyperlink>
          </w:p>
        </w:tc>
        <w:tc>
          <w:tcPr>
            <w:tcW w:w="22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2017 and 2016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6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10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Quantitative and Qualitative Disclosures About Market Risk</w:t>
              </w:r>
            </w:hyperlink>
          </w:p>
        </w:tc>
        <w:tc>
          <w:tcPr>
            <w:tcW w:w="2120" w:type="dxa"/>
            <w:vAlign w:val="bottom"/>
            <w:gridSpan w:val="2"/>
          </w:tcPr>
          <w:p>
            <w:pPr>
              <w:spacing w:after="0"/>
              <w:rPr>
                <w:sz w:val="21"/>
                <w:szCs w:val="21"/>
                <w:color w:val="auto"/>
              </w:rPr>
            </w:pPr>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tcBorders>
              <w:left w:val="single" w:sz="8" w:color="0000EE"/>
            </w:tcBorders>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PART II</w:t>
              </w:r>
            </w:hyperlink>
          </w:p>
        </w:tc>
        <w:tc>
          <w:tcPr>
            <w:tcW w:w="320" w:type="dxa"/>
            <w:vAlign w:val="bottom"/>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OTHER INFORMATION</w:t>
              </w:r>
            </w:hyperlink>
          </w:p>
        </w:tc>
        <w:tc>
          <w:tcPr>
            <w:tcW w:w="778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8"/>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Defaults Upon Senior Securities</w:t>
              </w:r>
            </w:hyperlink>
          </w:p>
        </w:tc>
        <w:tc>
          <w:tcPr>
            <w:tcW w:w="2020" w:type="dxa"/>
            <w:vAlign w:val="bottom"/>
            <w:gridSpan w:val="2"/>
          </w:tcPr>
          <w:p>
            <w:pPr>
              <w:spacing w:after="0"/>
              <w:rPr>
                <w:sz w:val="21"/>
                <w:szCs w:val="21"/>
                <w:color w:val="auto"/>
              </w:rPr>
            </w:pPr>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734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79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Exhibits</w:t>
              </w:r>
            </w:hyperlink>
          </w:p>
        </w:tc>
        <w:tc>
          <w:tcPr>
            <w:tcW w:w="700" w:type="dxa"/>
            <w:vAlign w:val="bottom"/>
            <w:gridSpan w:val="3"/>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5"/>
              </w:rPr>
            </w:pPr>
            <w:hyperlink w:anchor="page48">
              <w:r>
                <w:rPr>
                  <w:rFonts w:ascii="Arial" w:cs="Arial" w:eastAsia="Arial" w:hAnsi="Arial"/>
                  <w:sz w:val="18"/>
                  <w:szCs w:val="18"/>
                  <w:color w:val="0000EE"/>
                  <w:w w:val="85"/>
                </w:rPr>
                <w:t>Signatures</w:t>
              </w:r>
            </w:hyperlink>
          </w:p>
        </w:tc>
        <w:tc>
          <w:tcPr>
            <w:tcW w:w="890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0"/>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482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rPr>
              <w:t>PART I. FINANCIAL INFORMATION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Item1.</w:t>
            </w:r>
          </w:p>
        </w:tc>
        <w:tc>
          <w:tcPr>
            <w:tcW w:w="302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 (unaudited)</w:t>
            </w: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9"/>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2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5"/>
              </w:rPr>
              <w:t>RPX Corporation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2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2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88"/>
              </w:rPr>
              <w:t>(in thousands)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2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1"/>
              </w:rPr>
              <w:t>(unaudited)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1"/>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7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100,111</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90,877</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64,395</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w:t>
            </w: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current assets</w:t>
            </w:r>
          </w:p>
        </w:tc>
        <w:tc>
          <w:tcPr>
            <w:tcW w:w="4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273,555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260,407</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Patent assets, net</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212,999</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6,948</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56,050</w:t>
            </w: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152,139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151,322</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cash, less current portion</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Deferred tax assets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38,261</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8,337</w:t>
            </w:r>
          </w:p>
        </w:tc>
      </w:tr>
      <w:tr>
        <w:trPr>
          <w:trHeight w:val="297"/>
        </w:trPr>
        <w:tc>
          <w:tcPr>
            <w:tcW w:w="3780" w:type="dxa"/>
            <w:vAlign w:val="bottom"/>
            <w:tcBorders>
              <w:bottom w:val="single" w:sz="8" w:color="CCEEFF"/>
            </w:tcBorders>
            <w:gridSpan w:val="3"/>
          </w:tcPr>
          <w:p>
            <w:pPr>
              <w:ind w:left="280"/>
              <w:spacing w:after="0"/>
              <w:rPr>
                <w:sz w:val="20"/>
                <w:szCs w:val="20"/>
                <w:color w:val="auto"/>
              </w:rPr>
            </w:pPr>
            <w:r>
              <w:rPr>
                <w:rFonts w:ascii="Arial" w:cs="Arial" w:eastAsia="Arial" w:hAnsi="Arial"/>
                <w:sz w:val="18"/>
                <w:szCs w:val="18"/>
                <w:color w:val="auto"/>
              </w:rPr>
              <w:t>Total assets</w:t>
            </w:r>
          </w:p>
        </w:tc>
        <w:tc>
          <w:tcPr>
            <w:tcW w:w="458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737,517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735,289</w:t>
            </w:r>
          </w:p>
        </w:tc>
      </w:tr>
      <w:tr>
        <w:trPr>
          <w:trHeight w:val="237"/>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5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3,197</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Accrued liabilities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16,798</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118,856</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Current portion of long-term debt</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6,474</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4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w:t>
            </w: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current liabilities</w:t>
            </w:r>
          </w:p>
        </w:tc>
        <w:tc>
          <w:tcPr>
            <w:tcW w:w="4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149,535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146,809</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11,552</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Deferred tax liabilities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4,023</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88,110</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Other liabilities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10,592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10,514</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4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261,008</w:t>
            </w: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 (Note 12)</w:t>
            </w:r>
          </w:p>
        </w:tc>
        <w:tc>
          <w:tcPr>
            <w:tcW w:w="4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Common stock</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360,462</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130,830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130,249</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4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(16,435)</w:t>
            </w: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stockholders’ equity</w:t>
            </w:r>
          </w:p>
        </w:tc>
        <w:tc>
          <w:tcPr>
            <w:tcW w:w="4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478,696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474,281</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737,517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735,289</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79,735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47,666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26,895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5,174</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2,071</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and 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6,979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2,742</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5,993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4,237</w:t>
            </w:r>
          </w:p>
        </w:tc>
      </w:tr>
      <w:tr>
        <w:trPr>
          <w:trHeight w:val="311"/>
        </w:trPr>
        <w:tc>
          <w:tcPr>
            <w:tcW w:w="8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0.08</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in computing net income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30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48,676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52,063</w:t>
            </w:r>
          </w:p>
        </w:tc>
      </w:tr>
      <w:tr>
        <w:trPr>
          <w:trHeight w:val="251"/>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52,616</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33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holding gains on available-for-sale securities arising during the period, net of tax</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931</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6,972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5,319</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34"/>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80" w:type="dxa"/>
            <w:vAlign w:val="bottom"/>
          </w:tcPr>
          <w:p>
            <w:pPr>
              <w:jc w:val="right"/>
              <w:ind w:right="72"/>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5,993</w:t>
            </w:r>
          </w:p>
        </w:tc>
        <w:tc>
          <w:tcPr>
            <w:tcW w:w="10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4,237</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42,929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44,555</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4,929</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Excess tax benefit from stock-based compensation</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premium 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549</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Deferred income taxes</w:t>
            </w:r>
          </w:p>
        </w:tc>
        <w:tc>
          <w:tcPr>
            <w:tcW w:w="2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2,109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690</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Unrealized foreign currency gain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Fair value adjustments on deferred payment obligation</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(1,920)</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152</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Changes in assets and liabilities, net of business acquired: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(19,277)</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Prepaid expenses and other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(5,572)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4,508</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144</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Accrued and other liabilities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(5,624)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(7,495)</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24,238</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75,202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55,129</w:t>
            </w:r>
          </w:p>
        </w:tc>
      </w:tr>
      <w:tr>
        <w:trPr>
          <w:trHeight w:val="31"/>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Purchases of investments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Maturities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25,875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35,136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Sales of investments</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145,925</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Business acquisition,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(228,453)</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Increase in restricted cash</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Purchases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(983)</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Acquisitions of patent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(31,379)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(16,048)</w:t>
            </w:r>
          </w:p>
        </w:tc>
      </w:tr>
      <w:tr>
        <w:trPr>
          <w:trHeight w:val="31"/>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(65,575)</w:t>
            </w:r>
          </w:p>
        </w:tc>
      </w:tr>
      <w:tr>
        <w:trPr>
          <w:trHeight w:val="233"/>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Proceeds from issuance of term debt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100,000</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Payment of debt issuance costs</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(2,003)</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Repayment of principal on 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exercise of stock options</w:t>
            </w:r>
          </w:p>
        </w:tc>
        <w:tc>
          <w:tcPr>
            <w:tcW w:w="2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79</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Taxes paid related to net-share settlements of restricted stock units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(993)</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Excess tax benefit from stock-based compensation</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23</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Payments of capital leases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Repurchase of common stock</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(23,853)</w:t>
            </w:r>
          </w:p>
        </w:tc>
      </w:tr>
      <w:tr>
        <w:trPr>
          <w:trHeight w:val="31"/>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73,154</w:t>
            </w:r>
          </w:p>
        </w:tc>
      </w:tr>
      <w:tr>
        <w:trPr>
          <w:trHeight w:val="219"/>
        </w:trPr>
        <w:tc>
          <w:tcPr>
            <w:tcW w:w="8340" w:type="dxa"/>
            <w:vAlign w:val="bottom"/>
          </w:tcPr>
          <w:p>
            <w:pPr>
              <w:ind w:left="40"/>
              <w:spacing w:after="0"/>
              <w:rPr>
                <w:sz w:val="20"/>
                <w:szCs w:val="20"/>
                <w:color w:val="auto"/>
              </w:rPr>
            </w:pPr>
            <w:r>
              <w:rPr>
                <w:rFonts w:ascii="Arial" w:cs="Arial" w:eastAsia="Arial" w:hAnsi="Arial"/>
                <w:sz w:val="17"/>
                <w:szCs w:val="17"/>
                <w:color w:val="auto"/>
              </w:rPr>
              <w:t>Foreign-currency effect on cash and cash equivalents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22</w:t>
            </w:r>
          </w:p>
        </w:tc>
      </w:tr>
      <w:tr>
        <w:trPr>
          <w:trHeight w:val="31"/>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62,730</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2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100,111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94,983</w:t>
            </w:r>
          </w:p>
        </w:tc>
      </w:tr>
      <w:tr>
        <w:trPr>
          <w:trHeight w:val="31"/>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at end of period</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158,323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157,713</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in patent assets purchased and accrued but not paid</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fixed assets purchased and accrued but not paid</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732"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732"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RPX Corporation (also referred to herein as “RPX” or the “Company”) helps companies reduce patent litigation risk and corporate legal expense through two primary service offerings: its patent risk management services and its discovery services.</w:t>
      </w:r>
    </w:p>
    <w:p>
      <w:pPr>
        <w:spacing w:after="0" w:line="17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Company's patent risk management services help companies reduce patent-related risk and expense through subscription-based patent risk management services that facilitate more efficient exchanges of value between owners and users of patents compared to transactions driven by actual or threatened litigation. The Company’s patent risk management membership clients pay an annual subscription fee and in return, receive access to substantially all of the Company's patent portfolio as well as an array of services provided throughout their membership. Access to these services is available primarily through discussions with the Company's professionals—particularly client relations and its team of patent experts, as well as through a proprietary database, and attendance at periodic conferences.</w:t>
      </w:r>
    </w:p>
    <w:p>
      <w:pPr>
        <w:spacing w:after="0" w:line="19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addition to its subscription-based patent risk management services, the Company underwrites patent infringement liability insurance policies to insure against certain costs of litigation. The Company uses a reinsurance subsidiary company to assume a portion of the underwriting risk on the insurance policies that the Company issues on behalf of a Lloyd's of London underwriting syndicate. As of and for the three months ended March 31, 2017, the effect of the insurance policies that the Company has issued or assumed through its reinsurance business was not material to the Company’s results of operations, financial condition or cash flows.</w:t>
      </w:r>
    </w:p>
    <w:p>
      <w:pPr>
        <w:spacing w:after="0" w:line="188"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January 2016, the Company acquired Inventus Solutions, Inc. ("Inventus"), now a wholly owned subsidiary of the Company, and began offering its discovery services, which consist of technology-enabled services to assist law firms and corporate legal departments manage costs and risks related to the litigation discovery process. The Company's discovery services include data hosting and backup, data processing and collection, project management, document review, and traditional document production. All of these services are designed to streamline the administration of litigation, investigations, and regulatory compliance.</w:t>
      </w:r>
    </w:p>
    <w:p>
      <w:pPr>
        <w:spacing w:after="0" w:line="144" w:lineRule="exact"/>
        <w:rPr>
          <w:sz w:val="20"/>
          <w:szCs w:val="20"/>
          <w:color w:val="auto"/>
        </w:rPr>
      </w:pPr>
    </w:p>
    <w:p>
      <w:pPr>
        <w:ind w:left="500" w:right="6540" w:hanging="492"/>
        <w:spacing w:after="0" w:line="331" w:lineRule="auto"/>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b w:val="1"/>
          <w:bCs w:val="1"/>
          <w:i w:val="1"/>
          <w:iCs w:val="1"/>
          <w:color w:val="auto"/>
        </w:rPr>
        <w:t>Basis of Presentation</w:t>
      </w:r>
    </w:p>
    <w:p>
      <w:pPr>
        <w:ind w:right="2120" w:firstLine="486"/>
        <w:spacing w:after="0" w:line="310" w:lineRule="auto"/>
        <w:rPr>
          <w:sz w:val="20"/>
          <w:szCs w:val="20"/>
          <w:color w:val="auto"/>
        </w:rPr>
      </w:pPr>
      <w:r>
        <w:rPr>
          <w:rFonts w:ascii="Arial" w:cs="Arial" w:eastAsia="Arial" w:hAnsi="Arial"/>
          <w:sz w:val="15"/>
          <w:szCs w:val="15"/>
          <w:color w:val="auto"/>
        </w:rPr>
        <w:t>The accompanying condensed consolidated balance sheet as of March 31, 2017, the condensed consolidated statements of operations, the condensed consolidated statements of comprehensive income, and the condensed consolidated statements of cash</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flows for the three months ended March 31, 2017 and 2016, are unaudited. The condensed consolidated balance sheet as of December 31, 2016 was derived from the audited consolidated financial statements which are included in the Company’s Annual Report on Form 10-K for the fiscal year ended December 31, 2016, which was filed with the U.S. Securities and Exchange Commission (“SEC”) on February 28, 2017. The unaudited condensed consolidated financial statements should be read in conjunction with the audited financial statements and accompanying notes included in the Company’s Annual Report on Form 10-K for the year ended December 31, 2016.</w:t>
      </w:r>
    </w:p>
    <w:p>
      <w:pPr>
        <w:spacing w:after="0" w:line="19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necessary to state fairly the results of the interim periods have been included in the accompanying financial statements. Operating results for the three months ended March 31, 2017 are not necessarily indicative of the results that may be expected for any subsequent interim period or for the year ending December 31, 2017.</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77"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There have been no material changes to the Company’s significant accounting policies during the three months ended March 31, 2017,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February 28, 2017.</w:t>
      </w:r>
    </w:p>
    <w:p>
      <w:pPr>
        <w:spacing w:after="0" w:line="21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No. 2016-09,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Compensation (Topic 718) </w:t>
      </w:r>
      <w:r>
        <w:rPr>
          <w:rFonts w:ascii="Arial" w:cs="Arial" w:eastAsia="Arial" w:hAnsi="Arial"/>
          <w:sz w:val="18"/>
          <w:szCs w:val="18"/>
          <w:color w:val="auto"/>
        </w:rPr>
        <w:t>("ASU 2016-09"). ASU 2016-09 identifies areas for simplification involving several aspects of accounting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transactions, including the income tax consequences, classification of awards as either equity or liabilities, an option to recognize gross stock compensation expense with actual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forfeitures recognized as they occur, as well as certain classifications on the statement of cash flows. The amendments in this update became effective in the first quarter of 2017. The Company adopted this standard on January 1, 2017 and the standard did not have a material impact on its consolidated financial statements.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 - 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(“ASU 2017-08”), which shortens the amortization period for certain callable debt securities held at a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the amendments require the premium to be amortized to the earliest call date. The amendments do not require an accounting change for securities held at a discount; the discount continues to be amortized to maturity. For public entities, ASU 2017-08 is effective for fiscal years beginning after December 15, 2018, and interim periods within those fiscal years. The Company does not expect the adoption of this guidance to have a material impact on its consolidated financial statements.</w:t>
      </w:r>
    </w:p>
    <w:p>
      <w:pPr>
        <w:spacing w:after="0" w:line="261"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 xml:space="preserve">In February 2017, the FASB issued ASU No. 2017-05, </w:t>
      </w:r>
      <w:r>
        <w:rPr>
          <w:rFonts w:ascii="Arial" w:cs="Arial" w:eastAsia="Arial" w:hAnsi="Arial"/>
          <w:sz w:val="16"/>
          <w:szCs w:val="16"/>
          <w:i w:val="1"/>
          <w:iCs w:val="1"/>
          <w:color w:val="auto"/>
        </w:rPr>
        <w:t>Other Income - Gains and Losses from the Derecognition of Nonfinancial Assets: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Scope of Asset Derecognition Guidance and Accounting for Partial Sales of Nonfinancial Assets</w:t>
      </w:r>
      <w:r>
        <w:rPr>
          <w:rFonts w:ascii="Arial" w:cs="Arial" w:eastAsia="Arial" w:hAnsi="Arial"/>
          <w:sz w:val="16"/>
          <w:szCs w:val="16"/>
          <w:color w:val="auto"/>
        </w:rPr>
        <w:t>. This ASU was issued to clarify the scope of the previous</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and to add guidance for partial sales of nonfinancial assets and is effective for fiscal years and interim periods within those years beginning after December 15, 2017. The Company does not expect the adoption of this guidance to have a material impact on its consolidated financial statements.</w:t>
      </w:r>
    </w:p>
    <w:p>
      <w:pPr>
        <w:spacing w:after="0" w:line="154"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Simplifying the Test for Goodwill Impairment,</w:t>
      </w:r>
      <w:r>
        <w:rPr>
          <w:rFonts w:ascii="Arial" w:cs="Arial" w:eastAsia="Arial" w:hAnsi="Arial"/>
          <w:sz w:val="16"/>
          <w:szCs w:val="16"/>
          <w:color w:val="auto"/>
        </w:rPr>
        <w:t xml:space="preserve"> which simplifies the subsequent measurement of goodwill and eliminates the two-step goodwill impairment test. Under the new guidance, an annual or interim goodwill impairment test is performed by comparing the fair value of a reporting unit with its carrying amount, and an impairment charge is recognized for the amount by which the carrying amount exceeds the reporting unit’s fair value. The amendment also eliminates the requirements for any reporting unit with a zero or negative carrying amount to perform a qualitative assessment and two-step goodwill impairment test. The ASU is effective prospectively for fiscal years and interim periods within those years beginning after December 15, 2019. Early adoption is permitted for interim or annual goodwill impairment tests performed on testing dates after January 1, 2017. The Company will early adopt this ASU for goodwill impairment tests beginning in 2017.</w:t>
      </w:r>
    </w:p>
    <w:p>
      <w:pPr>
        <w:spacing w:after="0" w:line="167" w:lineRule="exact"/>
        <w:rPr>
          <w:sz w:val="20"/>
          <w:szCs w:val="20"/>
          <w:color w:val="auto"/>
        </w:rPr>
      </w:pPr>
    </w:p>
    <w:p>
      <w:pPr>
        <w:ind w:right="240" w:firstLine="486"/>
        <w:spacing w:after="0" w:line="312"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Clarifying the Definition of a Business,</w:t>
      </w:r>
      <w:r>
        <w:rPr>
          <w:rFonts w:ascii="Arial" w:cs="Arial" w:eastAsia="Arial" w:hAnsi="Arial"/>
          <w:sz w:val="16"/>
          <w:szCs w:val="16"/>
          <w:color w:val="auto"/>
        </w:rPr>
        <w:t xml:space="preserve"> which provides a more robust framework to use in determining when a set of assets and activities is a business. This ASU is effective prospectively for fiscal years and interim periods within those years beginning after December 15, 2017. The Company will apply this guidance to applicable transactions after the adoption date.</w:t>
      </w:r>
    </w:p>
    <w:p>
      <w:pPr>
        <w:spacing w:after="0" w:line="147" w:lineRule="exact"/>
        <w:rPr>
          <w:sz w:val="20"/>
          <w:szCs w:val="20"/>
          <w:color w:val="auto"/>
        </w:rPr>
      </w:pPr>
    </w:p>
    <w:p>
      <w:pPr>
        <w:ind w:right="20" w:firstLine="486"/>
        <w:spacing w:after="0" w:line="267"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which will supersede most existing revenue recognition guidance in U.S. GAAP once it becomes effective. ASU 2014-09 requires an entity to recognize revenue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U.S. GAAP including identifying performance obligations in the contract, estimating the amount of variable consideration to include in the transaction price, and allocating the transaction price to each separate performance obligation. Entities have the option of using either a full retrospective or modified retrospective approach to adopt the new standard. In March 2016, the FASB issued ASU 2016-08,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 (Topic 606): Principal versus Agent Considerations (Reporting Revenue Gross versus Net)</w:t>
      </w:r>
      <w:r>
        <w:rPr>
          <w:rFonts w:ascii="Arial" w:cs="Arial" w:eastAsia="Arial" w:hAnsi="Arial"/>
          <w:sz w:val="17"/>
          <w:szCs w:val="17"/>
          <w:color w:val="auto"/>
        </w:rPr>
        <w:t>, which clarifies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implementation guidance for gross versus net considerations in ASU 2014-09. In April 2016, the FASB issued ASU 2016-10,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 Identifying Performance Obligations and Licensing</w:t>
      </w:r>
      <w:r>
        <w:rPr>
          <w:rFonts w:ascii="Arial" w:cs="Arial" w:eastAsia="Arial" w:hAnsi="Arial"/>
          <w:sz w:val="17"/>
          <w:szCs w:val="17"/>
          <w:color w:val="auto"/>
        </w:rPr>
        <w:t>, which amends the guidance in ASU 2014-09 related to identifying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obligations and accounting for licenses of intellectual property. In May 2016, the FASB issued ASU 2016-12,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 Narrow-Scope Improvements and Practical Expedients</w:t>
      </w:r>
      <w:r>
        <w:rPr>
          <w:rFonts w:ascii="Arial" w:cs="Arial" w:eastAsia="Arial" w:hAnsi="Arial"/>
          <w:sz w:val="17"/>
          <w:szCs w:val="17"/>
          <w:color w:val="auto"/>
        </w:rPr>
        <w:t>, which provides clarification on assessing the collectability criterion, presentation of sales taxes,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measurement date for noncash consideration, and completed contracts at transition. In December 2016, the FASB issued ASU 2016-20, </w:t>
      </w:r>
      <w:r>
        <w:rPr>
          <w:rFonts w:ascii="Arial" w:cs="Arial" w:eastAsia="Arial" w:hAnsi="Arial"/>
          <w:sz w:val="17"/>
          <w:szCs w:val="17"/>
          <w:i w:val="1"/>
          <w:iCs w:val="1"/>
          <w:color w:val="auto"/>
        </w:rPr>
        <w:t>Technical Corrections</w:t>
      </w:r>
      <w:r>
        <w:rPr>
          <w:rFonts w:ascii="Arial" w:cs="Arial" w:eastAsia="Arial" w:hAnsi="Arial"/>
          <w:sz w:val="17"/>
          <w:szCs w:val="17"/>
          <w:color w:val="auto"/>
        </w:rPr>
        <w:t xml:space="preserve"> </w:t>
      </w:r>
      <w:r>
        <w:rPr>
          <w:rFonts w:ascii="Arial" w:cs="Arial" w:eastAsia="Arial" w:hAnsi="Arial"/>
          <w:sz w:val="17"/>
          <w:szCs w:val="17"/>
          <w:i w:val="1"/>
          <w:iCs w:val="1"/>
          <w:color w:val="auto"/>
        </w:rPr>
        <w:t>and Improvements to Topic 606, Revenue from Contracts with Customers</w:t>
      </w:r>
      <w:r>
        <w:rPr>
          <w:rFonts w:ascii="Arial" w:cs="Arial" w:eastAsia="Arial" w:hAnsi="Arial"/>
          <w:sz w:val="17"/>
          <w:szCs w:val="17"/>
          <w:color w:val="auto"/>
        </w:rPr>
        <w:t>, which provides various technical corrections and clarifications to ASU 2014-09.</w:t>
      </w:r>
      <w:r>
        <w:rPr>
          <w:rFonts w:ascii="Arial" w:cs="Arial" w:eastAsia="Arial" w:hAnsi="Arial"/>
          <w:sz w:val="17"/>
          <w:szCs w:val="17"/>
          <w:i w:val="1"/>
          <w:iCs w:val="1"/>
          <w:color w:val="auto"/>
        </w:rPr>
        <w:t xml:space="preserve"> </w:t>
      </w:r>
      <w:r>
        <w:rPr>
          <w:rFonts w:ascii="Arial" w:cs="Arial" w:eastAsia="Arial" w:hAnsi="Arial"/>
          <w:sz w:val="17"/>
          <w:szCs w:val="17"/>
          <w:color w:val="auto"/>
        </w:rPr>
        <w:t>All of these aforementioned ASUs will be effective for annual and interim periods beginning after December 15, 2017 and early adoption is permitted for annual and interim periods beginning after December 15, 2016. The Company expects to complete its assessment process, including identifying its performance obligations and selecting a transition method for adoption, by the end of the second quarter of 2017 along with its implementation process prior to the adoption of this ASU on January 1, 2018.</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81"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Basic and diluted net income per share are computed by dividing net income by the weighted-average number of shares of common stock outstanding during the period. Diluted net income per share is computed by using the weighted-average number of shares of common stock outstanding during the period, including potentially dilutive shares. Potentially dilutive shares include outstanding stock options and restricted stock units ("RSUs"). The dilutive effect of potentially dilutive shares is reflected in diluted earnings per share by application of the treasury stock method. Under the treasury stock method, an increase in the fair value of the Company's common stock can result in a greater dilutive effect from potentially dilutive shares.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per share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Weighted-average shares used in computing basic net income per share</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48,676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52,063</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shares: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Weighted-average shares used in computing basic net income per share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52,063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stock options and restricted stock units using the treasury-stock method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Weighted-average shares used in computing diluted net income per share</w:t>
            </w:r>
          </w:p>
        </w:tc>
        <w:tc>
          <w:tcPr>
            <w:tcW w:w="2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49,305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52,616</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securities were not included in the calculation of diluted shares outstanding as the effect would have been anti-dilutive (in thousands):</w:t>
      </w:r>
    </w:p>
    <w:p>
      <w:pPr>
        <w:spacing w:after="0" w:line="208"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weighted-average:</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805</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2,559</w:t>
            </w:r>
          </w:p>
        </w:tc>
      </w:tr>
      <w:tr>
        <w:trPr>
          <w:trHeight w:val="459"/>
        </w:trPr>
        <w:tc>
          <w:tcPr>
            <w:tcW w:w="8340" w:type="dxa"/>
            <w:vAlign w:val="bottom"/>
          </w:tcPr>
          <w:p>
            <w:pPr>
              <w:jc w:val="right"/>
              <w:ind w:right="2492"/>
              <w:spacing w:after="0"/>
              <w:rPr>
                <w:sz w:val="20"/>
                <w:szCs w:val="20"/>
                <w:color w:val="auto"/>
              </w:rPr>
            </w:pPr>
            <w:r>
              <w:rPr>
                <w:rFonts w:ascii="Arial" w:cs="Arial" w:eastAsia="Arial" w:hAnsi="Arial"/>
                <w:sz w:val="18"/>
                <w:szCs w:val="18"/>
                <w:color w:val="auto"/>
              </w:rPr>
              <w:t>7</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4"/>
              </w:rPr>
              <w:t>March 31, 2017</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0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ind w:left="8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22,992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22,992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22,992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4,249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46,173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46,173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9,934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36,239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2,099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2,099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18,052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18,044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18,044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tcPr>
          <w:p>
            <w:pPr>
              <w:jc w:val="center"/>
              <w:ind w:left="659"/>
              <w:spacing w:after="0"/>
              <w:rPr>
                <w:sz w:val="20"/>
                <w:szCs w:val="20"/>
                <w:color w:val="auto"/>
              </w:rPr>
            </w:pPr>
            <w:r>
              <w:rPr>
                <w:rFonts w:ascii="Arial" w:cs="Arial" w:eastAsia="Arial" w:hAnsi="Arial"/>
                <w:sz w:val="16"/>
                <w:szCs w:val="16"/>
                <w:b w:val="1"/>
                <w:bCs w:val="1"/>
                <w:color w:val="auto"/>
                <w:w w:val="91"/>
              </w:rPr>
              <w:t>December 31, 2016</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0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ind w:left="8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30,286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30,286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30,286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33,356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33,356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30,286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20,033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20,038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20,038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90,877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446"/>
        <w:spacing w:after="0" w:line="259" w:lineRule="auto"/>
        <w:rPr>
          <w:sz w:val="20"/>
          <w:szCs w:val="20"/>
          <w:color w:val="auto"/>
        </w:rPr>
      </w:pPr>
      <w:r>
        <w:rPr>
          <w:rFonts w:ascii="Arial" w:cs="Arial" w:eastAsia="Arial" w:hAnsi="Arial"/>
          <w:sz w:val="18"/>
          <w:szCs w:val="18"/>
          <w:color w:val="auto"/>
        </w:rPr>
        <w:t>The Company's financial investments are generally classified as available-for-sale. Available-for-sale securities are reported at fair value, with unrealized gains and losses, net of tax, included as a separate component of stockholders’ equity within accumulated other comprehensive loss. Realized gains and losses on these securities are included in interest and other income (expense), net in the Company’s condensed consolidated statements of operations and have not been material for all periods presented.</w:t>
      </w:r>
    </w:p>
    <w:p>
      <w:pPr>
        <w:spacing w:after="0" w:line="187" w:lineRule="exact"/>
        <w:rPr>
          <w:sz w:val="20"/>
          <w:szCs w:val="20"/>
          <w:color w:val="auto"/>
        </w:rPr>
      </w:pPr>
    </w:p>
    <w:p>
      <w:pPr>
        <w:jc w:val="both"/>
        <w:ind w:right="140" w:firstLine="446"/>
        <w:spacing w:after="0" w:line="264" w:lineRule="auto"/>
        <w:rPr>
          <w:sz w:val="20"/>
          <w:szCs w:val="20"/>
          <w:color w:val="auto"/>
        </w:rPr>
      </w:pPr>
      <w:r>
        <w:rPr>
          <w:rFonts w:ascii="Arial" w:cs="Arial" w:eastAsia="Arial" w:hAnsi="Arial"/>
          <w:sz w:val="18"/>
          <w:szCs w:val="18"/>
          <w:color w:val="auto"/>
        </w:rPr>
        <w:t>As of March 31, 2017 and December 31, 2016, approximately 100% and 96%, respectively, of the Company's marketable security investments mature within one year and nil and 4%, respectively, mature within one to five years. As of March 31, 2017, no individual securities incurred continuous unrealized losses for greater than 12 months.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Patent assets,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214"/>
              <w:spacing w:after="0"/>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Disposals</w:t>
            </w:r>
          </w:p>
        </w:tc>
        <w:tc>
          <w:tcPr>
            <w:tcW w:w="240" w:type="dxa"/>
            <w:vAlign w:val="bottom"/>
          </w:tcPr>
          <w:p>
            <w:pPr>
              <w:spacing w:after="0"/>
              <w:rPr>
                <w:sz w:val="18"/>
                <w:szCs w:val="18"/>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932,283</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962,593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(719,284)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(758,228)</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212,999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204,365</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patent asset portfolio on a straight-line basis over its estimated economic useful life. As of March 31, 2017, the estimated economic useful lives of the Company’s patent assets generally ranged from 24 to 60 months. As of March 31, 2017, the weighted-average estimated economic useful life at the time of acquisition of all patent assets acquired since the Company’s inception was 40 months. Patent assets acquired during the three months ended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March 31, 2017 had a weighted-average estimated economic useful life at the time of acquisition of 24 months.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60"/>
              <w:spacing w:after="0"/>
              <w:rPr>
                <w:sz w:val="20"/>
                <w:szCs w:val="20"/>
                <w:color w:val="auto"/>
              </w:rPr>
            </w:pPr>
            <w:r>
              <w:rPr>
                <w:rFonts w:ascii="Arial" w:cs="Arial" w:eastAsia="Arial" w:hAnsi="Arial"/>
                <w:sz w:val="18"/>
                <w:szCs w:val="18"/>
                <w:color w:val="auto"/>
              </w:rPr>
              <w:t>As of March 31, 2017, the Company expects amortization expense in future periods to be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(remainder)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103,641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75,120</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3,667</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204,365</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Amortization expense related to the Company's patent assets was $39.8 million and $41.8 million for the three months ended March 31, 2017 and 2016, respectively.</w:t>
      </w:r>
    </w:p>
    <w:p>
      <w:pPr>
        <w:spacing w:after="0" w:line="12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Internal-use software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2,169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935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and equipment, gross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16,318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6,948</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Depreciation and amortization expense related to the Company's property and equipment was $0.8 million and $0.6 million for the three months ended March 31, 2017 and 2016,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81"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On January 22, 2016, the Company completed its acquisition of all of the issued and outstanding shares of Inventus, to expand into the litigation discovery services market. The final purchase price for Inventus was approximately $232 million, net of working capital adjustments, which the Company paid in January 2016. The following table summarizes the cash paid and the estimated fair values of the assets and the liabilities assumed (in thousands) and the estimated useful lives of the acquired identifiable intangible assets: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71"/>
              <w:spacing w:after="0"/>
              <w:rPr>
                <w:sz w:val="20"/>
                <w:szCs w:val="20"/>
                <w:color w:val="auto"/>
              </w:rPr>
            </w:pPr>
            <w:r>
              <w:rPr>
                <w:rFonts w:ascii="Arial" w:cs="Arial" w:eastAsia="Arial" w:hAnsi="Arial"/>
                <w:sz w:val="16"/>
                <w:szCs w:val="16"/>
                <w:b w:val="1"/>
                <w:bCs w:val="1"/>
                <w:color w:val="auto"/>
                <w:w w:val="94"/>
              </w:rPr>
              <w:t>Estimated Fair Value</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2"/>
              </w:rPr>
              <w:t>Estimated Useful Life</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9 - 10 years</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Trademarks</w:t>
            </w: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1 - 6 years</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145,984</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equipment and other long-term assets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10,595</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Cash purchase consideration paid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233,300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46"/>
        <w:spacing w:after="0" w:line="255" w:lineRule="auto"/>
        <w:rPr>
          <w:sz w:val="20"/>
          <w:szCs w:val="20"/>
          <w:color w:val="auto"/>
        </w:rPr>
      </w:pPr>
      <w:r>
        <w:rPr>
          <w:rFonts w:ascii="Arial" w:cs="Arial" w:eastAsia="Arial" w:hAnsi="Arial"/>
          <w:sz w:val="18"/>
          <w:szCs w:val="18"/>
          <w:color w:val="auto"/>
        </w:rPr>
        <w:t>The intangible assets acquired are amortized on a straight-line basis which reflects the pattern in which the economic benefits of the intangible assets are expected to be utilized. The goodwill recorded is primarily attributable to the Company's opportunity to expand into the litigation discovery services market and is not deductible for tax purposes. For the three months ended March 31, 2016, the Company recorded acquisition-related costs of $1.2 million which were expensed as incurred and included in selling, general and administrative expenses in the Company's condensed consolidated statements of operations. The Company has included the financial results of Inventus in its condensed consolidated financial statements which includes revenue of $18.0 million and operating income of $1.5 million for the three months ended March 31, 2017 and revenue of $10.6 million and operating income of $0.6 million for the three months ended March 31, 2016.</w:t>
      </w:r>
    </w:p>
    <w:p>
      <w:pPr>
        <w:spacing w:after="0" w:line="189" w:lineRule="exact"/>
        <w:rPr>
          <w:sz w:val="20"/>
          <w:szCs w:val="20"/>
          <w:color w:val="auto"/>
        </w:rPr>
      </w:pPr>
    </w:p>
    <w:p>
      <w:pPr>
        <w:ind w:right="140" w:firstLine="446"/>
        <w:spacing w:after="0" w:line="270"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and Inventus as though the companies had been consolidated as of January 1, 2015, and includes the accounting effects resulting from the acquisition including amortization charges from the acquired intangible assets, $13.5 million of transaction costs incurred which were directly attributable to the acquisition of Inventus, and elimination of interest expenses and debt issuance and extinguishment costs associated with Inventus's historical debt which was extinguished upon the Company's acquisition of Inventus. This unaudited pro forma information also adjusts for Inventus's acquisition of London-based Unified OS Limited and certain of its affiliates as well as certain assets of Kooby LLP (collectively, "Unified") as though it had been consolidated as of January 1, 2015. These accounting effects do not have any impact on the Company's 2017 financial information. The following unaudited pro forma financial information is for information purposes only and is not necessarily indicative of the results of operations that would have been achieved if the acquisition had taken place as of January 1, 2015 (in thousands, except per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jc w:val="right"/>
              <w:ind w:right="273"/>
              <w:spacing w:after="0"/>
              <w:rPr>
                <w:sz w:val="20"/>
                <w:szCs w:val="20"/>
                <w:color w:val="auto"/>
              </w:rPr>
            </w:pPr>
            <w:r>
              <w:rPr>
                <w:rFonts w:ascii="Arial" w:cs="Arial" w:eastAsia="Arial" w:hAnsi="Arial"/>
                <w:sz w:val="16"/>
                <w:szCs w:val="16"/>
                <w:b w:val="1"/>
                <w:bCs w:val="1"/>
                <w:color w:val="auto"/>
                <w:w w:val="98"/>
              </w:rPr>
              <w:t>Three Months Ended March 31,</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jc w:val="right"/>
              <w:ind w:right="1233"/>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82,675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46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51"/>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4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6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4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13"/>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600" w:type="dxa"/>
            <w:vAlign w:val="bottom"/>
            <w:vMerge w:val="restart"/>
          </w:tcPr>
          <w:p>
            <w:pPr>
              <w:jc w:val="right"/>
              <w:ind w:right="257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amounts of goodwill by operating segment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Patent Risk</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Management</w:t>
            </w: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Discovery Services</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151,322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817</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19,978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152,139</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140" w:firstLine="486"/>
        <w:spacing w:after="0" w:line="264" w:lineRule="auto"/>
        <w:rPr>
          <w:sz w:val="20"/>
          <w:szCs w:val="20"/>
          <w:color w:val="auto"/>
        </w:rPr>
      </w:pPr>
      <w:r>
        <w:rPr>
          <w:rFonts w:ascii="Arial" w:cs="Arial" w:eastAsia="Arial" w:hAnsi="Arial"/>
          <w:sz w:val="18"/>
          <w:szCs w:val="18"/>
          <w:color w:val="auto"/>
        </w:rPr>
        <w:t>The Company reviews goodwill for impairment at least annually or more frequently if events or changes in circumstances indicate that the carrying value of goodwill may not be recoverable. As of March 31, 2017, no impairment of goodwill had been identified.</w:t>
      </w:r>
    </w:p>
    <w:p>
      <w:pPr>
        <w:spacing w:after="0" w:line="13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5"/>
          </w:tcPr>
          <w:p>
            <w:pPr>
              <w:ind w:left="420"/>
              <w:spacing w:after="0"/>
              <w:rPr>
                <w:sz w:val="20"/>
                <w:szCs w:val="20"/>
                <w:color w:val="auto"/>
              </w:rPr>
            </w:pPr>
            <w:r>
              <w:rPr>
                <w:rFonts w:ascii="Arial" w:cs="Arial" w:eastAsia="Arial" w:hAnsi="Arial"/>
                <w:sz w:val="16"/>
                <w:szCs w:val="16"/>
                <w:b w:val="1"/>
                <w:bCs w:val="1"/>
                <w:color w:val="auto"/>
              </w:rPr>
              <w:t>March 31, 2017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December 31, 2016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Net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54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average Life</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780" w:type="dxa"/>
            <w:vAlign w:val="bottom"/>
          </w:tcPr>
          <w:p>
            <w:pPr>
              <w:jc w:val="right"/>
              <w:ind w:right="32"/>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780" w:type="dxa"/>
            <w:vAlign w:val="bottom"/>
          </w:tcPr>
          <w:p>
            <w:pPr>
              <w:jc w:val="center"/>
              <w:ind w:right="52"/>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5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(years)</w:t>
            </w: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780" w:type="dxa"/>
            <w:vAlign w:val="bottom"/>
          </w:tcPr>
          <w:p>
            <w:pPr>
              <w:jc w:val="center"/>
              <w:ind w:right="32"/>
              <w:spacing w:after="0"/>
              <w:rPr>
                <w:sz w:val="20"/>
                <w:szCs w:val="20"/>
                <w:color w:val="auto"/>
              </w:rPr>
            </w:pPr>
            <w:r>
              <w:rPr>
                <w:rFonts w:ascii="Arial" w:cs="Arial" w:eastAsia="Arial" w:hAnsi="Arial"/>
                <w:sz w:val="16"/>
                <w:szCs w:val="16"/>
                <w:b w:val="1"/>
                <w:bCs w:val="1"/>
                <w:color w:val="auto"/>
                <w:w w:val="95"/>
              </w:rPr>
              <w:t>Amount</w:t>
            </w:r>
          </w:p>
        </w:tc>
      </w:tr>
      <w:tr>
        <w:trPr>
          <w:trHeight w:val="33"/>
        </w:trPr>
        <w:tc>
          <w:tcPr>
            <w:tcW w:w="3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Covenant not to compete</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296</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data and models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55,905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48,024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55,719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(6,323)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49,396</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3,824</w:t>
            </w:r>
          </w:p>
        </w:tc>
      </w:tr>
      <w:tr>
        <w:trPr>
          <w:trHeight w:val="27"/>
        </w:trPr>
        <w:tc>
          <w:tcPr>
            <w:tcW w:w="35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70,629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53,894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56,050</w:t>
            </w:r>
          </w:p>
        </w:tc>
      </w:tr>
      <w:tr>
        <w:trPr>
          <w:trHeight w:val="20"/>
        </w:trPr>
        <w:tc>
          <w:tcPr>
            <w:tcW w:w="45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9040" w:type="dxa"/>
            <w:vAlign w:val="bottom"/>
            <w:gridSpan w:val="14"/>
          </w:tcPr>
          <w:p>
            <w:pPr>
              <w:ind w:left="500"/>
              <w:spacing w:after="0"/>
              <w:rPr>
                <w:sz w:val="20"/>
                <w:szCs w:val="20"/>
                <w:color w:val="auto"/>
              </w:rPr>
            </w:pPr>
            <w:r>
              <w:rPr>
                <w:rFonts w:ascii="Arial" w:cs="Arial" w:eastAsia="Arial" w:hAnsi="Arial"/>
                <w:sz w:val="18"/>
                <w:szCs w:val="18"/>
                <w:color w:val="auto"/>
                <w:w w:val="92"/>
              </w:rPr>
              <w:t>As of March 31, 2017, the Company expects amortization expense in future periods to be as follows (in thousands):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35"/>
        </w:trPr>
        <w:tc>
          <w:tcPr>
            <w:tcW w:w="3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(remainder)</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2018</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8,247</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2020</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6,340</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20,090</w:t>
            </w:r>
          </w:p>
        </w:tc>
      </w:tr>
      <w:tr>
        <w:trPr>
          <w:trHeight w:val="27"/>
        </w:trPr>
        <w:tc>
          <w:tcPr>
            <w:tcW w:w="35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Total estimated future amortization expense</w:t>
            </w: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53,894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Amortization expense related to the Company's intangible assets was $2.3 million and $2.2 million for the three months ended March 31, 2017 and 2016, respectively.</w:t>
      </w:r>
    </w:p>
    <w:p>
      <w:pPr>
        <w:spacing w:after="0" w:line="126"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payroll-related expenses</w:t>
            </w:r>
          </w:p>
        </w:tc>
        <w:tc>
          <w:tcPr>
            <w:tcW w:w="4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4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4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16,798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81" w:lineRule="exact"/>
        <w:rPr>
          <w:sz w:val="20"/>
          <w:szCs w:val="20"/>
          <w:color w:val="auto"/>
        </w:rPr>
      </w:pPr>
    </w:p>
    <w:p>
      <w:pPr>
        <w:ind w:right="200" w:firstLine="486"/>
        <w:spacing w:after="0" w:line="288" w:lineRule="auto"/>
        <w:rPr>
          <w:sz w:val="20"/>
          <w:szCs w:val="20"/>
          <w:color w:val="auto"/>
        </w:rPr>
      </w:pPr>
      <w:r>
        <w:rPr>
          <w:rFonts w:ascii="Arial" w:cs="Arial" w:eastAsia="Arial" w:hAnsi="Arial"/>
          <w:sz w:val="16"/>
          <w:szCs w:val="16"/>
          <w:color w:val="auto"/>
        </w:rPr>
        <w:t>On February 26, 2016, the Company entered into a Credit Agreement (the "Credit Agreement") which provided for a $100 million five-year term facility (the "Term Facility") and a $50 million five-year revolving credit facility (the "Revolving Credit Facility"), which remains undrawn as of March 31, 2017. The Term Facility bears interest which is payable quarterly in arrears at the Company's option equal to either a base rate plus a margin ranging from</w:t>
      </w:r>
    </w:p>
    <w:p>
      <w:pPr>
        <w:ind w:right="20"/>
        <w:spacing w:after="0" w:line="252" w:lineRule="auto"/>
        <w:rPr>
          <w:sz w:val="20"/>
          <w:szCs w:val="20"/>
          <w:color w:val="auto"/>
        </w:rPr>
      </w:pPr>
      <w:r>
        <w:rPr>
          <w:rFonts w:ascii="Arial" w:cs="Arial" w:eastAsia="Arial" w:hAnsi="Arial"/>
          <w:sz w:val="18"/>
          <w:szCs w:val="18"/>
          <w:color w:val="auto"/>
        </w:rPr>
        <w:t>1.25% to 1.75% per annum or, at the Company's election, the one-, two-, three-, or six-month London interbank offered rate ("LIBOR") plus a margin ranging from 2.25% to 2.75% per annum, based upon the ratio of the Company's debt to consolidated EBITDA ratio. The outstanding balance on the Term Facility bore interest during the three months ended March 31, 2017 at an average interest rate of 3.3%, which approximates fair value. The Revolving Credit Facility bears a commitment fee on undrawn balances of 0.35% to 0.45% per annum, also based upon the Company's debt to consolidated adjusted EBITDA ratio, that is expensed as incurred. The Credit Agreement contains financial covenants requiring the Company to maintain certain leverage and fixed charge ratios. The Company is compliant with these covenants as of March 31, 2017. The Credit Agreement also includes limitations on the Company's debt incurrence, dividend payments, and disposal activities.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500"/>
              <w:spacing w:after="0"/>
              <w:rPr>
                <w:sz w:val="20"/>
                <w:szCs w:val="20"/>
                <w:color w:val="auto"/>
              </w:rPr>
            </w:pPr>
            <w:r>
              <w:rPr>
                <w:rFonts w:ascii="Arial" w:cs="Arial" w:eastAsia="Arial" w:hAnsi="Arial"/>
                <w:sz w:val="18"/>
                <w:szCs w:val="18"/>
                <w:color w:val="auto"/>
                <w:w w:val="93"/>
              </w:rPr>
              <w:t>As of March 31, 2017, the Term Facility requires principal repayments in accordance with the following schedule (in thousands):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3"/>
        </w:trPr>
        <w:tc>
          <w:tcPr>
            <w:tcW w:w="10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(remainder)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9,375</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18,125</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37"/>
        </w:trPr>
        <w:tc>
          <w:tcPr>
            <w:tcW w:w="10060" w:type="dxa"/>
            <w:vAlign w:val="bottom"/>
          </w:tcPr>
          <w:p>
            <w:pPr>
              <w:ind w:left="180"/>
              <w:spacing w:after="0"/>
              <w:rPr>
                <w:sz w:val="20"/>
                <w:szCs w:val="20"/>
                <w:color w:val="auto"/>
              </w:rPr>
            </w:pPr>
            <w:r>
              <w:rPr>
                <w:rFonts w:ascii="Arial" w:cs="Arial" w:eastAsia="Arial" w:hAnsi="Arial"/>
                <w:sz w:val="18"/>
                <w:szCs w:val="18"/>
                <w:color w:val="auto"/>
              </w:rPr>
              <w:t>Long-term debt, gross</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95,000</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97"/>
        </w:trPr>
        <w:tc>
          <w:tcPr>
            <w:tcW w:w="10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Long-term debt, net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93,434</w:t>
            </w:r>
          </w:p>
        </w:tc>
      </w:tr>
      <w:tr>
        <w:trPr>
          <w:trHeight w:val="311"/>
        </w:trPr>
        <w:tc>
          <w:tcPr>
            <w:tcW w:w="10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Reported as: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86,335</w:t>
            </w:r>
          </w:p>
        </w:tc>
      </w:tr>
      <w:tr>
        <w:trPr>
          <w:trHeight w:val="27"/>
        </w:trPr>
        <w:tc>
          <w:tcPr>
            <w:tcW w:w="10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93,434</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right="8380" w:hanging="492"/>
        <w:spacing w:after="0" w:line="331" w:lineRule="auto"/>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ind w:right="260" w:firstLine="486"/>
        <w:spacing w:after="0" w:line="302" w:lineRule="auto"/>
        <w:rPr>
          <w:sz w:val="20"/>
          <w:szCs w:val="20"/>
          <w:color w:val="auto"/>
        </w:rPr>
      </w:pPr>
      <w:r>
        <w:rPr>
          <w:rFonts w:ascii="Arial" w:cs="Arial" w:eastAsia="Arial" w:hAnsi="Arial"/>
          <w:sz w:val="16"/>
          <w:szCs w:val="16"/>
          <w:color w:val="auto"/>
        </w:rPr>
        <w:t>The Company generally does not enter into long-term minimum purchase commitments. Its principal long-term commitments consist of obligations under operating leases for office space. There were no material changes to the Company’s contractual obligations or commitments during the three months ended March 31, 2017 as compared to those presented under the heading “Commitments and Contingencies” in Note 12 of the Notes to Consolidated Financial Statements in Part II, Item 8 of the Company’s Annual Report on Form 10-K filed with the SEC on February 28, 2017.</w:t>
      </w:r>
    </w:p>
    <w:p>
      <w:pPr>
        <w:spacing w:after="0" w:line="154"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Rent expense related to non-cancelable operating leases was $1.3 million and $1.2 million for the three months ended March 31, 2017 and 2016, respectively, net of sublease income of $0.3 million and $0.2 million earned during each period,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March 31, 2017 or December 31, 2016.</w:t>
      </w:r>
    </w:p>
    <w:p>
      <w:pPr>
        <w:spacing w:after="0" w:line="18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April 2016, Sourceprose Corporation filed a complaint in the U.S. District Court for the Western District of Texas against the Company alleging breach of an agreement with the plaintiff to purchase certain patent assets and breach of a non-disclosure agreement with plaintiff. In July 2016, the Court transferred the litigation to the U.S. District Court for the Northern District of California. In November 2016, we moved to dismiss the claims of breach of an assignment of patents. In January 2017, the U.S. District Court for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Northern District of California dismissed the claims of breach of a patent assignment without prejudice, and allowed the plaintiff to file an amended complaint. The plaintiff filed an amended complaint in February 2017, alleging breach of a non-disclosure agreement, breach of an agreement to assign patents and a breach of a settlement agreement. In March 2017, we moved to dismiss all of the plaintiff’s claims, and the hearing on the motion is scheduled for May 2017. The plaintiff seeks monetary damages and specific enforcement of the alleged purchase agreement. We are not currently able to determine whether there is a reasonable possibility that a loss has been incurred, nor can we estimate the potential loss or range of the potential loss that may result from this litigation. The Company is not currently able to determine whether there is a reasonable possibility that a loss has been incurred, nor can we estimate the potential loss or range of the potential loss that may result from this litigation.</w:t>
      </w:r>
    </w:p>
    <w:p>
      <w:pPr>
        <w:spacing w:after="0" w:line="178"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In June 2013, Kevin O’Halloran, as Trustee of the Liquidating Trust of Tectonics,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In February 2015, the Court held a trial and in November 2015 entered judgment in favor of the Defendants. In December 2015, the Debtor filed an appeal of the judgment to the U.S. District Court for the Middle District of Florida. In August 2016, the District Court affirmed the judgment in favor of the Defendants. In September 2016, the Debtor filed an appeal of the judgment to the U.S. Court of Appeals for the Eleventh Circuit. The appellate briefing was completed in January 2017, and the parties are currently awaiting scheduling of oral argument. The Company is not currently able to determine whether there is a reasonable possibility that a loss has been incurred, nor can it estimate the potential loss or range of the potential loss that may result from this litigation.</w:t>
      </w:r>
    </w:p>
    <w:p>
      <w:pPr>
        <w:spacing w:after="0" w:line="167"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April 2016, the Court entered a final judgment in favor of the Defendants on all the plaintiff's claims. In April 2016, the plaintiff filed an appeal of the judgment. The appellate briefing was completed in November 2016, and the parties are currently awaiting the scheduling of oral argument. The Company is not currently able to determine whether there is a reasonable possibility that a loss has been incurred, nor can it estimate the potential loss or range of the potential loss that may result from this litigation.</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No liability was recorded for these agreements as of March 31, 2017 or December 31, 2016.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As part of the Company's discovery services offering, the Company generally warrants that it will perform the services in good faith and in a timely and professional manner, and that it will exercise the same level of professional care commonly found in the industry. Additionally, the Company has agreed to provisions for indemnifying customers against liabilities if its discovery services infringe a third party’s intellectual property rights or if it breaches agreed privacy, security and/or confidentiality obligations. To date, the Company has not incurred any material costs, and it has not accrued any liabilities in the accompanying condensed consolidated financial statements, as a result of these obligations. The Company also enters into service-level agreements with its discovery services clients that specify required levels of application uptime and may permit customers to receive credits or to terminate their agreements in the event that the Company fails to meet required performance levels. To date, the Company has not experienced any significant failures to meet defined levels of performance and, as a result, has not accrued any liabilities related to these agreements in its condensed consolidated financial statements.</w:t>
      </w:r>
    </w:p>
    <w:p>
      <w:pPr>
        <w:spacing w:after="0" w:line="166"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indefinite. The maximum amount of potential future indemnification is unspecified. The Company has no reason to believe that there is any material liability for actions, events, or occurrences that have occurred to date.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0"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offers patent litigation insurance that covers certain costs associated with patent infringement lawsuits, and it assumes a portion of the underwriting risk on these insurance policies that it issues on behalf of a Lloyd's of London underwriting syndicate. As of March 31, 2017 and December 31, 2016, the Company recorded a reserve of $1.3 million and $0.9 million, respectively, for known and incurred but not reported claims that represent estimated claim costs and related expenses for the policies underwritten and its portion of the underwriting risk on policies that the Company issued on behalf of the Lloyd's of London underwriting syndicate. The Company regularly reviews loss reserves using a variety of actuarial techniques and updates them as its loss experience develops.</w:t>
      </w:r>
    </w:p>
    <w:p>
      <w:pPr>
        <w:spacing w:after="0" w:line="149" w:lineRule="exact"/>
        <w:rPr>
          <w:sz w:val="20"/>
          <w:szCs w:val="20"/>
          <w:color w:val="auto"/>
        </w:rPr>
      </w:pPr>
    </w:p>
    <w:p>
      <w:pPr>
        <w:ind w:left="500" w:right="9300" w:hanging="492"/>
        <w:spacing w:after="0" w:line="350" w:lineRule="auto"/>
        <w:tabs>
          <w:tab w:leader="none" w:pos="50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Equity Plans</w:t>
      </w:r>
    </w:p>
    <w:p>
      <w:pPr>
        <w:spacing w:after="0" w:line="1"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6"/>
          <w:szCs w:val="16"/>
          <w:color w:val="auto"/>
        </w:rPr>
        <w:t>A summary of the Company’s activity under its equity-settled award plans and related information is as follows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ind w:left="400"/>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Shares Available</w:t>
            </w:r>
          </w:p>
        </w:tc>
        <w:tc>
          <w:tcPr>
            <w:tcW w:w="1260" w:type="dxa"/>
            <w:vAlign w:val="bottom"/>
          </w:tcPr>
          <w:p>
            <w:pPr>
              <w:jc w:val="right"/>
              <w:ind w:right="172"/>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average 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140" w:type="dxa"/>
            <w:vAlign w:val="bottom"/>
          </w:tcPr>
          <w:p>
            <w:pPr>
              <w:jc w:val="right"/>
              <w:ind w:right="194"/>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7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for Grant</w:t>
            </w:r>
          </w:p>
        </w:tc>
        <w:tc>
          <w:tcPr>
            <w:tcW w:w="1260" w:type="dxa"/>
            <w:vAlign w:val="bottom"/>
          </w:tcPr>
          <w:p>
            <w:pPr>
              <w:jc w:val="right"/>
              <w:ind w:right="312"/>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6"/>
                <w:szCs w:val="16"/>
                <w:b w:val="1"/>
                <w:bCs w:val="1"/>
                <w:color w:val="auto"/>
                <w:w w:val="91"/>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December 31, 2016</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Shares authorized</w:t>
            </w:r>
            <w:r>
              <w:rPr>
                <w:rFonts w:ascii="Arial" w:cs="Arial" w:eastAsia="Arial" w:hAnsi="Arial"/>
                <w:sz w:val="25"/>
                <w:szCs w:val="25"/>
                <w:color w:val="auto"/>
                <w:vertAlign w:val="superscript"/>
              </w:rPr>
              <w:t>(1)</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Restricted stock units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forfeited</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1"/>
              </w:rPr>
              <w:t>Restricted stock units withheld related to net-share settlement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of restricted stock units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March 31, 2017</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4,478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3,530</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Vested and exercisable - March 31, 2017</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3,530</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53" w:lineRule="exact"/>
        <w:rPr>
          <w:sz w:val="20"/>
          <w:szCs w:val="20"/>
          <w:color w:val="auto"/>
        </w:rPr>
      </w:pPr>
    </w:p>
    <w:p>
      <w:pPr>
        <w:ind w:left="180"/>
        <w:spacing w:after="0"/>
        <w:rPr>
          <w:sz w:val="20"/>
          <w:szCs w:val="20"/>
          <w:color w:val="auto"/>
        </w:rPr>
      </w:pPr>
      <w:r>
        <w:rPr>
          <w:rFonts w:ascii="Arial" w:cs="Arial" w:eastAsia="Arial" w:hAnsi="Arial"/>
          <w:sz w:val="24"/>
          <w:szCs w:val="24"/>
          <w:color w:val="auto"/>
          <w:vertAlign w:val="superscript"/>
        </w:rPr>
        <w:t>(</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In the fir</w:t>
      </w:r>
      <w:r>
        <w:rPr>
          <w:rFonts w:ascii="Arial" w:cs="Arial" w:eastAsia="Arial" w:hAnsi="Arial"/>
          <w:sz w:val="17"/>
          <w:szCs w:val="17"/>
          <w:color w:val="auto"/>
        </w:rPr>
        <w:t>st quarter of 2017, the Company reserved an additional 1.0 million shares of its common stock for future issuance under the 2011 Plan.</w:t>
      </w:r>
    </w:p>
    <w:p>
      <w:pPr>
        <w:spacing w:after="0" w:line="156"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The aggregate intrinsic value of stock options exercised during the three months ended March 31, 2017 and 2016 was $0.7 million and $0.2 million, respectively. The total grant date fair value of stock options vested during the three months ended March 31, 2017 and 2016 was nil and $0.6 million, respectively. As of March 31, 2017, all options issued and outstanding are fully vested.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summary of RSU activity, which includes performance-based restricted stock units (“PBRSUs”), is as follows (in thousands, except per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20" w:type="dxa"/>
            <w:vAlign w:val="bottom"/>
          </w:tcPr>
          <w:p>
            <w:pPr>
              <w:spacing w:after="0"/>
              <w:rPr>
                <w:sz w:val="17"/>
                <w:szCs w:val="17"/>
                <w:color w:val="auto"/>
              </w:rPr>
            </w:pPr>
          </w:p>
        </w:tc>
        <w:tc>
          <w:tcPr>
            <w:tcW w:w="148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640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2016</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March 31, 2017</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39,637</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total grant date fair value of RSUs vested during the three months ended March 31, 2017 and 2016 was $4.4 million and $2.8 million,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October 2013, the Board of Directors approved net-share settlement for tax withholdings on RSU vesting. During the three months ended March 31, 2017, the Company withheld issuing 148,893 shares of its common stock based on the value of the RSUs on their vesting dates as determined by the Company’s closing common stock price. Total payments to taxing authorities for employees’ minimum tax obligations were $1.7 million for the three months ended March 31, 2017, and were recorded as a reduction to additional paid-in capital and reflected as a financing activity within the condensed consolidated statements of cash flows. The net-share settlements reduced the number of shares that would have otherwise been issued on the vesting date and increased the number of shares reserved for future issuance under the 2011 Plan.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RSUs granted to employees and directors is measured by reference to the fair value of the underlying shares on the date of grant.</w:t>
      </w:r>
    </w:p>
    <w:p>
      <w:pPr>
        <w:spacing w:after="0" w:line="248"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Stock-based compensation expense related to stock options granted to employees and directors was nil and $0.5 million for the three months ended March 31, 2017 and 2016, respectively. Stock-based compensation expense related to PBRSUs and RSUs granted to employees and directors was $2.7 million and $4.5 million for the three months ended March 31, 2017 and 2016, respectively. The Company did not grant any PBRSUs during either three month period ended March 31, 2017 or 2016.</w:t>
      </w:r>
    </w:p>
    <w:p>
      <w:pPr>
        <w:spacing w:after="0" w:line="187"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As of March 31, 2017, there was $34.2 million of unrecognized compensation cost related to RSUs, including PBRSUs, which is expected to be recognized over a weighted-average period of 2.8 years. Future grants of equity awards will increase the amount of stock-based compensation expense to be recorded.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77"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On February 10, 2015, the Company announced that its Board of Directors had authorized a share repurchase program under which the Company is authorized to repurchase up to $75.0 million of its outstanding common stock with no expiration date from the date of authorization. In March 2016 and May 2016, the Company increased its share repurchase program by $25 million and $50 million, respectively, for a total amount authorized of $150 million. As of March 31, 2017, the Company repurchased $90.8 million of the outstanding common stock. Under the program, shares may be purchased in open market transactions, including through block purchases, through privately negotiated transactions, or pursuant to any trading plan that may be adopted in accordance with Rule 10b5-1 of the Securities Exchange Act of 1934, as amended (the "Exchange Act"). The share repurchase program does not have an expiration date and may be suspended, terminated, or modified at any time for any reason. The Company’s share repurchase program does not obligate it to acquire any specific number of shares. The Company repurchased shares of its common stock in the open market, which were retired upon repurchase. The purchase price for the repurchased shares is reflected as a reduction to common stock and retained earnings in the Company's condensed consolidated balance sheet. Share repurchase activity during the period presented was as follows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Arial" w:cs="Arial" w:eastAsia="Arial" w:hAnsi="Arial"/>
                <w:sz w:val="16"/>
                <w:szCs w:val="16"/>
                <w:b w:val="1"/>
                <w:bCs w:val="1"/>
                <w:color w:val="auto"/>
              </w:rPr>
              <w:t>Value of Shares</w:t>
            </w:r>
          </w:p>
        </w:tc>
      </w:tr>
      <w:tr>
        <w:trPr>
          <w:trHeight w:val="210"/>
        </w:trPr>
        <w:tc>
          <w:tcPr>
            <w:tcW w:w="5380" w:type="dxa"/>
            <w:vAlign w:val="bottom"/>
          </w:tcPr>
          <w:p>
            <w:pPr>
              <w:spacing w:after="0"/>
              <w:rPr>
                <w:sz w:val="18"/>
                <w:szCs w:val="18"/>
                <w:color w:val="auto"/>
              </w:rPr>
            </w:pPr>
          </w:p>
        </w:tc>
        <w:tc>
          <w:tcPr>
            <w:tcW w:w="206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 Repurchased</w:t>
            </w:r>
          </w:p>
        </w:tc>
        <w:tc>
          <w:tcPr>
            <w:tcW w:w="14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Average Price per Share</w:t>
            </w:r>
          </w:p>
        </w:tc>
        <w:tc>
          <w:tcPr>
            <w:tcW w:w="280" w:type="dxa"/>
            <w:vAlign w:val="bottom"/>
          </w:tcPr>
          <w:p>
            <w:pPr>
              <w:spacing w:after="0"/>
              <w:rPr>
                <w:sz w:val="18"/>
                <w:szCs w:val="18"/>
                <w:color w:val="auto"/>
              </w:rPr>
            </w:pPr>
          </w:p>
        </w:tc>
        <w:tc>
          <w:tcPr>
            <w:tcW w:w="1660" w:type="dxa"/>
            <w:vAlign w:val="bottom"/>
          </w:tcPr>
          <w:p>
            <w:pPr>
              <w:jc w:val="right"/>
              <w:ind w:right="434"/>
              <w:spacing w:after="0"/>
              <w:rPr>
                <w:sz w:val="20"/>
                <w:szCs w:val="20"/>
                <w:color w:val="auto"/>
              </w:rPr>
            </w:pPr>
            <w:r>
              <w:rPr>
                <w:rFonts w:ascii="Arial" w:cs="Arial" w:eastAsia="Arial" w:hAnsi="Arial"/>
                <w:sz w:val="16"/>
                <w:szCs w:val="16"/>
                <w:b w:val="1"/>
                <w:bCs w:val="1"/>
                <w:color w:val="auto"/>
              </w:rPr>
              <w:t>Repurchased</w:t>
            </w:r>
          </w:p>
        </w:tc>
      </w:tr>
      <w:tr>
        <w:trPr>
          <w:trHeight w:val="33"/>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repurchase activity as of December 31, 2016</w:t>
            </w: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86,276</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Repurchase activity during the period</w:t>
            </w: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4,491</w:t>
            </w:r>
          </w:p>
        </w:tc>
      </w:tr>
      <w:tr>
        <w:trPr>
          <w:trHeight w:val="27"/>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repurchase activity as of March 31, 2017</w:t>
            </w:r>
          </w:p>
        </w:tc>
        <w:tc>
          <w:tcPr>
            <w:tcW w:w="1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90,767</w:t>
            </w:r>
          </w:p>
        </w:tc>
      </w:tr>
      <w:tr>
        <w:trPr>
          <w:trHeight w:val="20"/>
        </w:trPr>
        <w:tc>
          <w:tcPr>
            <w:tcW w:w="53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benefit items, was 37% and 39% for the three months ended March 31, 2017 and 2016, respectively.</w:t>
      </w:r>
    </w:p>
    <w:p>
      <w:pPr>
        <w:spacing w:after="0" w:line="18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Company's 2013 through 2016 tax periods remain open to examination by the Internal Revenue Service and the 2012 through 2016 tax periods remain open to examination by most state tax authorities. The Internal Revenue Service's examination of Inventus's federal income tax return for fiscal year 2013 was closed during the three months ended March 31, 2017 with no material adjustments. The Company's 2015 through 2016 tax periods remain open to examination in the United Kingdom.</w:t>
      </w:r>
    </w:p>
    <w:p>
      <w:pPr>
        <w:spacing w:after="0" w:line="14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During the three month periods ended March 31, 2017 and 2016, four and three members, respectively, of the Company’s Board of Directors also served on the boards of directors of RPX clients. The Company recognized subscription revenue from these clients in the amount of $2.9 million and $2.4 million for the three month periods ended March 31, 2017 and 2016, respectively. The Company recognized selling, general, and administrative expenses from products and services provided by these clients of $0.2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million and $0.1 million for the three month periods ended March 31, 2017 and 2016, respectively. As of March 31, 2017 and December 31, 2016, there were $0.4 million and $1.3 million receivables, respectively, due from these clients.</w:t>
      </w:r>
    </w:p>
    <w:p>
      <w:pPr>
        <w:spacing w:after="0" w:line="126"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8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Prior to the acquisition of Inventus in January 2016, the Company’s Chief Executive Officer reviewed financial information presented on a consolidated basis and, as a result, the Company concluded that there was only one operating and reportable segment at that time. Subsequent to the acquisition of Inventus (see Note 7, Business Combinations), the Company's Chief Executive Officer reviews separate financial information for the patent risk management and discovery services businesses. Therefore, as of January 2016, the Company has two reportable segments: 1) patent risk management which generates its revenues primarily from membership subscriptions, premiums earned from insurance policies, and management fees for marketing, underwriting, and claim management and 2) discovery services which generates its revenues primarily from fees generated for data collection, hosting and processing, project management, and document review services. There are no material internal revenue transactions between these two reportable segments.</w:t>
      </w:r>
    </w:p>
    <w:p>
      <w:pPr>
        <w:spacing w:after="0" w:line="178"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Although adjusted EBITDA is not a measure of financial performance determined in accordance with GAAP, the Company's chief operating decision maker evaluates segment financial performance by utilizing the segment's adjusted EBITDA because the Company believes it is a useful supplemental measure that reflects core operating performance and provides an indicator of the segment's ability to generate cash.</w:t>
      </w:r>
    </w:p>
    <w:p>
      <w:pPr>
        <w:spacing w:after="0" w:line="166"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Company defines adjusted EBITDA as net income exclusive of provision for income taxes, interest and other income (expense), net, stock-based compensation and related employer payroll taxes, depreciation, and amortization. There are limitations in using the Company's measures of financial performance that are not determined in accordance with GAAP and these may be different from other financial measures not determined in accordance with GAAP used by other companies. These financial measures are limited in value because they exclude certain items that may have a material impact on the Company's reported financial results. In addition, they are subject to inherent limitations as they reflect the exercise of judgment by the Company about which items are adjusted to calculate its financial measures not determined in accordance with GAAP. The presentation of financial measures not determined in accordance with GAAP should not be considered in isolation or as a substitute for, or superior to, financial results determined in accordance with GAAP.</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2017 and 2016 utilized by the Company's chief operating decision maker is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Patent Risk Management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64,486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69,157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42,632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14,434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21,934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42,657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51,562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52,182</w:t>
            </w: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Discovery Services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9,858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82,512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79,735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47,666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21,121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060" w:type="dxa"/>
            <w:vAlign w:val="bottom"/>
            <w:gridSpan w:val="4"/>
          </w:tcPr>
          <w:p>
            <w:pPr>
              <w:ind w:left="500"/>
              <w:spacing w:after="0"/>
              <w:rPr>
                <w:sz w:val="20"/>
                <w:szCs w:val="20"/>
                <w:color w:val="auto"/>
              </w:rPr>
            </w:pPr>
            <w:r>
              <w:rPr>
                <w:rFonts w:ascii="Arial" w:cs="Arial" w:eastAsia="Arial" w:hAnsi="Arial"/>
                <w:sz w:val="18"/>
                <w:szCs w:val="18"/>
                <w:color w:val="auto"/>
                <w:w w:val="96"/>
              </w:rPr>
              <w:t>The following table reconciles the Company's subtotal segment adjusted EBITDA to consolidated net income (in thousands):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 segment adjusted EBITDA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54,751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(44,555)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including related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5,993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00"/>
              <w:spacing w:after="0"/>
              <w:rPr>
                <w:sz w:val="20"/>
                <w:szCs w:val="20"/>
                <w:color w:val="auto"/>
              </w:rPr>
            </w:pPr>
            <w:r>
              <w:rPr>
                <w:rFonts w:ascii="Arial" w:cs="Arial" w:eastAsia="Arial" w:hAnsi="Arial"/>
                <w:sz w:val="18"/>
                <w:szCs w:val="18"/>
                <w:color w:val="auto"/>
              </w:rPr>
              <w:t>The following table summarizes the Company's total assets by segment (in thousands):</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24"/>
                <w:szCs w:val="24"/>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risk management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501,540</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Discovery services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235,235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233,749</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737,517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735,289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goodwill and intangible assets acquired through the Company's acquisition of Inventus in January 2016.</w:t>
      </w:r>
    </w:p>
    <w:p>
      <w:pPr>
        <w:sectPr>
          <w:pgSz w:w="11900" w:h="16838" w:orient="portrait"/>
          <w:cols w:equalWidth="0" w:num="1">
            <w:col w:w="11420"/>
          </w:cols>
          <w:pgMar w:left="240" w:top="125" w:right="2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The Company markets its solutions to companies around the world. Revenue is attributed to geographic areas based on the country in which the client is domiciled. The following table presents revenue by location and revenue generated by country as a percentage of total revenue for the applicable period, for countries representing 10% or more of revenues for one or more of the periods presented (dollars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gridSpan w:val="7"/>
          </w:tcPr>
          <w:p>
            <w:pPr>
              <w:ind w:left="740"/>
              <w:spacing w:after="0"/>
              <w:rPr>
                <w:sz w:val="20"/>
                <w:szCs w:val="20"/>
                <w:color w:val="auto"/>
              </w:rPr>
            </w:pPr>
            <w:r>
              <w:rPr>
                <w:rFonts w:ascii="Arial" w:cs="Arial" w:eastAsia="Arial" w:hAnsi="Arial"/>
                <w:sz w:val="16"/>
                <w:szCs w:val="16"/>
                <w:b w:val="1"/>
                <w:bCs w:val="1"/>
                <w:color w:val="auto"/>
              </w:rPr>
              <w:t>Three Months Ended March 31,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9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48,241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47,526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Japan</w:t>
            </w:r>
          </w:p>
        </w:tc>
        <w:tc>
          <w:tcPr>
            <w:tcW w:w="3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9,414</w:t>
            </w:r>
          </w:p>
        </w:tc>
        <w:tc>
          <w:tcPr>
            <w:tcW w:w="1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9,005</w:t>
            </w:r>
          </w:p>
        </w:tc>
        <w:tc>
          <w:tcPr>
            <w:tcW w:w="1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4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24,857</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23,204</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33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4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82,512</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79,735</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480" w:type="dxa"/>
            <w:vAlign w:val="bottom"/>
            <w:vMerge w:val="restart"/>
          </w:tcPr>
          <w:p>
            <w:pPr>
              <w:jc w:val="right"/>
              <w:ind w:right="970"/>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(“SEC”) on February 28, 2017.</w:t>
      </w:r>
    </w:p>
    <w:p>
      <w:pPr>
        <w:spacing w:after="0" w:line="18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patent acquisition spending, our acquisition of Inventus, and our competitive position. These statements are based on the beliefs and assumptions of our management based on information that is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 on February 28, 2017.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Since our founding in 2008, we have been providing an alternative to litigation through our patent risk management services. In January 2016, through our acquisition of Inventus, we began offering technology-enabled discovery services to our clients.</w:t>
      </w:r>
    </w:p>
    <w:p>
      <w:pPr>
        <w:spacing w:after="0" w:line="170" w:lineRule="exact"/>
        <w:rPr>
          <w:sz w:val="20"/>
          <w:szCs w:val="20"/>
          <w:color w:val="auto"/>
        </w:rPr>
      </w:pPr>
    </w:p>
    <w:p>
      <w:pPr>
        <w:jc w:val="both"/>
        <w:ind w:right="160" w:firstLine="446"/>
        <w:spacing w:after="0" w:line="264" w:lineRule="auto"/>
        <w:rPr>
          <w:sz w:val="20"/>
          <w:szCs w:val="20"/>
          <w:color w:val="auto"/>
        </w:rPr>
      </w:pPr>
      <w:r>
        <w:rPr>
          <w:rFonts w:ascii="Arial" w:cs="Arial" w:eastAsia="Arial" w:hAnsi="Arial"/>
          <w:sz w:val="18"/>
          <w:szCs w:val="18"/>
          <w:color w:val="auto"/>
        </w:rPr>
        <w:t>We help companies reduce patent-related risk and corporate legal expense by providing two primary service offerings: (1) a subscription-based patent risk management service offering that facilitates more efficient exchanges of value between owners and users of patents compared to transactions driven by actual or threatened litigation, and (2) a discovery services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Risk Management</w:t>
      </w:r>
    </w:p>
    <w:p>
      <w:pPr>
        <w:spacing w:after="0" w:line="77" w:lineRule="exact"/>
        <w:rPr>
          <w:sz w:val="20"/>
          <w:szCs w:val="20"/>
          <w:color w:val="auto"/>
        </w:rPr>
      </w:pPr>
    </w:p>
    <w:p>
      <w:pPr>
        <w:ind w:right="40" w:firstLine="446"/>
        <w:spacing w:after="0" w:line="291" w:lineRule="auto"/>
        <w:rPr>
          <w:sz w:val="20"/>
          <w:szCs w:val="20"/>
          <w:color w:val="auto"/>
        </w:rPr>
      </w:pPr>
      <w:r>
        <w:rPr>
          <w:rFonts w:ascii="Arial" w:cs="Arial" w:eastAsia="Arial" w:hAnsi="Arial"/>
          <w:sz w:val="16"/>
          <w:szCs w:val="16"/>
          <w:color w:val="auto"/>
        </w:rPr>
        <w:t>We serve as a trusted intermediary in the patent marketplace. Our business model aligns our interests with those of our clients, with whom we have developed trusted relationships. Our patent risk management services clients include companies that design, make, or sell technology-based products and services as well as companies that use technology in their businesses, and which face legal claims for patent infringement. We have not asserted and will not assert our patents. We have never initiated patent infringement litigation, and our clients receive guarantees that we will never assert patents against them. We consider this guarantee to be of paramount importance in establishing trust with our clients. In a market with limited publicly available data on pricing and terms of licenses and litigation settlement, we believe our data and market intelligence is a valuable resource for our clients and prospects. In exchange for an upfront annual subscription fee, we provide the following to our patent risk management clients throughout the duration of their membership:</w:t>
      </w:r>
    </w:p>
    <w:p>
      <w:pPr>
        <w:spacing w:after="0" w:line="19"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review and analysis of patents offered for sale, including analysis of patent quality, validity, and commercial significance;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defensive patent acquisition, through which we acquire patents and patent rights on behalf of all of our patent risk management clients;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facilitation of syndicated transactions;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art searches;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proprietary periodic analysis and publication of patent market trends;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tracking of all US patent applications and issuances, patent litigation activity, and associated parties; and</w:t>
      </w:r>
    </w:p>
    <w:p>
      <w:pPr>
        <w:spacing w:after="0" w:line="9" w:lineRule="exact"/>
        <w:rPr>
          <w:rFonts w:ascii="Arial" w:cs="Arial" w:eastAsia="Arial" w:hAnsi="Arial"/>
          <w:sz w:val="18"/>
          <w:szCs w:val="18"/>
          <w:color w:val="auto"/>
        </w:rPr>
      </w:pPr>
    </w:p>
    <w:p>
      <w:pPr>
        <w:ind w:left="1300" w:right="420" w:hanging="320"/>
        <w:spacing w:after="0" w:line="261"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publication and provision of patent-related data to governmental and regulatory bodies to inform public policy discussion about patent reform and trends.</w:t>
      </w:r>
    </w:p>
    <w:p>
      <w:pPr>
        <w:spacing w:after="0" w:line="18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Access to these services is available primarily through discussions with our professionals—particularly client relations and our team of patent experts, as well as through a proprietary database, and attendance at periodic conferences.</w:t>
      </w:r>
    </w:p>
    <w:p>
      <w:pPr>
        <w:spacing w:after="0" w:line="170" w:lineRule="exact"/>
        <w:rPr>
          <w:sz w:val="20"/>
          <w:szCs w:val="20"/>
          <w:color w:val="auto"/>
        </w:rPr>
      </w:pPr>
    </w:p>
    <w:p>
      <w:pPr>
        <w:jc w:val="both"/>
        <w:ind w:right="160" w:firstLine="446"/>
        <w:spacing w:after="0" w:line="264" w:lineRule="auto"/>
        <w:rPr>
          <w:sz w:val="20"/>
          <w:szCs w:val="20"/>
          <w:color w:val="auto"/>
        </w:rPr>
      </w:pPr>
      <w:r>
        <w:rPr>
          <w:rFonts w:ascii="Arial" w:cs="Arial" w:eastAsia="Arial" w:hAnsi="Arial"/>
          <w:sz w:val="18"/>
          <w:szCs w:val="18"/>
          <w:color w:val="auto"/>
        </w:rPr>
        <w:t>Insuring against the costs of patent infringement litigation is a natural extension of our patent risk management membership. Our patent infringement litigation expense insurance is a liability insurance policy that covers certain costs associated with patent infringement lawsuits. We assume some portion of the underwriting risk on the insurance policies that we issue on behalf of a Lloyd's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of London underwriting syndicate. The effect of the insurance policies that we have issued or assumed through our reinsurance business was not material to our results of operations or financial condition for the three months ended March 31, 2017 or 2016.</w:t>
      </w:r>
    </w:p>
    <w:p>
      <w:pPr>
        <w:spacing w:after="0" w:line="170" w:lineRule="exact"/>
        <w:rPr>
          <w:sz w:val="20"/>
          <w:szCs w:val="20"/>
          <w:color w:val="auto"/>
        </w:rPr>
      </w:pPr>
    </w:p>
    <w:p>
      <w:pPr>
        <w:ind w:right="200" w:firstLine="446"/>
        <w:spacing w:after="0" w:line="272" w:lineRule="auto"/>
        <w:rPr>
          <w:sz w:val="20"/>
          <w:szCs w:val="20"/>
          <w:color w:val="auto"/>
        </w:rPr>
      </w:pPr>
      <w:r>
        <w:rPr>
          <w:rFonts w:ascii="Arial" w:cs="Arial" w:eastAsia="Arial" w:hAnsi="Arial"/>
          <w:sz w:val="17"/>
          <w:szCs w:val="17"/>
          <w:color w:val="auto"/>
        </w:rPr>
        <w:t>In our defensive patent acquisition activities, we acquire patents, licenses to patents, patent rights and agreements for covenants not to sue, which we collectively refer to as “patent assets.”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From our inception through March 31, 2017, we have reviewed over 8,500 patent asset portfolios, completed 404 acquisitions of patent asset portfolios with gross and net patent acquisition spend of $2.3 billion and $978.5 million, respectively. During the three months ended March 31, 2017, we completed 19 acquisitions of patent assets and our gross and net patent acquisition spend totaled $62.8 million and $31.1 million, respectively.</w:t>
      </w:r>
    </w:p>
    <w:p>
      <w:pPr>
        <w:spacing w:after="0" w:line="178" w:lineRule="exact"/>
        <w:rPr>
          <w:sz w:val="20"/>
          <w:szCs w:val="20"/>
          <w:color w:val="auto"/>
        </w:rPr>
      </w:pPr>
    </w:p>
    <w:p>
      <w:pPr>
        <w:ind w:right="400" w:firstLine="446"/>
        <w:spacing w:after="0" w:line="259" w:lineRule="auto"/>
        <w:rPr>
          <w:sz w:val="20"/>
          <w:szCs w:val="20"/>
          <w:color w:val="auto"/>
        </w:rPr>
      </w:pPr>
      <w:r>
        <w:rPr>
          <w:rFonts w:ascii="Arial" w:cs="Arial" w:eastAsia="Arial" w:hAnsi="Arial"/>
          <w:sz w:val="18"/>
          <w:szCs w:val="18"/>
          <w:color w:val="auto"/>
        </w:rPr>
        <w:t>During the three months ended March 31, 2017 and 2016, revenue from our patent risk management services was $64.5 million and $69.2 million, respectively. As of March 31, 2017, our patent risk management segment had more than 300 clients, consisting of our patent risk management network members and insurance clients. We provide patent risk management services to more than 400 companies, including those insured under policies sold to venture funds and industry trade associations.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Discovery Services</w:t>
      </w:r>
    </w:p>
    <w:p>
      <w:pPr>
        <w:spacing w:after="0" w:line="77"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Through our wholly owned subsidiary Inventus, in 2016 we began offering technology-enabled discovery services to assist law firms and corporate legal departments manage costs and risks related to the litigation discovery process. Our discovery service offering focuses on the process of consolidation and organization of data into meaningful discovery information powered by a mix of third-party and proprietary software. This allows our discovery services clients to efficiently and effectively manage a portfolio of litigation discovery matters in a central location.</w:t>
      </w:r>
    </w:p>
    <w:p>
      <w:pPr>
        <w:spacing w:after="0" w:line="171"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Our more than 1,000 discovery services clients in approximately a dozen countries benefit from our discovery services, which include data hosting and backup, data processing and collection, project management, document review, and traditional document production. All of these services are designed to streamline the administration of litigation, investigations, and regulatory compliance. During the three months ended March 31, 2017 and 2016, revenue from our discovery services was $18.0 million and $10.6 million, respectively. Certain of our discovery services operations are denominated in currencies other than the U.S. dollar, primarily the British pound sterling and the Euro, and therefore these operations are exposed to foreign exchange rate fluctuations.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Subscription revenue includes membership subscriptions to our patent risk management services, premiums earned, net of ceding commissions, from insurance policies, and management fees related to our insurance business. Historically, the majority of our revenue has consisted of fees paid by our clients under subscription agreements. Subscription revenue will be positively or negatively impacted by the financial performance of our patent risk management clients since their subscription fees typically reset annually based upon their most recently reported annual financial results. In August 2012, we launched our insurance product and started to recognize insurance premium revenue from the insurance policies that we underwrite. As the primary insurer, we had been recognizing the full insurance premium as revenue. In May 2014, we began to assume a portion of the underwriting risk on insurance policies that we issue on behalf of a Lloyd's of London underwriting syndicate, and as a result we recognize only the portion of the underwriting risk that we assume. In addition, we receive management fees for marketing, underwriting, and claims management services. Although we expect this revenue to increase as we sell more insurance policies in the future, for the three months ended March 31, 2017 and 2016, insurance premium revenue was not material to our results of operations.</w:t>
      </w:r>
    </w:p>
    <w:p>
      <w:pPr>
        <w:spacing w:after="0" w:line="195" w:lineRule="exact"/>
        <w:rPr>
          <w:sz w:val="20"/>
          <w:szCs w:val="20"/>
          <w:color w:val="auto"/>
        </w:rPr>
      </w:pPr>
    </w:p>
    <w:p>
      <w:pPr>
        <w:ind w:right="700" w:firstLine="486"/>
        <w:spacing w:after="0" w:line="286" w:lineRule="auto"/>
        <w:rPr>
          <w:sz w:val="20"/>
          <w:szCs w:val="20"/>
          <w:color w:val="auto"/>
        </w:rPr>
      </w:pPr>
      <w:r>
        <w:rPr>
          <w:rFonts w:ascii="Arial" w:cs="Arial" w:eastAsia="Arial" w:hAnsi="Arial"/>
          <w:sz w:val="17"/>
          <w:szCs w:val="17"/>
          <w:color w:val="auto"/>
        </w:rPr>
        <w:t>We recognize revenue from the sale of licenses and advisory fee income in connection with syndicated acquisitions through our patent risk management services, which we collectively refer to as fee-related revenue. In the future, we may receive other revenue and fee income from newly-introduced products and services. Our fee-related revenue may fluctuate significantly from period to period.</w:t>
      </w:r>
    </w:p>
    <w:p>
      <w:pPr>
        <w:spacing w:after="0" w:line="16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Discovery revenue represents fees generated from services rendered in connection with our discovery services. These services are typically comprised of document collection and processing, document review, document production, and project management, and are generally billed in arrears based on the number of users, amount of data stored, or number of consulting hours. Our discovery revenue may fluctuate significantly based on the project-oriented nature of the discovery services we provide.</w:t>
      </w:r>
    </w:p>
    <w:p>
      <w:pPr>
        <w:spacing w:after="0" w:line="18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We do not believe that our rate of growth since inception is representative of anticipated future revenue growth and we may experience a year-over-year decline in revenue in future periods.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Cost of revenue from our patent risk management services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from our patent risk management service are expenses incurred to maintain our patents, prosecute our patent applications, conduct inter partes reviews and prior art searches, and amortization expense for acquired intangible assets and internally developed software. With the launch of our insurance offering in August 2012, cost of revenue from our patent risk management services began to include premiums ceded to reinsurers and loss reserves. We began to issue new policies under a reinsurance model in May 2014 and under this model we do not cede premiums.</w:t>
      </w:r>
    </w:p>
    <w:p>
      <w:pPr>
        <w:spacing w:after="0" w:line="189"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Our cost of revenue from our patent risk management services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periods immediately following the acquisition. Estimating the economic useful lives of our patent assets depends on various factors including whether we acquire patents or licenses to patents, and the remaining statutory life of the underlying patents, either of which could result in shorter amortization periods. We believe that amortization periods of patent assets to be acquired in future periods may be amortized over shorter periods than the historical weighted-average of 40 months, which may cause our cost of revenue to increase. Our cost of revenue from our patent risk management services may fluctuate in the future as it is dependent on the level of patent asset purchases, the amortization period of the patent assets we acquire, and the level of insurance policies we issue.</w:t>
      </w:r>
    </w:p>
    <w:p>
      <w:pPr>
        <w:spacing w:after="0" w:line="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Cost of revenue from our discovery services primarily consists of compensation costs for employees and third-party contractors who deliver services to our clients, costs incurred to maintain, secure, and store hosted data, license fees for the software we utilize in our discovery services process, and amortization of our identifiable intangible assets for technology used to provide our discovery services to our clients. Our cost of revenue related to hosting data and software license fees is primarily fixed but can fluctuate based on levels of data hosted and number of users our clients choose to have access to the software. Our cost of revenue related to document review services is primarily variable and may fluctuate significantly based on the review services provided to our clients.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Selling, general and administrative expenses consist of salaries and related expenses, including stock-based compensation expense, amortization related to our intangible assets, cost of marketing programs, legal costs, professional fees, travel costs, facility costs, and other corporate expenses. We expect that in the foreseeable future, selling, general, and administrative expenses may decrease when compared to the prior year period as we seek to effectively manage expenses although such expenses could fluctuate from period to period.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7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Interest and other income (expense), net consists of interest income earned on our cash, cash equivalents, and short-term investments, interest expense incurred on our term debt, gains or losses due to foreign currency fluctuations, as well as changes in fair value of our deferred payment obligations. Our interest and other income (expense), net may fluctuate significantly as our long-term debt bears interest in line with the London interbank offered rate and our results of operations and cash flows are subject to fluctuations due to changes in foreign currency exchange rates, particularly changes in the British pound sterling, Japanese yen, and Euro relative to the U.S. dollar.</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181"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during the three months ended March 31, 2017, as compared to the significant accounting policies presented under the heading “Basis of Presentation and Significant Accounting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Policies” in Note 2 of the Notes to Consolidated Financial Statements in Part II, Item 8 of our Annual Report on Form 10-K filed with the SEC on February 28, 2017.</w:t>
      </w:r>
    </w:p>
    <w:p>
      <w:pPr>
        <w:spacing w:after="0" w:line="170"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No. 2016-09,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Compensation (Topic 718) </w:t>
      </w:r>
      <w:r>
        <w:rPr>
          <w:rFonts w:ascii="Arial" w:cs="Arial" w:eastAsia="Arial" w:hAnsi="Arial"/>
          <w:sz w:val="18"/>
          <w:szCs w:val="18"/>
          <w:color w:val="auto"/>
        </w:rPr>
        <w:t>("ASU 2016-09"). ASU 2016-09 identifies areas for simplification involving several aspects of accounting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in this update became effective in the first quarter of 2017. We adopted this standard on January 1, 2017 and the standard did not have a material impact on our consolidated financial statements.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Our recent accounting pronouncements are described in more detail in Note 2, "Basis of Presentation and Significant Accounting Policies," in Notes to Condensed Consolidated Financial Statements (unaudited) in Part I, Item 1 of this Quarterly Report on Form 10-Q.</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40" w:firstLine="446"/>
        <w:spacing w:after="0" w:line="308" w:lineRule="auto"/>
        <w:rPr>
          <w:sz w:val="20"/>
          <w:szCs w:val="20"/>
          <w:color w:val="auto"/>
        </w:rPr>
      </w:pPr>
      <w:r>
        <w:rPr>
          <w:rFonts w:ascii="Arial" w:cs="Arial" w:eastAsia="Arial" w:hAnsi="Arial"/>
          <w:sz w:val="17"/>
          <w:szCs w:val="17"/>
          <w:color w:val="auto"/>
        </w:rPr>
        <w:t>The following table sets forth our condensed consolidated statement of operations data for each of the periods indicated, including segment information (in thousands). Our historical results are not necessarily indicative of our results of operations to be expected for any future period.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37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64,486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69,157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3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10,578</w:t>
            </w:r>
          </w:p>
        </w:tc>
        <w:tc>
          <w:tcPr>
            <w:tcW w:w="0" w:type="dxa"/>
            <w:vAlign w:val="bottom"/>
          </w:tcPr>
          <w:p>
            <w:pPr>
              <w:spacing w:after="0"/>
              <w:rPr>
                <w:sz w:val="1"/>
                <w:szCs w:val="1"/>
                <w:color w:val="auto"/>
              </w:rPr>
            </w:pPr>
          </w:p>
        </w:tc>
      </w:tr>
      <w:tr>
        <w:trPr>
          <w:trHeight w:val="237"/>
        </w:trPr>
        <w:tc>
          <w:tcPr>
            <w:tcW w:w="48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79,735</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3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42,632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3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37"/>
        </w:trPr>
        <w:tc>
          <w:tcPr>
            <w:tcW w:w="4860" w:type="dxa"/>
            <w:vAlign w:val="bottom"/>
          </w:tcPr>
          <w:p>
            <w:pPr>
              <w:ind w:left="500"/>
              <w:spacing w:after="0"/>
              <w:rPr>
                <w:sz w:val="20"/>
                <w:szCs w:val="20"/>
                <w:color w:val="auto"/>
              </w:rPr>
            </w:pPr>
            <w:r>
              <w:rPr>
                <w:rFonts w:ascii="Arial" w:cs="Arial" w:eastAsia="Arial" w:hAnsi="Arial"/>
                <w:sz w:val="18"/>
                <w:szCs w:val="18"/>
                <w:color w:val="auto"/>
              </w:rPr>
              <w:t>Total cost of revenue</w:t>
            </w:r>
          </w:p>
        </w:tc>
        <w:tc>
          <w:tcPr>
            <w:tcW w:w="3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47,666</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3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21,934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3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37"/>
        </w:trPr>
        <w:tc>
          <w:tcPr>
            <w:tcW w:w="4860" w:type="dxa"/>
            <w:vAlign w:val="bottom"/>
          </w:tcPr>
          <w:p>
            <w:pPr>
              <w:ind w:left="500"/>
              <w:spacing w:after="0"/>
              <w:rPr>
                <w:sz w:val="20"/>
                <w:szCs w:val="20"/>
                <w:color w:val="auto"/>
              </w:rPr>
            </w:pPr>
            <w:r>
              <w:rPr>
                <w:rFonts w:ascii="Arial" w:cs="Arial" w:eastAsia="Arial" w:hAnsi="Arial"/>
                <w:sz w:val="18"/>
                <w:szCs w:val="18"/>
                <w:color w:val="auto"/>
              </w:rPr>
              <w:t>Total selling, general and administrative expenses</w:t>
            </w:r>
          </w:p>
        </w:tc>
        <w:tc>
          <w:tcPr>
            <w:tcW w:w="3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3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3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7"/>
        </w:trPr>
        <w:tc>
          <w:tcPr>
            <w:tcW w:w="4860" w:type="dxa"/>
            <w:vAlign w:val="bottom"/>
          </w:tcPr>
          <w:p>
            <w:pPr>
              <w:ind w:left="500"/>
              <w:spacing w:after="0"/>
              <w:rPr>
                <w:sz w:val="20"/>
                <w:szCs w:val="20"/>
                <w:color w:val="auto"/>
              </w:rPr>
            </w:pPr>
            <w:r>
              <w:rPr>
                <w:rFonts w:ascii="Arial" w:cs="Arial" w:eastAsia="Arial" w:hAnsi="Arial"/>
                <w:sz w:val="18"/>
                <w:szCs w:val="18"/>
                <w:color w:val="auto"/>
              </w:rPr>
              <w:t>Total operating income</w:t>
            </w:r>
          </w:p>
        </w:tc>
        <w:tc>
          <w:tcPr>
            <w:tcW w:w="3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3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5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5,993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500" w:type="dxa"/>
            <w:vAlign w:val="bottom"/>
            <w:vMerge w:val="restart"/>
          </w:tcPr>
          <w:p>
            <w:pPr>
              <w:jc w:val="right"/>
              <w:ind w:right="2470"/>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6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following table sets forth our condensed consolidated statement of operations data as a percentage of total revenue for each of the periods indicated, including segment information.</w:t>
      </w:r>
    </w:p>
    <w:p>
      <w:pPr>
        <w:spacing w:after="0" w:line="130"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37465</wp:posOffset>
            </wp:positionV>
            <wp:extent cx="20497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0" w:type="dxa"/>
            <w:vAlign w:val="bottom"/>
            <w:gridSpan w:val="2"/>
          </w:tcPr>
          <w:p>
            <w:pPr>
              <w:ind w:left="8820"/>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2016</w:t>
            </w:r>
          </w:p>
        </w:tc>
      </w:tr>
      <w:tr>
        <w:trPr>
          <w:trHeight w:val="33"/>
        </w:trPr>
        <w:tc>
          <w:tcPr>
            <w:tcW w:w="8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58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w:t>
            </w:r>
          </w:p>
        </w:tc>
      </w:tr>
      <w:tr>
        <w:trPr>
          <w:trHeight w:val="27"/>
        </w:trPr>
        <w:tc>
          <w:tcPr>
            <w:tcW w:w="8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53</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Total cost of revenue</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59</w:t>
            </w:r>
          </w:p>
        </w:tc>
      </w:tr>
      <w:tr>
        <w:trPr>
          <w:trHeight w:val="27"/>
        </w:trPr>
        <w:tc>
          <w:tcPr>
            <w:tcW w:w="8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28</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Total selling, general and administrative expenses</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34</w:t>
            </w:r>
          </w:p>
        </w:tc>
      </w:tr>
      <w:tr>
        <w:trPr>
          <w:trHeight w:val="27"/>
        </w:trPr>
        <w:tc>
          <w:tcPr>
            <w:tcW w:w="8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6</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r>
      <w:tr>
        <w:trPr>
          <w:trHeight w:val="237"/>
        </w:trPr>
        <w:tc>
          <w:tcPr>
            <w:tcW w:w="8200" w:type="dxa"/>
            <w:vAlign w:val="bottom"/>
          </w:tcPr>
          <w:p>
            <w:pPr>
              <w:ind w:left="380"/>
              <w:spacing w:after="0"/>
              <w:rPr>
                <w:sz w:val="20"/>
                <w:szCs w:val="20"/>
                <w:color w:val="auto"/>
              </w:rPr>
            </w:pPr>
            <w:r>
              <w:rPr>
                <w:rFonts w:ascii="Arial" w:cs="Arial" w:eastAsia="Arial" w:hAnsi="Arial"/>
                <w:sz w:val="18"/>
                <w:szCs w:val="18"/>
                <w:color w:val="auto"/>
              </w:rPr>
              <w:t>Total operating income</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r>
      <w:tr>
        <w:trPr>
          <w:trHeight w:val="257"/>
        </w:trPr>
        <w:tc>
          <w:tcPr>
            <w:tcW w:w="8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and 2016</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total revenue for each of the periods indicated, including revenue by segment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63,367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67,112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Fee-related revenue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2,045</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patent risk management revenue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64,486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69,157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Discovery services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10,578</w:t>
            </w:r>
          </w:p>
        </w:tc>
      </w:tr>
      <w:tr>
        <w:trPr>
          <w:trHeight w:val="257"/>
        </w:trPr>
        <w:tc>
          <w:tcPr>
            <w:tcW w:w="836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82,512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79,735</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Our revenue for the three months ended March 31, 2017 was $82.5 million compared to $79.7 million during the same period a year prior, an increase of $2.8 million, or 4%. Subscription revenue, which includes membership subscriptions to our patent risk management services, premiums earned from insurance policies, and management fees, for the three months ended March 31, 2017 was $63.4 million compared to $67.1 million for the three months ended March 31, 2016. The decrease in subscription revenue was primarily attributable to a decrease of $6.5 million from clients who joined our network prior to March 31, 2016 and, in certain cases, may no longer be a part of our network as of March 31, 2017, partially offset by an increase in membership fees and insurance premiums of $2.8 million from new clients who joined our network subsequent to March 31, 2016. As of March 31, 2017, our patent risk management segment had more than 300 clients, consisting of patent risk management network members and insurance clients, as compared to approximately 260 clients as of March 31, 2016. We provided patent risk management services to more than 400 companies, including those insured under policies sold to venture funds and industry trade associations as of March 31, 2017, as compared to approximately 290 as of March 31,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Revenue for the three months ended March 31, 2017 and 2016 included fee-related revenue of $1.1 million and $2.0 million, respectively, generated from our patent risk management business.</w:t>
      </w:r>
    </w:p>
    <w:p>
      <w:pPr>
        <w:spacing w:after="0" w:line="170"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Discovery revenue, which includes fees generated from data collection, hosting and processing, project management, and document review services, for the three months ended March 31, 2017 was $18.0 million compared to $10.6 million in the same period a year prior. The increase is primarily attributable to an increase in fees generated from document review services during the three months ended March 31, 2017 as compared to the prior year period. The increase is also attributable to fees generated from discovery services for a full quarter during the three months ended March 31, 2017, compared to a partial quarter during the three months ended March 31, 2016, as we started offering our discovery services through our acquisition of Inventus on January 22, 2016.</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w:t>
      </w:r>
    </w:p>
    <w:p>
      <w:pPr>
        <w:spacing w:after="0" w:line="7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Our cost of revenue for the three months ended March 31, 2017 was $51.3 million compared to $47.7 million during the same period a year prior, an increase of $3.6 million, or 8%. Cost of revenue from our patent risk management services for the three months ended March 31, 2017 was $41.4 million compared to $42.6 million for the three months ended March 31, 2016. The decrease in our cost of revenue from our patent risk management services is primarily attributable to a decrease in patent amortization expense of $2.0 million primarily due to the impact of decreased patent spending in the year ended December 31, 2016 and the three months ended March 31, 2017, as compared to the years ended December 31, 2015 and 2014, partially offset by an increase in cost of revenue of $0.6 million related to our patent infringement litigation insurance.</w:t>
      </w:r>
    </w:p>
    <w:p>
      <w:pPr>
        <w:spacing w:after="0" w:line="178"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Cost of revenue from our discovery services for the three months ended March 31, 2017 was $9.9 million compared to $5.0 million for the three months ended March 31, 2016. The increase in our cost of revenue from our discovery services is primarily attributable to an increase in the cost of revenue related to our document review services during the three months ended March 31, 2017 as compared to the prior year period. This increase is also attributable to offering discovery services for a full quarter during the three months ended March 31, 2017, compared to a partial quarter during the three months ended March 31, 2016, as we started offering our discovery services through our acquisition of Inventus on January 22, 2016.</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7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Our selling, general and administrative expenses for the three months ended March 31, 2017 were $21.1 million compared to $26.9 million during the same period a year prior, a decrease of $5.8 million, or 22%. The selling, general and administrative expenses generated from our patent risk management services for the three months ended March 31, 2017 was $14.4 million compared to $21.9 million for the three months ended March 31, 2016. This decrease is primarily attributable to a $4.4 million decrease in personnel-related costs, including stock-based compensation, due to a decrease in headcount as well as executive management changes during the three months ended March 31, 2017. This decrease was also due to a $1.6 million decrease in professional services and a $0.6 million decrease in our bad debt expense during the three months ended March 31, 2017 as compared to the prior year period.</w:t>
      </w:r>
    </w:p>
    <w:p>
      <w:pPr>
        <w:spacing w:after="0" w:line="165" w:lineRule="exact"/>
        <w:rPr>
          <w:sz w:val="20"/>
          <w:szCs w:val="20"/>
          <w:color w:val="auto"/>
        </w:rPr>
      </w:pPr>
    </w:p>
    <w:p>
      <w:pPr>
        <w:ind w:right="300" w:firstLine="486"/>
        <w:spacing w:after="0" w:line="302" w:lineRule="auto"/>
        <w:rPr>
          <w:sz w:val="20"/>
          <w:szCs w:val="20"/>
          <w:color w:val="auto"/>
        </w:rPr>
      </w:pPr>
      <w:r>
        <w:rPr>
          <w:rFonts w:ascii="Arial" w:cs="Arial" w:eastAsia="Arial" w:hAnsi="Arial"/>
          <w:sz w:val="16"/>
          <w:szCs w:val="16"/>
          <w:color w:val="auto"/>
        </w:rPr>
        <w:t>Selling, general and administrative expenses from our discovery services for the three months ended March 31, 2017 was $6.7 million compared to $5.0 million for the three months ended March 31, 2016. The increase in the selling, general and administrative expenses from our discovery services is primarily attributable to our offering of discovery services for a full quarter during the three months ended March 31, 2017, compared to a partial quarter during the three months ended March 31, 2016, as we started offering our discovery services through our acquisition of Inventus on January 22, 2016.</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7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Our interest and other expense, net for the three months ended March 31, 2017 was $0.5 million compared to interest and other income, net of $1.8 million during the same period a year prior, a decrease of $2.3 million. The decrease was primarily due to a decrease of $1.9 million in fair value adjustments on our deferred payment obligations and an increase of $0.6 million of interest expense incurred on our term debt.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Provision for Income Taxes</w:t>
      </w:r>
    </w:p>
    <w:p>
      <w:pPr>
        <w:spacing w:after="0" w:line="77" w:lineRule="exact"/>
        <w:rPr>
          <w:sz w:val="20"/>
          <w:szCs w:val="20"/>
          <w:color w:val="auto"/>
        </w:rPr>
      </w:pPr>
    </w:p>
    <w:p>
      <w:pPr>
        <w:ind w:right="640" w:firstLine="486"/>
        <w:spacing w:after="0" w:line="308" w:lineRule="auto"/>
        <w:rPr>
          <w:sz w:val="20"/>
          <w:szCs w:val="20"/>
          <w:color w:val="auto"/>
        </w:rPr>
      </w:pPr>
      <w:r>
        <w:rPr>
          <w:rFonts w:ascii="Arial" w:cs="Arial" w:eastAsia="Arial" w:hAnsi="Arial"/>
          <w:sz w:val="17"/>
          <w:szCs w:val="17"/>
          <w:color w:val="auto"/>
        </w:rPr>
        <w:t>Our provision for income taxes was $3.6 million and $2.7 million for the three months ended March 31, 2017 and 2016. Our effective tax rate, including the impact of discrete items, was 37% and 39% for the three months ended March 31, 2017 and 2016, respectively.</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81"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supplement our consolidated financial statements presented on a GAAP basis with non-GAAP adjusted EBITDA less net patent spend as we believe that this non-GAAP measure provides useful information about core operating results and thus is appropriate to enhance the overall understanding of our past financial performance and our prospects for the future. We define non-GAAP adjusted EBITDA as net income exclusive of provision for income taxes, interest and other income (expense), net, stock-based compensation, including employer payroll taxes, depreciation, and amortization. We use this non-GAAP measure to evaluate our financial results and trends, allocate internal resources, prepare and approve our annual budget, develop short- and long-term operating plans, and assess the health of our business. We believe this non-GAAP measure may prove useful to investors who wish to consider the impact of certain items when comparing our financial performance with that of other companies. The adjustments to our GAAP results are made with the intent of providing both management and investors a more complete understanding of our underlying operational results, trends, and performance.</w:t>
      </w:r>
    </w:p>
    <w:p>
      <w:pPr>
        <w:spacing w:after="0" w:line="166"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are limited in value because they exclude certain items that may have a material impact on our reported financial results. In addition, they are subject to inherent limitations as they reflect the exercise of judgment by management about which items are adjusted to calculate our non-GAAP financial measures. Management compensates for these limitations by analyzing current and future results on a GAAP basis as well as a non-GAAP basis and also by providing GAAP measures in our public disclosures.</w:t>
      </w:r>
    </w:p>
    <w:p>
      <w:pPr>
        <w:spacing w:after="0" w:line="158"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The presentation of additional information should not be considered in isolation or as a substitute for or superior to financial results determined in accordance with GAAP. Investors are encouraged to review the reconciliation of these non-GAAP measures to their most directly comparable GAAP financial measure and not to rely on any single financial measure to evaluate our business.</w:t>
      </w:r>
    </w:p>
    <w:p>
      <w:pPr>
        <w:spacing w:after="0" w:line="181" w:lineRule="exact"/>
        <w:rPr>
          <w:sz w:val="20"/>
          <w:szCs w:val="20"/>
          <w:color w:val="auto"/>
        </w:rPr>
      </w:pPr>
    </w:p>
    <w:p>
      <w:pPr>
        <w:ind w:right="200" w:firstLine="446"/>
        <w:spacing w:after="0" w:line="308" w:lineRule="auto"/>
        <w:rPr>
          <w:sz w:val="20"/>
          <w:szCs w:val="20"/>
          <w:color w:val="auto"/>
        </w:rPr>
      </w:pPr>
      <w:r>
        <w:rPr>
          <w:rFonts w:ascii="Arial" w:cs="Arial" w:eastAsia="Arial" w:hAnsi="Arial"/>
          <w:sz w:val="17"/>
          <w:szCs w:val="17"/>
          <w:color w:val="auto"/>
        </w:rPr>
        <w:t>The following table sets forth the reconciliation of net income to non-GAAP adjusted EBITDA less net patent spend for each of the periods indicated (in thousands). Our historical results are not necessarily indicative of our results of operations to be expected for any future period.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r>
      <w:tr>
        <w:trPr>
          <w:trHeight w:val="33"/>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4,237</w:t>
            </w:r>
          </w:p>
        </w:tc>
      </w:tr>
      <w:tr>
        <w:trPr>
          <w:trHeight w:val="243"/>
        </w:trPr>
        <w:tc>
          <w:tcPr>
            <w:tcW w:w="812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2,742</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and 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r>
      <w:tr>
        <w:trPr>
          <w:trHeight w:val="243"/>
        </w:trPr>
        <w:tc>
          <w:tcPr>
            <w:tcW w:w="8120" w:type="dxa"/>
            <w:vAlign w:val="bottom"/>
          </w:tcPr>
          <w:p>
            <w:pPr>
              <w:ind w:left="360"/>
              <w:spacing w:after="0"/>
              <w:rPr>
                <w:sz w:val="20"/>
                <w:szCs w:val="20"/>
                <w:color w:val="auto"/>
              </w:rPr>
            </w:pPr>
            <w:r>
              <w:rPr>
                <w:rFonts w:ascii="Arial" w:cs="Arial" w:eastAsia="Arial" w:hAnsi="Arial"/>
                <w:sz w:val="18"/>
                <w:szCs w:val="18"/>
                <w:color w:val="auto"/>
              </w:rPr>
              <w:t>Stock-based compensation, including related taxes</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5,022</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44,555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Non-GAAP adjusted EBITDA</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55,897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54,751</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patent spend</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(16,249)</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Non-GAAP adjusted EBITDA less net patent spend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24,767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38,502</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We have financed substantially all of our operations and patent asset acquisitions through subscription and other fees collected from our clients, patent-seller financing, the sale of equity securities, and from borrowing through term loan facilities. As of March 31, 2017, we had $158.3 million of cash and cash equivalents and $68.3 million in short-term investments. In January 2016, we paid aggregate consideration of $232 million in cash, net of working capital adjustments, at the closing of the Inventus transaction. On February 26, 2016, we entered into a credit agreement for a $100 million five-year term facility and a $50 million five-year revolving credit facility, which contains financial covenants requiring us to maintain certain leverage and fixed charge ratios which may impact our spending patterns and limits in the future. As of March 31, 2017, the total balance outstanding on the term facility was $95.0 million, and the revolving credit facility remains undrawn. Our debt facilities and repayment schedule are described in more detail in Note 11, "Debt," in Notes to Condensed Consolidated Financial Statements (unaudited) in Part I, Item 1 of this Quarterly Report on Form 10-Q.</w:t>
      </w:r>
    </w:p>
    <w:p>
      <w:pPr>
        <w:spacing w:after="0" w:line="179"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and discovery services businesses, and development of new products and services. We may experience fluctuations in patent acquisition spending as we acquire patent assets that will benefit our clients. Our cash used in investing activities may increase in the future as we acquire additional patent assets. Our cash used in financing activities may increase in the future as we execute our stock repurchase program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by purchasing RPX shares.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(65,575)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Foreign-currency effect on cash and cash equivalents</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58,212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62,730</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Cash provided by operating activities for the three months ended March 31, 2017 was $75.2 million, consisting of adjustments for non-cash items of $47.6 million, changes in working capital and non-current assets and liabilities of $21.6 million and net income of $6.0 million. Non-cash adjustments to net income primarily consisted of $42.9 million of depreciation and amortization, $2.7 million of stock-based compensation, $2.1 million net change in our deferred taxes, and a $0.5 million of amortization of premium on investments, partially offset by $0.5 million of other cash reductions and an unrealized gain of $0.2 million due to foreign currency fluctuations. The change in working capital and non-current assets and liabilities resulted primarily from a $27.8 million decrease in accounts receivable due to the receipt of payment from a significant patent risk management customer, a $5.8 million increase in deferred revenue, partially offset by a $5.6 million decrease in our accrued and other liabilities, an increase in our prepaid expenses and other assets of $5.6 million, and a $0.8 million decrease in accounts payable.</w:t>
      </w:r>
    </w:p>
    <w:p>
      <w:pPr>
        <w:spacing w:after="0" w:line="179" w:lineRule="exact"/>
        <w:rPr>
          <w:sz w:val="20"/>
          <w:szCs w:val="20"/>
          <w:color w:val="auto"/>
        </w:rPr>
      </w:pPr>
    </w:p>
    <w:p>
      <w:pPr>
        <w:ind w:right="200" w:firstLine="486"/>
        <w:spacing w:after="0" w:line="290" w:lineRule="auto"/>
        <w:rPr>
          <w:sz w:val="20"/>
          <w:szCs w:val="20"/>
          <w:color w:val="auto"/>
        </w:rPr>
      </w:pPr>
      <w:r>
        <w:rPr>
          <w:rFonts w:ascii="Arial" w:cs="Arial" w:eastAsia="Arial" w:hAnsi="Arial"/>
          <w:sz w:val="16"/>
          <w:szCs w:val="16"/>
          <w:color w:val="auto"/>
        </w:rPr>
        <w:t>Cash provided by operating activities for the three months ended March 31, 2016 was $55.1 million, consisting of adjustments for non-cash items of $48.8 million, changes in working capital and non-current assets and liabilities of $2.1 million and net income of $4.2 million. Non-cash adjustments to net income primarily consisted of $44.6 million of depreciation and amortization, $4.9 million of stock-based compensation, $0.7 million net decrease in our deferred taxes excluding those acquired through our acquisition of Inventus in January 2016, and $0.5 million of amortization of premium on investments, partially offset by $1.9 million of fair value adjustments on our deferred payment obligations and an unrealized gain of $0.2 million due to foreign currency fluctuations. The change in working capital and non-current assets and liabilities resulted primarily from a $24.2 million increase in deferred revenue and a $4.5 million decrease in prepaid expenses and other assets partially offset by a $19.3 million increase in accounts receivable, a $7.5 million decrease in our accrued and other liabilities and a $0.1 million decrease in accounts payable.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jc w:val="both"/>
        <w:ind w:right="420" w:firstLine="486"/>
        <w:spacing w:after="0" w:line="264" w:lineRule="auto"/>
        <w:rPr>
          <w:sz w:val="20"/>
          <w:szCs w:val="20"/>
          <w:color w:val="auto"/>
        </w:rPr>
      </w:pPr>
      <w:r>
        <w:rPr>
          <w:rFonts w:ascii="Arial" w:cs="Arial" w:eastAsia="Arial" w:hAnsi="Arial"/>
          <w:sz w:val="18"/>
          <w:szCs w:val="18"/>
          <w:color w:val="auto"/>
        </w:rPr>
        <w:t>Cash used in investing activities for the three months ended March 31, 2017 was $9.9 million, of which $31.4 million was used to acquire patent assets, and $0.4 million was used to acquire property and equipment, and a $0.2 million increase in our restricted cash balances, partially offset by $22.0 million net maturities of short-term investments.</w:t>
      </w:r>
    </w:p>
    <w:p>
      <w:pPr>
        <w:spacing w:after="0" w:line="181"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Cash used in investing activities for the three months ended March 31, 2016 was $65.6 million, of which $228.5 million was used for the acquisition of Inventus, net of cash received, $16.0 million was used to acquire patent assets, $1.0 million was used to acquire property and equipment, and $0.2 million used to increase our restricted cash balances, partially offset by $180.1 million net sales and maturities of short-term investments.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ind w:right="440" w:firstLine="486"/>
        <w:spacing w:after="0" w:line="286" w:lineRule="auto"/>
        <w:rPr>
          <w:sz w:val="20"/>
          <w:szCs w:val="20"/>
          <w:color w:val="auto"/>
        </w:rPr>
      </w:pPr>
      <w:r>
        <w:rPr>
          <w:rFonts w:ascii="Arial" w:cs="Arial" w:eastAsia="Arial" w:hAnsi="Arial"/>
          <w:sz w:val="17"/>
          <w:szCs w:val="17"/>
          <w:color w:val="auto"/>
        </w:rPr>
        <w:t>Cash used in financing activities for the three months ended March 31, 2017 was $7.1 million, of which $4.5 million was used to repurchase our common stock under our share repurchase program, $1.7 million used in taxes paid related to net-share settlements of restricted stock units, payments of principal on our long-term debt of $1.3 million, partially offset by $0.4 million received from the proceeds of stock option exercises.</w:t>
      </w:r>
    </w:p>
    <w:p>
      <w:pPr>
        <w:spacing w:after="0" w:line="166"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Cash provided by financing activities for the three months ended March 31, 2016 was $73.2 million, of which $100.0 million represented proceeds from the issuance of long-term debt which was partially offset by $23.9 million used to repurchase our common stock under our share repurchase program, $2.0 million for payments of issuance costs related to our long-term debt, and $1.0 million used in taxes paid related to net-share settlements of restricted stock units.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w:t>
      </w:r>
    </w:p>
    <w:p>
      <w:pPr>
        <w:spacing w:after="0" w:line="77"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generally do not enter into long-term minimum purchase commitments. Our principal long-term commitments consist of obligations under operating leases for office space. There were no material changes to our contractual obligations and commitments during the three months ended March 31, 2017 as compared to our contractual obligations and commitments presented under the heading “Contractual Obligations and Commitments” in Part II, Item 7 “Management’s Discussion and Analysis of Financial Condition and Results of Operations” or the heading “Commitments and Contingencies” in Note 12 of the Notes to Consolidated Financial Statements in Part II, Item 8 of our Annual Report on Form 10-K filed with the SEC on February 28, 2017.</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w:t>
      </w:r>
    </w:p>
    <w:p>
      <w:pPr>
        <w:spacing w:after="0" w:line="7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On February 26, 2016, we entered into the Credit Agreement which provided for the Term Facility and the Revolving Credit Facility. As of March 31, 2017, the total balance outstanding on the Term Facility is $95.0 million, and the Revolving Credit Facility remains undrawn. Our debt facilities and repayment schedule are described in more detail in Note 11, "Debt," in Notes to Condensed Consolidated Financial Statements (unaudited) in Part I, Item 1 of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In February 2015, our Board of Directors authorized the repurchase of up to $75.0 million of our outstanding shares of common stock. In March and May 2016, we increased our share repurchase program by $25 million and $50 million, respectively, for a total amount authorized of $150 million. As part of the share repurchase program, shares may be purchased in open market transactions, including through block purchases, through privately negotiated transactions, or pursuant to any trading plan that may be adopted in accordance with Rule 10b5-1 of the Exchange Act. The timing, manner, price and amount of any repurchases will be determined in our discretion and will depend on factors such as cash generation from operations, other cash requirements, economic and market conditions, stock price and legal and regulatory requirements. The share repurchase program does not have an expiration date and may be suspended, terminated or modified at any time for any reason. The repurchase program does not obligate us to acquire any specific number of shares, and all open market repurchases will be made in accordance with Exchange Act Rule 10b-18, which sets certain restrictions on the method, timing, price and volume of open market stock repurchases. As of March 31, 2017, we had repurchased an aggregate of 8.3 million shares of common stock in the open market for $90.8 million under the share repurchase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At March 31, 2017,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subscription agreements are denominated in U.S. dollars and, therefore, our subscription revenue is not currently subject to significant foreign currency risk. Certain of our discovery services operations are denominated in currencies other than the U.S. dollar, primarily the British pound sterling and the Euro, and therefore these operations are exposed to foreign exchange rate fluctuations, particularly in light of the referendum in the United Kingdom in which voters approved an exit from the European Union, commonly referred to as "Brexit," and other recent political developments. Our expenses are incurred primarily in the United States, with a portion of expenses incurred and denominated in the currencies where our international offices are located. Our results of operations and cash flows are subject to fluctuations due to changes in foreign currency exchange rates, particularly changes in the British pound sterling, Japanese yen, and Euro relative to the U.S. dollar, including changes due to Brexit. To date, we have not entered into any foreign currency hedging contracts.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investment portfolio of cash equivalents and short-term investments and our long-term debt.</w:t>
      </w:r>
    </w:p>
    <w:p>
      <w:pPr>
        <w:spacing w:after="0" w:line="170"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As of March 31, 2017, we had an outstanding term facility with a five-year maturity with an aggregate carrying amount of $95.0 million, which bears interest at our option equal to either a base rate plus a margin ranging from 1.25% to 1.75% per annum LIBOR plus a margin ranging from 2.25% to 2.75% per annum, based upon the ratio of the our debt to consolidated adjusted EBITDA ratio. A hypothetical 100 BPS increase or decrease in LIBOR would increase or decrease the interest expense on our term facility by approximately $0.2 million for the three months ended March 31, 2017.</w:t>
      </w:r>
    </w:p>
    <w:p>
      <w:pPr>
        <w:spacing w:after="0" w:line="15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had cash, cash equivalents and short-term investments of $226.6 million as of March 31, 2017. Our cash balances deposited in U.S. banks are non-interest bearing and insured up to the Federal Deposit Insurance Corporation (“FDIC”) limits. Cash equivalents consist primarily of commercial paper, institutional money market funds, and municipal bonds denominated primarily in U.S. dollars. Interest rate fluctuations affect the returns on our invested funds.</w:t>
      </w:r>
    </w:p>
    <w:p>
      <w:pPr>
        <w:spacing w:after="0" w:line="187" w:lineRule="exact"/>
        <w:rPr>
          <w:sz w:val="20"/>
          <w:szCs w:val="20"/>
          <w:color w:val="auto"/>
        </w:rPr>
      </w:pPr>
    </w:p>
    <w:p>
      <w:pPr>
        <w:ind w:right="260" w:firstLine="486"/>
        <w:spacing w:after="0" w:line="255" w:lineRule="auto"/>
        <w:rPr>
          <w:sz w:val="20"/>
          <w:szCs w:val="20"/>
          <w:color w:val="auto"/>
        </w:rPr>
      </w:pPr>
      <w:r>
        <w:rPr>
          <w:rFonts w:ascii="Arial" w:cs="Arial" w:eastAsia="Arial" w:hAnsi="Arial"/>
          <w:sz w:val="18"/>
          <w:szCs w:val="18"/>
          <w:color w:val="auto"/>
        </w:rPr>
        <w:t>As of March 31, 2017, our short-term investments of $68.3 million were primarily invested in municipal and corporate bonds maturing between 90 days and 12 months, U.S. government and agency securities, and commercial paper. As of March 31, 2017, our investments were primarily classified as available-for-sale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March 31, 2017, we had not recorded any impairment charges related to our investments in the condensed consolidated statement of operations.</w:t>
      </w:r>
    </w:p>
    <w:p>
      <w:pPr>
        <w:spacing w:after="0" w:line="19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 hypothetical change in interest rates of 10% during the three months ended March 31, 2017 would not have had a material impact on the fair value of our investments.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March 31,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2017, our Chief Executive Officer and Chief Financial Officer concluded that, as of such date, our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2017 which were identified in connection with management's evaluation required by Rule 13a-15 and 15d-15 under the Exchange Act that have materially affected, or are reasonably likely to materially affect, our internal control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25"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Refer to Note 12, “Commitments and Contingencies,” in Notes to Condensed Consolidated Financial Statements (unaudited) in Part I, Item 1 of this Quarterly Report on Form 10-Q, which is hereby incorporated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ind w:right="10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4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63"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services that meet client requirements in a timely manner;</w:t>
      </w:r>
    </w:p>
    <w:p>
      <w:pPr>
        <w:spacing w:after="0" w:line="63"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services to our existing and potential clients;</w:t>
      </w:r>
    </w:p>
    <w:p>
      <w:pPr>
        <w:spacing w:after="0" w:line="8"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subscription fees from clients whose annual subscription fees decrease due to declining operating income or revenue of such clients or the effects of changes in foreign exchange rates;</w:t>
      </w:r>
    </w:p>
    <w:p>
      <w:pPr>
        <w:spacing w:after="0" w:line="8" w:lineRule="exact"/>
        <w:rPr>
          <w:rFonts w:ascii="Arial" w:cs="Arial" w:eastAsia="Arial" w:hAnsi="Arial"/>
          <w:sz w:val="18"/>
          <w:szCs w:val="18"/>
          <w:color w:val="auto"/>
        </w:rPr>
      </w:pPr>
    </w:p>
    <w:p>
      <w:pPr>
        <w:ind w:left="820" w:right="44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lengthy and unpredictable membership sales cycle, including delays in potential clients’ decisions whether to subscribe to our patent risk management services;</w:t>
      </w:r>
    </w:p>
    <w:p>
      <w:pPr>
        <w:spacing w:after="0" w:line="8"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addition or loss of discovery services clients and projects which are difficult to predict and may result in material changes in quarterly revenue and costs;</w:t>
      </w:r>
    </w:p>
    <w:p>
      <w:pPr>
        <w:spacing w:after="0" w:line="8"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8"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or assumed by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63"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8"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the costs of new business initiatives, and our acquisition of Inventus;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matters related to our acquisition of Inventus and the expansion of our business into discovery services;</w:t>
      </w:r>
    </w:p>
    <w:p>
      <w:pPr>
        <w:spacing w:after="0" w:line="63"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63" w:lineRule="exact"/>
        <w:rPr>
          <w:rFonts w:ascii="Arial" w:cs="Arial" w:eastAsia="Arial" w:hAnsi="Arial"/>
          <w:sz w:val="18"/>
          <w:szCs w:val="18"/>
          <w:color w:val="auto"/>
        </w:rPr>
      </w:pPr>
    </w:p>
    <w:p>
      <w:pPr>
        <w:ind w:left="820" w:right="80" w:hanging="326"/>
        <w:spacing w:after="0" w:line="298" w:lineRule="auto"/>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w:t>
      </w: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outstanding debt service obligations and repayment thereof; and</w:t>
      </w:r>
    </w:p>
    <w:p>
      <w:pPr>
        <w:spacing w:after="0" w:line="63"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services is evolving, and if these services are not widely accepted or are accepted more slowly than we expect, our operating results will be adversely affected.</w:t>
      </w:r>
    </w:p>
    <w:p>
      <w:pPr>
        <w:spacing w:after="0" w:line="22"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services and we expect this will continue for the foreseeable future. As a result, widespread acceptance of these services is critical to our future success. The market for patent risk management services is evolving and it is uncertain whether these services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services, then wide market adoption of our patent risk management services will not develop, or it may develop more slowly than we expect. Either scenario would adversely affect our operating results in a significant way. Factors that may negatively affect wide market acceptance of these services, as well as our ability to obtain new clients and renew existing clients, include:</w:t>
      </w:r>
    </w:p>
    <w:p>
      <w:pPr>
        <w:spacing w:after="0" w:line="5"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assertions from non-practicing entities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100" w:hanging="326"/>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services, our business and operating results will be adversely affected.</w:t>
      </w:r>
    </w:p>
    <w:p>
      <w:pPr>
        <w:spacing w:after="0" w:line="33"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We acquired our first patent assets in September 2008, sold our first membership in October 2008, and sold our first insurance policy in August 2012. In addition, we acquired Inventus and its litigation discovery services business in January 2016. The litigation discovery services business is a new business for us. Therefore, we have not only a limited operating history, but also a limited track record in executing our business model. Our future success depends on acceptance of our services by companies we target to become clients. Our efforts to sell our products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If the market for our services develops more slowly than we anticipate, or if competitors introduce new solutions that compete with our services,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If we introduce a higher rate card for our subscription business in the future, it may be more difficult for us to attract new clients. In order to attract new clients and retain existing clients, in certain cases we have previously offered, and may in the future offer, discounts or other contractual incentives to clients.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ind w:right="100" w:firstLine="446"/>
        <w:spacing w:after="0" w:line="286" w:lineRule="auto"/>
        <w:rPr>
          <w:sz w:val="20"/>
          <w:szCs w:val="20"/>
          <w:color w:val="auto"/>
        </w:rPr>
      </w:pPr>
      <w:r>
        <w:rPr>
          <w:rFonts w:ascii="Arial" w:cs="Arial" w:eastAsia="Arial" w:hAnsi="Arial"/>
          <w:sz w:val="17"/>
          <w:szCs w:val="17"/>
          <w:color w:val="auto"/>
        </w:rPr>
        <w:t>Subscription fees are typically reset annually based on a client’s reported revenue and operating income measured as of the end of its last fiscal year. If a client who is not already paying the minimum due under our rate card experiences reduced operating results, its subscription fee for the next year will decline. As a result, our revenue stream may be affected by conditions outside of our control that impact the operating results of our clients.</w:t>
      </w:r>
    </w:p>
    <w:p>
      <w:pPr>
        <w:spacing w:after="0" w:line="166"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Our rate cards generally provide that our subscription fee as a percentage of the client’s operating income decreases as their operating income goes up. In addition, many of our clients’ rate cards are subject to an annual cap. As a result, if one of our clients acquires another client, our future revenue could be reduced as a result of the application of our rate card to the combined entity rather than to each entity separately. Any reduction in subscription fees could harm our business and operating results.</w:t>
      </w:r>
    </w:p>
    <w:p>
      <w:pPr>
        <w:spacing w:after="0" w:line="187" w:lineRule="exact"/>
        <w:rPr>
          <w:sz w:val="20"/>
          <w:szCs w:val="20"/>
          <w:color w:val="auto"/>
        </w:rPr>
      </w:pPr>
    </w:p>
    <w:p>
      <w:pPr>
        <w:ind w:right="160"/>
        <w:spacing w:after="0" w:line="306" w:lineRule="auto"/>
        <w:rPr>
          <w:sz w:val="20"/>
          <w:szCs w:val="20"/>
          <w:color w:val="auto"/>
        </w:rPr>
      </w:pPr>
      <w:r>
        <w:rPr>
          <w:rFonts w:ascii="Arial" w:cs="Arial" w:eastAsia="Arial" w:hAnsi="Arial"/>
          <w:sz w:val="17"/>
          <w:szCs w:val="17"/>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Our clients have no obligation to renew their subscriptions after the expiration of their initial membership period. We have limited historical data with respect to rates of subscription renewals, so we cannot accurately predict renewal rates. As of March 31, 2017, the weighted-average term of our subscription agreements with our current clients since the inception of those agreements was 2.3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has decreased and may continue to decrease further. If our clients do not renew their subscriptions or renew for shorter terms or if we allow them to renew at reduced subscription fees, our revenue may decline and our business may be adversely affected.</w:t>
      </w:r>
    </w:p>
    <w:p>
      <w:pPr>
        <w:spacing w:after="0" w:line="179"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services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9" w:lineRule="exact"/>
        <w:rPr>
          <w:sz w:val="20"/>
          <w:szCs w:val="20"/>
          <w:color w:val="auto"/>
        </w:rPr>
      </w:pPr>
    </w:p>
    <w:p>
      <w:pPr>
        <w:ind w:right="26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services,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317"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ind w:firstLine="446"/>
        <w:spacing w:after="0" w:line="255"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services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the Inventus security measures are breached, our discovery services may be perceived as not being secure, clients may curtail or stop using our discovery services, and we may incur significant legal and financial exposure.</w:t>
      </w:r>
    </w:p>
    <w:p>
      <w:pPr>
        <w:spacing w:after="0" w:line="2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process, store, and transmit large amounts of data, including personal information, for our discovery services clients, and a material security breach would expose us to a risk of loss of this information, litigation, and potential liability. Because the techniques used to obtain unauthorized access, disable or degrade service, or sabotage systems change frequently and often are not recognized until launched against a target, we may be unable to anticipate these techniques or to implement adequate preventative measures.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 w:lineRule="exact"/>
        <w:rPr>
          <w:sz w:val="20"/>
          <w:szCs w:val="20"/>
          <w:color w:val="auto"/>
        </w:rPr>
      </w:pPr>
    </w:p>
    <w:p>
      <w:pPr>
        <w:ind w:right="260" w:firstLine="446"/>
        <w:spacing w:after="0" w:line="273" w:lineRule="auto"/>
        <w:rPr>
          <w:sz w:val="20"/>
          <w:szCs w:val="20"/>
          <w:color w:val="auto"/>
        </w:rPr>
      </w:pPr>
      <w:r>
        <w:rPr>
          <w:rFonts w:ascii="Arial" w:cs="Arial" w:eastAsia="Arial" w:hAnsi="Arial"/>
          <w:sz w:val="17"/>
          <w:szCs w:val="17"/>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Our previous chief executive officer resigned his employment with us in February 2017, and we recently announced that our executive vice president was joining our board of directors and would be resigning her executive position later this year. We do not maintain key person life insurance policies on any of our employees. The loss of one or more of our key employees, including the recent loss of previous chief executive officer and our executive vice president, could seriously harm our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24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19"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services or to develop or acquire new services to provide additional value to our clients and potential clients, we may not be able to maintain our growth, and our business may be harmed.</w:t>
      </w:r>
    </w:p>
    <w:p>
      <w:pPr>
        <w:spacing w:after="0" w:line="8"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service offering and introduce new services that meet the needs of our clients. We have in the past, and may in the future, seek to acquire or invest in businesses, products or technologies that we believe could complement or expand our services, enhance our technical capabilities or otherwise offer growth opportunities. For example, in June 2014 we acquired DCML Services Corporation, a provider of data, intelligence and consulting on NPEs.</w:t>
      </w:r>
    </w:p>
    <w:p>
      <w:pPr>
        <w:spacing w:after="0" w:line="187" w:lineRule="exact"/>
        <w:rPr>
          <w:sz w:val="20"/>
          <w:szCs w:val="20"/>
          <w:color w:val="auto"/>
        </w:rPr>
      </w:pPr>
    </w:p>
    <w:p>
      <w:pPr>
        <w:ind w:firstLine="446"/>
        <w:spacing w:after="0" w:line="293" w:lineRule="auto"/>
        <w:rPr>
          <w:sz w:val="20"/>
          <w:szCs w:val="20"/>
          <w:color w:val="auto"/>
        </w:rPr>
      </w:pPr>
      <w:r>
        <w:rPr>
          <w:rFonts w:ascii="Arial" w:cs="Arial" w:eastAsia="Arial" w:hAnsi="Arial"/>
          <w:sz w:val="16"/>
          <w:szCs w:val="16"/>
          <w:color w:val="auto"/>
        </w:rPr>
        <w:t>The development and implementation of new services, particularly our legal discovery services, will continue to require substantial time and resources, as well as require us to operate businesses that would be new to our organization. These or any other new services may not be introduced in a timely manner or at all. If we do introduce these or any other services, we may be unable to implement such services in a cost-effective manner, achieve wide market acceptance, meet client expectations or generate revenue sufficient to recoup the cost of developing such services. Any new services we introduce may expose us to additional laws, regulations and risks. If we are unable to develop these or other services successfully and enhance our existing services to meet client requirements or expectations, we may not be able to attract or retain clients, and our business may be harmed.</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or continued engagements from these clients, our revenue may decrease substantially.</w:t>
      </w:r>
    </w:p>
    <w:p>
      <w:pPr>
        <w:spacing w:after="0" w:line="22" w:lineRule="exact"/>
        <w:rPr>
          <w:sz w:val="20"/>
          <w:szCs w:val="20"/>
          <w:color w:val="auto"/>
        </w:rPr>
      </w:pPr>
    </w:p>
    <w:p>
      <w:pPr>
        <w:jc w:val="both"/>
        <w:ind w:right="20" w:firstLine="446"/>
        <w:spacing w:after="0" w:line="279" w:lineRule="auto"/>
        <w:rPr>
          <w:sz w:val="20"/>
          <w:szCs w:val="20"/>
          <w:color w:val="auto"/>
        </w:rPr>
      </w:pPr>
      <w:r>
        <w:rPr>
          <w:rFonts w:ascii="Arial" w:cs="Arial" w:eastAsia="Arial" w:hAnsi="Arial"/>
          <w:sz w:val="17"/>
          <w:szCs w:val="17"/>
          <w:color w:val="auto"/>
        </w:rPr>
        <w:t>We receive a significant amount of our revenue from a limited number of clients. For example, during the three months ended March 31, 2017, our 10 highest revenue-generating clients accounted for approximately 30% of our total revenue. We expect that a significant portion of our revenue will continue to come from a relatively small number of clients for the foreseeable future. If any of these clients chooses not to remain a client, or if our fees from one of these clients decline, our revenue may correspondingly decrease and our operating results may be adversely affected.</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8" w:lineRule="exact"/>
        <w:rPr>
          <w:sz w:val="20"/>
          <w:szCs w:val="20"/>
          <w:color w:val="auto"/>
        </w:rPr>
      </w:pPr>
    </w:p>
    <w:p>
      <w:pPr>
        <w:ind w:right="120"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services of the type we offer compared to large companies. Furthermore, small and mid-size companies are generally not subject to as much patent litigation as large companies and, therefore, may not perceive that the benefits of our services justify their cost. They may also have concerns that we will focus our patent acquisition efforts on patent assets that are of more benefit to our larger clients who pay us higher subscription fees. If we are unable to successfully expand our membership base to include an increased number of companies, our growth may slow, and our business may be harmed.</w:t>
      </w:r>
    </w:p>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are investing management time and resources into developing products designed to provide insurance against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25"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We are investing management time and financial resources in the development of products designed to provide insurance against some of the costs resulting from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recently acquired Inventus, and may acquire or invest in other companies or technologies, which could divert our management’s attention, result in additional dilution to our stockholders, and otherwise disrupt our operations and harm our operating results. We may also be unable to realize the expected benefits and synergies of any acquisitions.</w:t>
      </w:r>
    </w:p>
    <w:p>
      <w:pPr>
        <w:spacing w:after="0" w:line="19" w:lineRule="exact"/>
        <w:rPr>
          <w:sz w:val="20"/>
          <w:szCs w:val="20"/>
          <w:color w:val="auto"/>
        </w:rPr>
      </w:pPr>
    </w:p>
    <w:p>
      <w:pPr>
        <w:ind w:right="60" w:firstLine="446"/>
        <w:spacing w:after="0" w:line="302" w:lineRule="auto"/>
        <w:rPr>
          <w:sz w:val="20"/>
          <w:szCs w:val="20"/>
          <w:color w:val="auto"/>
        </w:rPr>
      </w:pPr>
      <w:r>
        <w:rPr>
          <w:rFonts w:ascii="Arial" w:cs="Arial" w:eastAsia="Arial" w:hAnsi="Arial"/>
          <w:sz w:val="16"/>
          <w:szCs w:val="16"/>
          <w:color w:val="auto"/>
        </w:rPr>
        <w:t>We have in the past and may in the future seek to acquire or invest in businesses, products or technologies that we believe could complement or expand our services, enhance our technical capabilities or otherwise offer growth opportunities. We may not be able to integrate the acquired personnel, operations, and technologies successfully or effectively manage the combined business. The pursuit of potential acquisitions may divert the attention of management and cause us to incur various expenses in identifying, investigating and pursuing suitable acquisitions, whether or not they are consummated.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not achieve the anticipated benefits from the Inventus or another acquisition due to a number of factors, including:</w:t>
      </w:r>
    </w:p>
    <w:p>
      <w:pPr>
        <w:spacing w:after="0" w:line="225"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820" w:right="20" w:hanging="326"/>
        <w:spacing w:after="0" w:line="317" w:lineRule="auto"/>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need to integrate the operations, systems (including accounting, management, information, human resources and other administrative systems), technologies, products, and personnel of each acquired company, which is an inherently risky and potentially lengthy and costly process;</w:t>
      </w:r>
    </w:p>
    <w:p>
      <w:pPr>
        <w:ind w:left="820" w:right="240" w:hanging="326"/>
        <w:spacing w:after="0" w:line="264"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appropriate for a public company at companies that prior to our acquisition may have lacked such controls, procedures, and policies or whose controls, procedures, and policies did not meet applicable legal and other standards;</w:t>
      </w:r>
    </w:p>
    <w:p>
      <w:pPr>
        <w:spacing w:after="0" w:line="19" w:lineRule="exact"/>
        <w:rPr>
          <w:rFonts w:ascii="Arial" w:cs="Arial" w:eastAsia="Arial" w:hAnsi="Arial"/>
          <w:sz w:val="18"/>
          <w:szCs w:val="18"/>
          <w:color w:val="auto"/>
        </w:rPr>
      </w:pPr>
    </w:p>
    <w:p>
      <w:pPr>
        <w:jc w:val="both"/>
        <w:ind w:left="820" w:right="120" w:hanging="326"/>
        <w:spacing w:after="0" w:line="264"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the accounting, financial reporting, operating metrics and similar systems, controls and processes of an acquired business, and the risk that errors or irregularities in those systems, controls, and processes will lead to errors in our consolidated financial statements or make it more difficult to manage the acquired business;</w:t>
      </w:r>
    </w:p>
    <w:p>
      <w:pPr>
        <w:spacing w:after="0" w:line="19" w:lineRule="exact"/>
        <w:rPr>
          <w:rFonts w:ascii="Arial" w:cs="Arial" w:eastAsia="Arial" w:hAnsi="Arial"/>
          <w:sz w:val="18"/>
          <w:szCs w:val="18"/>
          <w:color w:val="auto"/>
        </w:rPr>
      </w:pPr>
    </w:p>
    <w:p>
      <w:pPr>
        <w:ind w:left="820" w:right="720" w:hanging="326"/>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loss of key customers, vendors, and other business partners of the companies we acquire following the announcement of our transaction plans;</w:t>
      </w:r>
    </w:p>
    <w:p>
      <w:pPr>
        <w:spacing w:after="0" w:line="8"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inefficiencies and lack of control that may result if such integration is delayed or not implemented, and unforeseen difficulties and expenditures that may arise as a result;</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derivative lawsuits resulting from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our expansion into new international markets;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legal, financial and accounting challenges and complexities in areas such as tax planning and cash management;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6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discovery services engagement agreements, including those related to our largest clients, can be terminated by our clients with little or no notice and without penalty, which may cause our operating results to be unpredictable.</w:t>
      </w:r>
    </w:p>
    <w:p>
      <w:pPr>
        <w:spacing w:after="0" w:line="22" w:lineRule="exact"/>
        <w:rPr>
          <w:sz w:val="20"/>
          <w:szCs w:val="20"/>
          <w:color w:val="auto"/>
        </w:rPr>
      </w:pPr>
    </w:p>
    <w:p>
      <w:pPr>
        <w:ind w:right="140" w:firstLine="486"/>
        <w:spacing w:after="0" w:line="290" w:lineRule="auto"/>
        <w:rPr>
          <w:sz w:val="20"/>
          <w:szCs w:val="20"/>
          <w:color w:val="auto"/>
        </w:rPr>
      </w:pPr>
      <w:r>
        <w:rPr>
          <w:rFonts w:ascii="Arial" w:cs="Arial" w:eastAsia="Arial" w:hAnsi="Arial"/>
          <w:sz w:val="16"/>
          <w:szCs w:val="16"/>
          <w:color w:val="auto"/>
        </w:rPr>
        <w:t>Our discovery services clients typically retain us on an engagement-by-engagement basis, rather than under fixed-term contracts; the volume of work performed for any particular client is likely to vary from month to month and year to year, and a major client in one fiscal period may not require or may decide not to use our services in any subsequent fiscal period. Almost all of our discovery services engagement agreements can be terminated by our clients with little or no notice and without penalty. For example, in engagements related to litigation, if the litigation were to be settled, our engagement for those services would no longer be necessary and, therefore, would be terminated. When discovery services engagements are terminated or reduced, we lose the associated future revenues, and we may not be able to recover associated costs or redeploy the affected employees in a timely manner to minimize the negative impact. In addition, our discovery services clients’ ability to terminate engagements with little or no notice and without penalty makes it difficult to predict our operating results for the discovery services segment in any particular fiscal period.</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19"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services for existing clients and may not be able to respond effectively to changes in our market. This limited flexibility could have an adverse effect on our operating results.</w:t>
      </w:r>
    </w:p>
    <w:p>
      <w:pPr>
        <w:spacing w:after="0" w:line="8"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published rate cards applicable to all of our clients that commence their membership while that rate card is in effect. Clients under such agreements are able to renew their memberships perpetually under the rate card in effect at the time that they became members with periodic adjustments by us only based on changes in the Consumer Price Index. This means that any increases to our rate card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9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Releases of new software products or upgrades to our existing software products or licensed third-party software may have undetected errors, or may not operate as intended or achieve our client's desired objectives, which could cause litigation claims against us, damage to our reputation, or loss of business.</w:t>
      </w:r>
    </w:p>
    <w:p>
      <w:pPr>
        <w:spacing w:after="0" w:line="3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Certain of our discovery services utilize software developed by us or third parties for the needs of our clients. Complex software products, such as those we utilize, can contain undetected errors when first introduced or as new versions are released, or may fail to operate as intended or achieve the client’s desired objectives. Any introduction of new software products or upgrade to existing software products has a risk of undetected errors. These undetected errors may be discovered only after a product has been installed and used either in our internal processing or by our clients. Likewise, the software products we acquire in business acquisitions have a risk of undetected errors. Any undetected errors, difficulties in installing and maintaining our software products or upgrade releases, or the failure to achieve the client's desired objectives, may result in a delay or loss of revenue, diversion of development resources, damage to our reputation, the loss of that client, loss of future business, increased service costs, potential litigation claims against us, or impaired market acceptance of our products.</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in our patent risk management or legal discovery services businesses. Any failure to compete effectively could harm our business and results of operations.</w:t>
      </w:r>
    </w:p>
    <w:p>
      <w:pPr>
        <w:spacing w:after="0" w:line="8"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services and the value and cost savings they provide.</w:t>
      </w:r>
    </w:p>
    <w:p>
      <w:pPr>
        <w:spacing w:after="0" w:line="188" w:lineRule="exact"/>
        <w:rPr>
          <w:sz w:val="20"/>
          <w:szCs w:val="20"/>
          <w:color w:val="auto"/>
        </w:rPr>
      </w:pPr>
    </w:p>
    <w:p>
      <w:pPr>
        <w:ind w:right="20" w:firstLine="446"/>
        <w:spacing w:after="0" w:line="272" w:lineRule="auto"/>
        <w:rPr>
          <w:sz w:val="20"/>
          <w:szCs w:val="20"/>
          <w:color w:val="auto"/>
        </w:rPr>
      </w:pPr>
      <w:r>
        <w:rPr>
          <w:rFonts w:ascii="Arial" w:cs="Arial" w:eastAsia="Arial" w:hAnsi="Arial"/>
          <w:sz w:val="17"/>
          <w:szCs w:val="17"/>
          <w:color w:val="auto"/>
        </w:rPr>
        <w:t>In addition to competing for new clients, we also compete to acquire patent assets. Our primary competitors in the market for patent assets are varied and include other entities that seek to accumulate patent assets, including NPEs such as Acacia Research and PanOptis. Many of our current or potential competitors have longer operating histories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78" w:lineRule="exact"/>
        <w:rPr>
          <w:sz w:val="20"/>
          <w:szCs w:val="20"/>
          <w:color w:val="auto"/>
        </w:rPr>
      </w:pPr>
    </w:p>
    <w:p>
      <w:pPr>
        <w:ind w:right="260" w:firstLine="446"/>
        <w:spacing w:after="0" w:line="259" w:lineRule="auto"/>
        <w:rPr>
          <w:sz w:val="20"/>
          <w:szCs w:val="20"/>
          <w:color w:val="auto"/>
        </w:rPr>
      </w:pPr>
      <w:r>
        <w:rPr>
          <w:rFonts w:ascii="Arial" w:cs="Arial" w:eastAsia="Arial" w:hAnsi="Arial"/>
          <w:sz w:val="18"/>
          <w:szCs w:val="18"/>
          <w:color w:val="auto"/>
        </w:rPr>
        <w:t>In addition, the discovery services market is highly fragmented, extremely competitive, and continually changing as technology and the legal and regulatory environments evolve around the world. Our competitors include larger businesses that offer a distinct discovery service offering such as DTI Global, KrolLDiscovery, Consilio, and FTI Consulting. We also compete with smaller regional discovery services businesses as well as discovery services practices inside large and mid-sized law firms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and professional services firms. Many of our competitors in this market have a greater national and international presence, as well as have a significantly greater number of personnel, financial, technical, and marketing resources. In addition, these competitors may generate greater revenues and have greater name recognition than we do.</w:t>
      </w:r>
    </w:p>
    <w:p>
      <w:pPr>
        <w:spacing w:after="0" w:line="181"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We expect to face more direct competition in the future in both our patent risk management business and litigation discovery services business from other established and emerging companies. In addition, as a relatively new company in the patent risk management market and litigation discovery services market, we have limited insight into trends that may develop and affect our businesses. As a result, we may make errors in predicting and reacting to relevant business trends, making us unable to compete effectively against others.</w:t>
      </w:r>
    </w:p>
    <w:p>
      <w:pPr>
        <w:spacing w:after="0" w:line="187"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Our current or potential competitors in both our patent risk management business and litigation discovery services businesses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75" w:lineRule="exact"/>
        <w:rPr>
          <w:sz w:val="20"/>
          <w:szCs w:val="20"/>
          <w:color w:val="auto"/>
        </w:rPr>
      </w:pPr>
    </w:p>
    <w:p>
      <w:pPr>
        <w:ind w:right="12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when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140" w:firstLine="44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highly visible.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services to clients or potential clients and harm our business and operating results.</w:t>
      </w:r>
    </w:p>
    <w:p>
      <w:pPr>
        <w:spacing w:after="0" w:line="8"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services to our current and potential clients. For example, limitations on the ability to bring patent enforcement claims or the venue for those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services or renew their memberships. Furthermore, even if companies are interested in subscribing to our services or maintaining their memberships, companies may be unwilling to pay the subscription fees that we propose. Any of these events could result in a material adverse effect on our business and operating results.</w:t>
      </w:r>
    </w:p>
    <w:p>
      <w:pPr>
        <w:spacing w:after="0" w:line="223" w:lineRule="exact"/>
        <w:rPr>
          <w:sz w:val="20"/>
          <w:szCs w:val="20"/>
          <w:color w:val="auto"/>
        </w:rPr>
      </w:pPr>
    </w:p>
    <w:p>
      <w:pPr>
        <w:ind w:right="120" w:firstLine="446"/>
        <w:spacing w:after="0" w:line="286" w:lineRule="auto"/>
        <w:rPr>
          <w:sz w:val="20"/>
          <w:szCs w:val="20"/>
          <w:color w:val="auto"/>
        </w:rPr>
      </w:pPr>
      <w:r>
        <w:rPr>
          <w:rFonts w:ascii="Arial" w:cs="Arial" w:eastAsia="Arial" w:hAnsi="Arial"/>
          <w:sz w:val="17"/>
          <w:szCs w:val="17"/>
          <w:color w:val="auto"/>
        </w:rPr>
        <w:t>In addition, future laws and regulations, or judicial interpretations thereof, could adversely affect our discovery services clients and thus indirectly affect our business. For example, changes to the Federal Rules of Civil Procedure regarding discovery of "electronically stored information" could result in a decreased need for discovery services. Any of these events could result in a material adverse effect on our business and operating results.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8" w:lineRule="exact"/>
        <w:rPr>
          <w:sz w:val="20"/>
          <w:szCs w:val="20"/>
          <w:color w:val="auto"/>
        </w:rPr>
      </w:pPr>
    </w:p>
    <w:p>
      <w:pPr>
        <w:ind w:right="28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unavailability of third-party technology could adversely impact our revenue and results of operations.</w:t>
      </w:r>
    </w:p>
    <w:p>
      <w:pPr>
        <w:spacing w:after="0" w:line="117" w:lineRule="exact"/>
        <w:rPr>
          <w:sz w:val="20"/>
          <w:szCs w:val="20"/>
          <w:color w:val="auto"/>
        </w:rPr>
      </w:pPr>
    </w:p>
    <w:p>
      <w:pPr>
        <w:ind w:right="20" w:firstLine="486"/>
        <w:spacing w:after="0" w:line="364" w:lineRule="auto"/>
        <w:rPr>
          <w:sz w:val="20"/>
          <w:szCs w:val="20"/>
          <w:color w:val="auto"/>
        </w:rPr>
      </w:pPr>
      <w:r>
        <w:rPr>
          <w:rFonts w:ascii="Arial" w:cs="Arial" w:eastAsia="Arial" w:hAnsi="Arial"/>
          <w:sz w:val="16"/>
          <w:szCs w:val="16"/>
          <w:color w:val="auto"/>
        </w:rPr>
        <w:t>We license certain discovery-related software from third parties and incorporate such software into our discovery services. Most of our third-party software license contracts expire within one year and may be renewed only by mutual consent. There is no assurance that we will be able to renew these contracts as they expire or that such renewals will be on the same or substantially similar terms or on conditions that are commercially reasonable to us. If we fail to renew these contracts as they expire, our discovery services offerings may be reduced. In addition, our third-party software licenses are non-exclusive, and therefore, our competitors may obtain the right to license certain of the technology covered by these agreements to compete directly with us. In certain situations, our third party software licensors are themselves also our competitors in the discovery services market.</w:t>
      </w:r>
    </w:p>
    <w:p>
      <w:pPr>
        <w:spacing w:after="0" w:line="13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If certain of our third-party licensors were to change product offerings, cease actively supporting the technologies, fail to update and enhance the technologies to keep pace with changing industry standards, encounter technical difficulties in the continuing development of these technologies, significantly increase prices, terminate our licenses, suffer significant capacity or supply chain constraints or suffer significant disruptions, we would need to seek alternative suppliers and incur additional internal or external development costs to ensure continued performance of our discovery services. Such alternatives may not be available on attractive terms, or may not be as widely accepted or as effective as the current licenses provided by our existing suppliers. If the cost of licensing or maintaining the third party intellectual property significantly increases, our operating earnings could significantly decrease. In addition, interruption in functionality of our services and products as a result of changes in or with third party licensors could adversely affect our commitments to clients, future sales, and negatively affect our revenue and operating earnings.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Interruptions or delays in service at the data centers we utilize for discovery services could impair the delivery of our service and harm our business.</w:t>
      </w:r>
    </w:p>
    <w:p>
      <w:pPr>
        <w:spacing w:after="0" w:line="10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provide services through computer hardware that is located in co-location data centers operated by unrelated third parties. Although we do own that computer hardware, we do not control the operation of these colocation facilities, which increases our vulnerability to problems with the services they provide. The data centers are subject to damage or interruption from earthquakes, floods, fires, power loss, terrorist attacks, telecommunications failures and similar events. These facilities are also subject to break-ins, sabotage, intentional acts of vandalism and similar misconduct. The occurrence of any of these events or other unanticipated problems at a facility could result in interruptions in certain of our services, although we have established backup recovery data centers to try to minimize this risk. In addition, the failure by our vendor to provide our required data communications capacity could result in poor service or interruptions in our service. Any damage to, or failure of, our systems or services could reduce our revenue, cause us to issue credits or pay penalties, cause clients to terminate their agreements with us and adversely affect our ability to secure business in the future. Our business will be harmed if our clients and potential clients believe our services are unreliable.</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business model requires estimates and judgments by our management. Our estimates and judgments are subject to changes that could adversely affect our operating results.</w:t>
      </w:r>
    </w:p>
    <w:p>
      <w:pPr>
        <w:spacing w:after="0" w:line="8" w:lineRule="exact"/>
        <w:rPr>
          <w:sz w:val="20"/>
          <w:szCs w:val="20"/>
          <w:color w:val="auto"/>
        </w:rPr>
      </w:pPr>
    </w:p>
    <w:p>
      <w:pPr>
        <w:ind w:right="100" w:firstLine="446"/>
        <w:spacing w:after="0" w:line="291" w:lineRule="auto"/>
        <w:rPr>
          <w:sz w:val="20"/>
          <w:szCs w:val="20"/>
          <w:color w:val="auto"/>
        </w:rPr>
      </w:pPr>
      <w:r>
        <w:rPr>
          <w:rFonts w:ascii="Arial" w:cs="Arial" w:eastAsia="Arial" w:hAnsi="Arial"/>
          <w:sz w:val="16"/>
          <w:szCs w:val="16"/>
          <w:color w:val="auto"/>
        </w:rPr>
        <w:t>Our patent risk management business model is relatively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Following the launch of insurance products for patent infringement claims, we now face the risks associated with operating an insurance business. If we fail to manage these risks, our results of operations and financial condition may be adversely affected.</w:t>
      </w:r>
    </w:p>
    <w:p>
      <w:pPr>
        <w:spacing w:after="0" w:line="22"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In August 2012, we began to offer insurance products for patent claims, and therefore face new risks associated with the operation of an insurance business. We have no prior experience in operating an insurance business, which includes assuming underwriting and reinsurance risk and setting premiums.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85"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 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63"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color w:val="auto"/>
        </w:rPr>
        <w:t>Because of our presence in an emerging industry, the application to us of existing United States and foreign laws is unclear. Many laws do not contemplate or address the specific issues associated with our patent risk management services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82"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Additionally, we face risks from laws that could be passed or changed in the future, including in the United Kingdom as a result of Brexit or in the United States as a result of the recent Presidential election. Since a significant portion of the regulatory framework in the United Kingdom is derived from EU directives and regulations, Brexit could materially affect the regulatory regime in the United Kingdom. Changes in laws and regulations regarding data protection, privacy, network security, or encryption may affect our discovery services.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Patent and Trademark Office. If we fail to maintain or prosecute our patent assets properly, the value of those assets to our clients would be reduced or eliminated, and our business would be harmed.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services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 If we are unable to effectively remediate control deficiencies which are identified or are otherwise unable to maintain adequate internal controls over our financial reporting in the future, we may not be able to prepare reliable financial statements and comply with our reporting obligations on a timely basis, which could materially adversely affect our business and subject us to legal and regulatory action.</w:t>
      </w:r>
    </w:p>
    <w:p>
      <w:pPr>
        <w:spacing w:after="0" w:line="1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Global economic conditions may adversely affect demand for our services or fees payable under our subscription agreements, which could adversely affect our financial condition and operating results.</w:t>
      </w:r>
    </w:p>
    <w:p>
      <w:pPr>
        <w:spacing w:after="0" w:line="8"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and may continue to experience weak economic conditions. In particular, the economics of countries in Europe have been experiencing weakness associated with high sovereign debt levels, weakness in the banking sector, and uncertainty over the future of the Euro zone, including instability surrounding Brexit.</w:t>
      </w:r>
    </w:p>
    <w:p>
      <w:pPr>
        <w:spacing w:after="0" w:line="271" w:lineRule="auto"/>
        <w:rPr>
          <w:sz w:val="20"/>
          <w:szCs w:val="20"/>
          <w:color w:val="auto"/>
        </w:rPr>
      </w:pPr>
      <w:r>
        <w:rPr>
          <w:rFonts w:ascii="Arial" w:cs="Arial" w:eastAsia="Arial" w:hAnsi="Arial"/>
          <w:sz w:val="17"/>
          <w:szCs w:val="17"/>
          <w:color w:val="auto"/>
        </w:rPr>
        <w:t>Uncertainty about global economic conditions poses a risk as businesses may postpone spending in response to tighter credit, negative financial news and declines in income or asset values. This response could have a material negative effect on the demand for our services.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8" w:lineRule="exact"/>
        <w:rPr>
          <w:sz w:val="20"/>
          <w:szCs w:val="20"/>
          <w:color w:val="auto"/>
        </w:rPr>
      </w:pPr>
    </w:p>
    <w:p>
      <w:pPr>
        <w:ind w:right="40" w:firstLine="270"/>
        <w:spacing w:after="0" w:line="288"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Stock Market and other applicable securities rules and regulations. Compliance with these rules and regulations has increased, and will likely continue to increase, our legal and financial compliance costs, make some activities more difficult, time-consuming or costly, and place significant strain on our personnel, systems and resources.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This could result in continuing uncertainty regarding compliance matters, higher administrative expenses and a diversion of management’s time and attention. Further, if our compliance efforts differ from the activities intended by regulatory or governing bodies due to ambiguities related to practice, regulatory authorities may initiate legal proceedings against us and our business may be harmed. Being a public company that is subject to these rules and regulations also makes it more expensive for us to obtain and retain director and officer liability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insurance, and we may in the future be required to accept reduced coverage or incur substantially higher costs to obtain or retain adequate coverage. These factors could also make it more difficult for us to attract and retain qualified members of our Board of Directors and qualified executive officers.</w:t>
      </w:r>
    </w:p>
    <w:p>
      <w:pPr>
        <w:spacing w:after="0" w:line="124" w:lineRule="exact"/>
        <w:rPr>
          <w:sz w:val="20"/>
          <w:szCs w:val="20"/>
          <w:color w:val="auto"/>
        </w:rPr>
      </w:pPr>
    </w:p>
    <w:p>
      <w:pPr>
        <w:jc w:val="both"/>
        <w:ind w:right="60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acquire patent assets, develop new services or enhance our existing service offering,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taken on significant debt, which will decrease our business flexibility and increase our interest expense.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26, 2016, we entered into the Credit Agreement (defined below) which provided for the Term Facility and the Revolving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the total balance outstanding on the Term Facility was $95.0 million, and the Revolving Credit Facility remains undrawn.</w:t>
      </w:r>
    </w:p>
    <w:p>
      <w:pPr>
        <w:spacing w:after="0" w:line="62" w:lineRule="exact"/>
        <w:rPr>
          <w:sz w:val="20"/>
          <w:szCs w:val="20"/>
          <w:color w:val="auto"/>
        </w:rPr>
      </w:pPr>
    </w:p>
    <w:p>
      <w:pPr>
        <w:ind w:right="60" w:firstLine="446"/>
        <w:spacing w:after="0" w:line="289" w:lineRule="auto"/>
        <w:rPr>
          <w:sz w:val="20"/>
          <w:szCs w:val="20"/>
          <w:color w:val="auto"/>
        </w:rPr>
      </w:pPr>
      <w:r>
        <w:rPr>
          <w:rFonts w:ascii="Arial" w:cs="Arial" w:eastAsia="Arial" w:hAnsi="Arial"/>
          <w:sz w:val="16"/>
          <w:szCs w:val="16"/>
          <w:color w:val="auto"/>
        </w:rPr>
        <w:t>This debt, together with certain covenants imposed on us in connection with incurring this debt, among other things, limits how we conduct our business, reduces our flexibility to respond to changing business and economic conditions and increases our interest expense. Our ability to pay interest and repay the principal for our indebtedness is dependent upon our ability to manage our business operations, generate sufficient cash flows to service such debt and the other factors discussed in this section. There can be no assurance that we will be able to manage any of these risks successfully. We may also need to refinance a portion of our outstanding debt as it matures. There is a risk that we may not be able to refinance existing debt or that the terms of any refinancing may not be as favorable as the terms of our existing debt. Furthermore, if prevailing interest rates or other factors at the time of refinancing result in higher interest rates upon refinancing, then the interest expense relating to that refinanced indebtedness would increase. In addition, the covenants in our debt limit our ability to, among other things, obtain additional financing, make acquisitions or other investments, repurchase our stock or pay dividends, or dispose of patent assets. These limitations could adversely affect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vary as a result of the methods, estimates and judgments we use in applying our accounting policies.</w:t>
      </w:r>
    </w:p>
    <w:p>
      <w:pPr>
        <w:spacing w:after="0" w:line="7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offering an “A” rated insurance product.</w:t>
      </w:r>
    </w:p>
    <w:p>
      <w:pPr>
        <w:spacing w:after="0" w:line="77"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In May 2014, we began offering an “A” rated insurance product. If we are unable to maintain our relationship with one or more “A” rated insurance companies, we may be unable to continue offering an “A” rated insurance product, which could have an adverse effect on new insurance business growth and retention of our existing insurance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7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As of January 1, 2015, we had secured quota share reinsurance from third party reinsurers for 42% of the risk underwritten through our risk retention group and 40% of the risk underwritten for our insurance company business partner. The availability and cost of reinsurance that we purchase are subject to prevailing market conditions that are beyond our control. No assurances can be made that reinsurance will remain continuously available to us in amounts that we consider sufficient and at rates that we consider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Current Report on Form 10-Q and others such as:</w:t>
      </w:r>
    </w:p>
    <w:p>
      <w:pPr>
        <w:spacing w:after="0" w:line="25"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right="820" w:hanging="326"/>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8"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63"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macroeconomic, market, and political factors and trends, including in light of Brexit, the outcome of the United States Presidential election, and other recent political developments;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 in our stock repurchase program;</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outstanding debt service obligations and repayment thereof;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20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100" w:firstLine="446"/>
        <w:spacing w:after="0" w:line="342"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4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2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February 2015, our Board of Directors approved a share repurchase program of up to $75 million. In March 2016 and May 2016, our Board of Directors further increased the amount authorized to repurchase by $25 million and $50 million, respectively, to an aggregate authorized amount of $150 million. The timing and actual number of shares repurchased will depend on a variety of factors including price, corporate and regulatory requirements, an assessment by management and our Board of Directors of cash availability and other market conditions. The program may be suspended or discontinued at any time without prior notice. Repurchases pursuant to our stock repurchase program could affect the price of our common stock and increase its volatility. The existence of our stock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jc w:val="both"/>
        <w:ind w:right="140" w:firstLine="44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1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repurchase activity during the three months ended March 31, 2017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Dollar Value that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Average Price Paid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 Under</w:t>
            </w:r>
          </w:p>
        </w:tc>
      </w:tr>
      <w:tr>
        <w:trPr>
          <w:trHeight w:val="26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 Ended</w:t>
            </w: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Shares Purchased</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the Programs </w:t>
            </w:r>
            <w:r>
              <w:rPr>
                <w:rFonts w:ascii="Arial" w:cs="Arial" w:eastAsia="Arial" w:hAnsi="Arial"/>
                <w:sz w:val="25"/>
                <w:szCs w:val="25"/>
                <w:b w:val="1"/>
                <w:bCs w:val="1"/>
                <w:color w:val="auto"/>
                <w:w w:val="87"/>
                <w:vertAlign w:val="superscript"/>
              </w:rPr>
              <w:t>(1)</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January 31, 2017</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159,534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159,534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61,984,239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28, 2017</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164,538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60,171,562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March 31, 2017</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81,850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81,850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59,233,254</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405,922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right="100" w:firstLine="8"/>
        <w:spacing w:after="0" w:line="273" w:lineRule="auto"/>
        <w:tabs>
          <w:tab w:leader="none" w:pos="192"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On February 10, 2015, we announced that our Board of Directors had authorized a share repurchase program under which we are authorized to repurchase up to $75.0 million of our outstanding common stock with no expiration date from the date of authorization. In March 2016 and May 2016, we increased our share repurchase program by $25 million and $50 million, respectively, for a total amount authorized of $150 million. As of March 31, 2017, we had repurchased $90.8 million of our outstanding common stock. Under the program, shares may be repurchased in privately negotiated and/or open market transactions, including under plans complying with Rule 10b5-1 under the Exchange Act. Our share repurchase program does not obligate us to acquire any specific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-845820</wp:posOffset>
            </wp:positionV>
            <wp:extent cx="1003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-845820</wp:posOffset>
            </wp:positionV>
            <wp:extent cx="1020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20" w:type="dxa"/>
            <w:vAlign w:val="bottom"/>
            <w:tcBorders>
              <w:top w:val="single" w:sz="8" w:color="auto"/>
            </w:tcBorders>
            <w:gridSpan w:val="2"/>
          </w:tcPr>
          <w:p>
            <w:pPr>
              <w:ind w:left="40"/>
              <w:spacing w:after="0"/>
              <w:rPr>
                <w:rFonts w:ascii="Arial" w:cs="Arial" w:eastAsia="Arial" w:hAnsi="Arial"/>
                <w:sz w:val="14"/>
                <w:szCs w:val="14"/>
                <w:color w:val="0000EE"/>
                <w:w w:val="71"/>
              </w:rPr>
            </w:pPr>
            <w:hyperlink r:id="rId13">
              <w:r>
                <w:rPr>
                  <w:rFonts w:ascii="Arial" w:cs="Arial" w:eastAsia="Arial" w:hAnsi="Arial"/>
                  <w:sz w:val="14"/>
                  <w:szCs w:val="14"/>
                  <w:color w:val="0000EE"/>
                  <w:w w:val="71"/>
                </w:rPr>
                <w:t>3.</w:t>
              </w:r>
              <w:r>
                <w:rPr>
                  <w:rFonts w:ascii="Arial" w:cs="Arial" w:eastAsia="Arial" w:hAnsi="Arial"/>
                  <w:sz w:val="14"/>
                  <w:szCs w:val="14"/>
                  <w:u w:val="single" w:color="auto"/>
                  <w:color w:val="0000EE"/>
                  <w:w w:val="71"/>
                </w:rPr>
                <w:t>1</w:t>
              </w:r>
            </w:hyperlink>
          </w:p>
        </w:tc>
        <w:tc>
          <w:tcPr>
            <w:tcW w:w="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0" w:type="dxa"/>
            <w:vAlign w:val="bottom"/>
            <w:gridSpan w:val="2"/>
          </w:tcPr>
          <w:p>
            <w:pPr>
              <w:ind w:left="40"/>
              <w:spacing w:after="0"/>
              <w:rPr>
                <w:rFonts w:ascii="Arial" w:cs="Arial" w:eastAsia="Arial" w:hAnsi="Arial"/>
                <w:sz w:val="14"/>
                <w:szCs w:val="14"/>
                <w:color w:val="0000EE"/>
                <w:w w:val="71"/>
              </w:rPr>
            </w:pPr>
            <w:hyperlink r:id="rId14">
              <w:r>
                <w:rPr>
                  <w:rFonts w:ascii="Arial" w:cs="Arial" w:eastAsia="Arial" w:hAnsi="Arial"/>
                  <w:sz w:val="14"/>
                  <w:szCs w:val="14"/>
                  <w:color w:val="0000EE"/>
                  <w:w w:val="71"/>
                </w:rPr>
                <w:t>3.</w:t>
              </w:r>
              <w:r>
                <w:rPr>
                  <w:rFonts w:ascii="Arial" w:cs="Arial" w:eastAsia="Arial" w:hAnsi="Arial"/>
                  <w:sz w:val="14"/>
                  <w:szCs w:val="14"/>
                  <w:u w:val="single" w:color="auto"/>
                  <w:color w:val="0000EE"/>
                  <w:w w:val="71"/>
                </w:rPr>
                <w:t>2</w:t>
              </w:r>
            </w:hyperlink>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4"/>
          </w:tcPr>
          <w:p>
            <w:pPr>
              <w:ind w:left="40"/>
              <w:spacing w:after="0"/>
              <w:rPr>
                <w:rFonts w:ascii="Arial" w:cs="Arial" w:eastAsia="Arial" w:hAnsi="Arial"/>
                <w:sz w:val="14"/>
                <w:szCs w:val="14"/>
                <w:color w:val="0000EE"/>
              </w:rPr>
            </w:pPr>
            <w:hyperlink w:anchor="page49">
              <w:r>
                <w:rPr>
                  <w:rFonts w:ascii="Arial" w:cs="Arial" w:eastAsia="Arial" w:hAnsi="Arial"/>
                  <w:sz w:val="14"/>
                  <w:szCs w:val="14"/>
                  <w:color w:val="0000EE"/>
                </w:rPr>
                <w:t>10.</w:t>
              </w:r>
              <w:r>
                <w:rPr>
                  <w:rFonts w:ascii="Arial" w:cs="Arial" w:eastAsia="Arial" w:hAnsi="Arial"/>
                  <w:sz w:val="14"/>
                  <w:szCs w:val="14"/>
                  <w:u w:val="single" w:color="auto"/>
                  <w:color w:val="0000EE"/>
                </w:rPr>
                <w:t>1</w:t>
              </w:r>
            </w:hyperlink>
            <w:r>
              <w:rPr>
                <w:rFonts w:ascii="Arial" w:cs="Arial" w:eastAsia="Arial" w:hAnsi="Arial"/>
                <w:sz w:val="14"/>
                <w:szCs w:val="14"/>
                <w:color w:val="000000"/>
              </w:rPr>
              <w:t>*</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2"/>
              </w:rPr>
              <w:t>Employment Offer Letter by and between the Registrant and Steve Swank, dated as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June 7, 2010</w:t>
            </w:r>
          </w:p>
        </w:tc>
        <w:tc>
          <w:tcPr>
            <w:tcW w:w="0" w:type="dxa"/>
            <w:vAlign w:val="bottom"/>
          </w:tcPr>
          <w:p>
            <w:pPr>
              <w:spacing w:after="0"/>
              <w:rPr>
                <w:sz w:val="1"/>
                <w:szCs w:val="1"/>
                <w:color w:val="auto"/>
              </w:rPr>
            </w:pPr>
          </w:p>
        </w:tc>
      </w:tr>
      <w:tr>
        <w:trPr>
          <w:trHeight w:val="290"/>
        </w:trPr>
        <w:tc>
          <w:tcPr>
            <w:tcW w:w="1040" w:type="dxa"/>
            <w:vAlign w:val="bottom"/>
            <w:gridSpan w:val="4"/>
          </w:tcPr>
          <w:p>
            <w:pPr>
              <w:ind w:left="40"/>
              <w:spacing w:after="0"/>
              <w:rPr>
                <w:rFonts w:ascii="Arial" w:cs="Arial" w:eastAsia="Arial" w:hAnsi="Arial"/>
                <w:sz w:val="14"/>
                <w:szCs w:val="14"/>
                <w:color w:val="0000EE"/>
              </w:rPr>
            </w:pPr>
            <w:hyperlink w:anchor="page52">
              <w:r>
                <w:rPr>
                  <w:rFonts w:ascii="Arial" w:cs="Arial" w:eastAsia="Arial" w:hAnsi="Arial"/>
                  <w:sz w:val="14"/>
                  <w:szCs w:val="14"/>
                  <w:color w:val="0000EE"/>
                </w:rPr>
                <w:t>31.</w:t>
              </w:r>
              <w:r>
                <w:rPr>
                  <w:rFonts w:ascii="Arial" w:cs="Arial" w:eastAsia="Arial" w:hAnsi="Arial"/>
                  <w:sz w:val="14"/>
                  <w:szCs w:val="14"/>
                  <w:u w:val="single" w:color="auto"/>
                  <w:color w:val="0000EE"/>
                </w:rPr>
                <w:t>1</w:t>
              </w:r>
            </w:hyperlink>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8"/>
              </w:rPr>
              <w:t>Certification of Chief Executive Officer Pursuant to Rule 13-14(a) or 15(d)-14(a) of</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40" w:type="dxa"/>
            <w:vAlign w:val="bottom"/>
          </w:tcPr>
          <w:p>
            <w:pPr>
              <w:ind w:left="40"/>
              <w:spacing w:after="0" w:line="123"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6"/>
        </w:trPr>
        <w:tc>
          <w:tcPr>
            <w:tcW w:w="1040" w:type="dxa"/>
            <w:vAlign w:val="bottom"/>
            <w:gridSpan w:val="4"/>
          </w:tcPr>
          <w:p>
            <w:pPr>
              <w:ind w:left="40"/>
              <w:spacing w:after="0"/>
              <w:rPr>
                <w:rFonts w:ascii="Arial" w:cs="Arial" w:eastAsia="Arial" w:hAnsi="Arial"/>
                <w:sz w:val="14"/>
                <w:szCs w:val="14"/>
                <w:color w:val="0000EE"/>
              </w:rPr>
            </w:pPr>
            <w:hyperlink w:anchor="page53">
              <w:r>
                <w:rPr>
                  <w:rFonts w:ascii="Arial" w:cs="Arial" w:eastAsia="Arial" w:hAnsi="Arial"/>
                  <w:sz w:val="14"/>
                  <w:szCs w:val="14"/>
                  <w:color w:val="0000EE"/>
                </w:rPr>
                <w:t>31.</w:t>
              </w:r>
              <w:r>
                <w:rPr>
                  <w:rFonts w:ascii="Arial" w:cs="Arial" w:eastAsia="Arial" w:hAnsi="Arial"/>
                  <w:sz w:val="14"/>
                  <w:szCs w:val="14"/>
                  <w:u w:val="single" w:color="auto"/>
                  <w:color w:val="0000EE"/>
                </w:rPr>
                <w:t>2</w:t>
              </w:r>
            </w:hyperlink>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9"/>
              </w:rPr>
              <w:t>Certification of Chief Financial Officer Pursuant to Rule 13-14(a) or 15(d)-14(a) of</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40" w:type="dxa"/>
            <w:vAlign w:val="bottom"/>
          </w:tcPr>
          <w:p>
            <w:pPr>
              <w:ind w:left="40"/>
              <w:spacing w:after="0" w:line="123"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6"/>
        </w:trPr>
        <w:tc>
          <w:tcPr>
            <w:tcW w:w="1040" w:type="dxa"/>
            <w:vAlign w:val="bottom"/>
            <w:gridSpan w:val="4"/>
          </w:tcPr>
          <w:p>
            <w:pPr>
              <w:ind w:left="40"/>
              <w:spacing w:after="0"/>
              <w:rPr>
                <w:rFonts w:ascii="Arial" w:cs="Arial" w:eastAsia="Arial" w:hAnsi="Arial"/>
                <w:sz w:val="14"/>
                <w:szCs w:val="14"/>
                <w:color w:val="0000EE"/>
              </w:rPr>
            </w:pPr>
            <w:hyperlink w:anchor="page54">
              <w:r>
                <w:rPr>
                  <w:rFonts w:ascii="Arial" w:cs="Arial" w:eastAsia="Arial" w:hAnsi="Arial"/>
                  <w:sz w:val="14"/>
                  <w:szCs w:val="14"/>
                  <w:color w:val="0000EE"/>
                </w:rPr>
                <w:t>32.</w:t>
              </w:r>
              <w:r>
                <w:rPr>
                  <w:rFonts w:ascii="Arial" w:cs="Arial" w:eastAsia="Arial" w:hAnsi="Arial"/>
                  <w:sz w:val="14"/>
                  <w:szCs w:val="14"/>
                  <w:u w:val="single" w:color="auto"/>
                  <w:color w:val="0000EE"/>
                </w:rPr>
                <w:t>1</w:t>
              </w:r>
            </w:hyperlink>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290"/>
        </w:trPr>
        <w:tc>
          <w:tcPr>
            <w:tcW w:w="1040" w:type="dxa"/>
            <w:vAlign w:val="bottom"/>
            <w:gridSpan w:val="4"/>
          </w:tcPr>
          <w:p>
            <w:pPr>
              <w:ind w:left="40"/>
              <w:spacing w:after="0"/>
              <w:rPr>
                <w:rFonts w:ascii="Arial" w:cs="Arial" w:eastAsia="Arial" w:hAnsi="Arial"/>
                <w:sz w:val="14"/>
                <w:szCs w:val="14"/>
                <w:color w:val="0000EE"/>
              </w:rPr>
            </w:pPr>
            <w:hyperlink w:anchor="page55">
              <w:r>
                <w:rPr>
                  <w:rFonts w:ascii="Arial" w:cs="Arial" w:eastAsia="Arial" w:hAnsi="Arial"/>
                  <w:sz w:val="14"/>
                  <w:szCs w:val="14"/>
                  <w:color w:val="0000EE"/>
                </w:rPr>
                <w:t>32.</w:t>
              </w:r>
              <w:r>
                <w:rPr>
                  <w:rFonts w:ascii="Arial" w:cs="Arial" w:eastAsia="Arial" w:hAnsi="Arial"/>
                  <w:sz w:val="14"/>
                  <w:szCs w:val="14"/>
                  <w:u w:val="single" w:color="auto"/>
                  <w:color w:val="0000EE"/>
                </w:rPr>
                <w:t>2</w:t>
              </w:r>
            </w:hyperlink>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319"/>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101.INS</w:t>
            </w:r>
          </w:p>
        </w:tc>
        <w:tc>
          <w:tcPr>
            <w:tcW w:w="5040" w:type="dxa"/>
            <w:vAlign w:val="bottom"/>
          </w:tcPr>
          <w:p>
            <w:pPr>
              <w:ind w:left="40"/>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101.SCH</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101.CAL</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101.DEF</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101.LAB</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101.PRE</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 Indicates a management contract or compensatory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79"/>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611" w:lineRule="exact"/>
        <w:rPr>
          <w:sz w:val="20"/>
          <w:szCs w:val="20"/>
          <w:color w:val="auto"/>
        </w:rPr>
      </w:pPr>
    </w:p>
    <w:p>
      <w:pPr>
        <w:sectPr>
          <w:pgSz w:w="11900" w:h="16838" w:orient="portrait"/>
          <w:cols w:equalWidth="0" w:num="2">
            <w:col w:w="6200" w:space="120"/>
            <w:col w:w="510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39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760" w:type="dxa"/>
            <w:vAlign w:val="bottom"/>
            <w:gridSpan w:val="2"/>
          </w:tcPr>
          <w:p>
            <w:pPr>
              <w:ind w:left="3380"/>
              <w:spacing w:after="0"/>
              <w:rPr>
                <w:sz w:val="20"/>
                <w:szCs w:val="20"/>
                <w:color w:val="auto"/>
              </w:rPr>
            </w:pPr>
            <w:r>
              <w:rPr>
                <w:rFonts w:ascii="Arial" w:cs="Arial" w:eastAsia="Arial" w:hAnsi="Arial"/>
                <w:sz w:val="18"/>
                <w:szCs w:val="18"/>
                <w:color w:val="auto"/>
              </w:rPr>
              <w:t>RPX CORPORATION</w:t>
            </w:r>
          </w:p>
        </w:tc>
      </w:tr>
      <w:tr>
        <w:trPr>
          <w:trHeight w:val="270"/>
        </w:trPr>
        <w:tc>
          <w:tcPr>
            <w:tcW w:w="3520" w:type="dxa"/>
            <w:vAlign w:val="bottom"/>
          </w:tcPr>
          <w:p>
            <w:pPr>
              <w:spacing w:after="0"/>
              <w:rPr>
                <w:sz w:val="23"/>
                <w:szCs w:val="23"/>
                <w:color w:val="auto"/>
              </w:rPr>
            </w:pPr>
          </w:p>
        </w:tc>
        <w:tc>
          <w:tcPr>
            <w:tcW w:w="6760" w:type="dxa"/>
            <w:vAlign w:val="bottom"/>
            <w:gridSpan w:val="2"/>
          </w:tcPr>
          <w:p>
            <w:pPr>
              <w:ind w:left="3380"/>
              <w:spacing w:after="0"/>
              <w:rPr>
                <w:sz w:val="20"/>
                <w:szCs w:val="20"/>
                <w:color w:val="auto"/>
              </w:rPr>
            </w:pPr>
            <w:r>
              <w:rPr>
                <w:rFonts w:ascii="Arial" w:cs="Arial" w:eastAsia="Arial" w:hAnsi="Arial"/>
                <w:sz w:val="18"/>
                <w:szCs w:val="18"/>
                <w:color w:val="auto"/>
              </w:rPr>
              <w:t>(Registrant)</w:t>
            </w:r>
          </w:p>
        </w:tc>
      </w:tr>
      <w:tr>
        <w:trPr>
          <w:trHeight w:val="594"/>
        </w:trPr>
        <w:tc>
          <w:tcPr>
            <w:tcW w:w="3520" w:type="dxa"/>
            <w:vAlign w:val="bottom"/>
          </w:tcPr>
          <w:p>
            <w:pPr>
              <w:spacing w:after="0"/>
              <w:rPr>
                <w:sz w:val="20"/>
                <w:szCs w:val="20"/>
                <w:color w:val="auto"/>
              </w:rPr>
            </w:pPr>
            <w:r>
              <w:rPr>
                <w:rFonts w:ascii="Arial" w:cs="Arial" w:eastAsia="Arial" w:hAnsi="Arial"/>
                <w:sz w:val="18"/>
                <w:szCs w:val="18"/>
                <w:color w:val="auto"/>
              </w:rPr>
              <w:t>Date:  May 4, 2017</w:t>
            </w:r>
          </w:p>
        </w:tc>
        <w:tc>
          <w:tcPr>
            <w:tcW w:w="3880" w:type="dxa"/>
            <w:vAlign w:val="bottom"/>
          </w:tcPr>
          <w:p>
            <w:pPr>
              <w:ind w:left="3380"/>
              <w:spacing w:after="0"/>
              <w:rPr>
                <w:sz w:val="20"/>
                <w:szCs w:val="20"/>
                <w:color w:val="auto"/>
              </w:rPr>
            </w:pPr>
            <w:r>
              <w:rPr>
                <w:rFonts w:ascii="Arial" w:cs="Arial" w:eastAsia="Arial" w:hAnsi="Arial"/>
                <w:sz w:val="18"/>
                <w:szCs w:val="18"/>
                <w:color w:val="auto"/>
              </w:rPr>
              <w:t>By:</w:t>
            </w:r>
          </w:p>
        </w:tc>
        <w:tc>
          <w:tcPr>
            <w:tcW w:w="2880" w:type="dxa"/>
            <w:vAlign w:val="bottom"/>
          </w:tcPr>
          <w:p>
            <w:pPr>
              <w:ind w:left="260"/>
              <w:spacing w:after="0"/>
              <w:rPr>
                <w:sz w:val="20"/>
                <w:szCs w:val="20"/>
                <w:color w:val="auto"/>
              </w:rPr>
            </w:pPr>
            <w:r>
              <w:rPr>
                <w:rFonts w:ascii="Arial" w:cs="Arial" w:eastAsia="Arial" w:hAnsi="Arial"/>
                <w:sz w:val="18"/>
                <w:szCs w:val="18"/>
                <w:color w:val="auto"/>
              </w:rPr>
              <w:t>/s/ MARTIN E. ROBERTS</w:t>
            </w:r>
          </w:p>
        </w:tc>
      </w:tr>
      <w:tr>
        <w:trPr>
          <w:trHeight w:val="27"/>
        </w:trPr>
        <w:tc>
          <w:tcPr>
            <w:tcW w:w="35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80" w:type="dxa"/>
            <w:vAlign w:val="bottom"/>
          </w:tcPr>
          <w:p>
            <w:pPr>
              <w:ind w:left="260"/>
              <w:spacing w:after="0"/>
              <w:rPr>
                <w:sz w:val="20"/>
                <w:szCs w:val="20"/>
                <w:color w:val="auto"/>
              </w:rPr>
            </w:pPr>
            <w:r>
              <w:rPr>
                <w:rFonts w:ascii="Arial" w:cs="Arial" w:eastAsia="Arial" w:hAnsi="Arial"/>
                <w:sz w:val="18"/>
                <w:szCs w:val="18"/>
                <w:color w:val="auto"/>
              </w:rPr>
              <w:t>Martin E. Roberts</w:t>
            </w:r>
          </w:p>
        </w:tc>
      </w:tr>
      <w:tr>
        <w:trPr>
          <w:trHeight w:val="270"/>
        </w:trPr>
        <w:tc>
          <w:tcPr>
            <w:tcW w:w="35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880" w:type="dxa"/>
            <w:vAlign w:val="bottom"/>
          </w:tcPr>
          <w:p>
            <w:pPr>
              <w:ind w:left="260"/>
              <w:spacing w:after="0"/>
              <w:rPr>
                <w:sz w:val="20"/>
                <w:szCs w:val="20"/>
                <w:color w:val="auto"/>
              </w:rPr>
            </w:pPr>
            <w:r>
              <w:rPr>
                <w:rFonts w:ascii="Arial" w:cs="Arial" w:eastAsia="Arial" w:hAnsi="Arial"/>
                <w:sz w:val="18"/>
                <w:szCs w:val="18"/>
                <w:color w:val="auto"/>
              </w:rPr>
              <w:t>Chief Executive Officer</w:t>
            </w:r>
          </w:p>
        </w:tc>
      </w:tr>
      <w:tr>
        <w:trPr>
          <w:trHeight w:val="270"/>
        </w:trPr>
        <w:tc>
          <w:tcPr>
            <w:tcW w:w="35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88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918"/>
        </w:trPr>
        <w:tc>
          <w:tcPr>
            <w:tcW w:w="3520" w:type="dxa"/>
            <w:vAlign w:val="bottom"/>
          </w:tcPr>
          <w:p>
            <w:pPr>
              <w:spacing w:after="0"/>
              <w:rPr>
                <w:sz w:val="20"/>
                <w:szCs w:val="20"/>
                <w:color w:val="auto"/>
              </w:rPr>
            </w:pPr>
            <w:r>
              <w:rPr>
                <w:rFonts w:ascii="Arial" w:cs="Arial" w:eastAsia="Arial" w:hAnsi="Arial"/>
                <w:sz w:val="18"/>
                <w:szCs w:val="18"/>
                <w:color w:val="auto"/>
              </w:rPr>
              <w:t>Date:  May 4, 2017</w:t>
            </w:r>
          </w:p>
        </w:tc>
        <w:tc>
          <w:tcPr>
            <w:tcW w:w="3880" w:type="dxa"/>
            <w:vAlign w:val="bottom"/>
          </w:tcPr>
          <w:p>
            <w:pPr>
              <w:ind w:left="3380"/>
              <w:spacing w:after="0"/>
              <w:rPr>
                <w:sz w:val="20"/>
                <w:szCs w:val="20"/>
                <w:color w:val="auto"/>
              </w:rPr>
            </w:pPr>
            <w:r>
              <w:rPr>
                <w:rFonts w:ascii="Arial" w:cs="Arial" w:eastAsia="Arial" w:hAnsi="Arial"/>
                <w:sz w:val="18"/>
                <w:szCs w:val="18"/>
                <w:color w:val="auto"/>
              </w:rPr>
              <w:t>By:</w:t>
            </w:r>
          </w:p>
        </w:tc>
        <w:tc>
          <w:tcPr>
            <w:tcW w:w="2880" w:type="dxa"/>
            <w:vAlign w:val="bottom"/>
          </w:tcPr>
          <w:p>
            <w:pPr>
              <w:ind w:left="260"/>
              <w:spacing w:after="0"/>
              <w:rPr>
                <w:sz w:val="20"/>
                <w:szCs w:val="20"/>
                <w:color w:val="auto"/>
              </w:rPr>
            </w:pPr>
            <w:r>
              <w:rPr>
                <w:rFonts w:ascii="Arial" w:cs="Arial" w:eastAsia="Arial" w:hAnsi="Arial"/>
                <w:sz w:val="18"/>
                <w:szCs w:val="18"/>
                <w:color w:val="auto"/>
              </w:rPr>
              <w:t>/s/ ROBERT H. HEATH</w:t>
            </w:r>
          </w:p>
        </w:tc>
      </w:tr>
      <w:tr>
        <w:trPr>
          <w:trHeight w:val="27"/>
        </w:trPr>
        <w:tc>
          <w:tcPr>
            <w:tcW w:w="35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80" w:type="dxa"/>
            <w:vAlign w:val="bottom"/>
          </w:tcPr>
          <w:p>
            <w:pPr>
              <w:ind w:left="260"/>
              <w:spacing w:after="0"/>
              <w:rPr>
                <w:sz w:val="20"/>
                <w:szCs w:val="20"/>
                <w:color w:val="auto"/>
              </w:rPr>
            </w:pPr>
            <w:r>
              <w:rPr>
                <w:rFonts w:ascii="Arial" w:cs="Arial" w:eastAsia="Arial" w:hAnsi="Arial"/>
                <w:sz w:val="18"/>
                <w:szCs w:val="18"/>
                <w:color w:val="auto"/>
              </w:rPr>
              <w:t>Robert H. Heath</w:t>
            </w:r>
          </w:p>
        </w:tc>
      </w:tr>
      <w:tr>
        <w:trPr>
          <w:trHeight w:val="270"/>
        </w:trPr>
        <w:tc>
          <w:tcPr>
            <w:tcW w:w="35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880" w:type="dxa"/>
            <w:vAlign w:val="bottom"/>
          </w:tcPr>
          <w:p>
            <w:pPr>
              <w:ind w:left="260"/>
              <w:spacing w:after="0"/>
              <w:rPr>
                <w:sz w:val="20"/>
                <w:szCs w:val="20"/>
                <w:color w:val="auto"/>
              </w:rPr>
            </w:pPr>
            <w:r>
              <w:rPr>
                <w:rFonts w:ascii="Arial" w:cs="Arial" w:eastAsia="Arial" w:hAnsi="Arial"/>
                <w:sz w:val="18"/>
                <w:szCs w:val="18"/>
                <w:color w:val="auto"/>
              </w:rPr>
              <w:t>Chief Financial Officer</w:t>
            </w:r>
          </w:p>
        </w:tc>
      </w:tr>
      <w:tr>
        <w:trPr>
          <w:trHeight w:val="270"/>
        </w:trPr>
        <w:tc>
          <w:tcPr>
            <w:tcW w:w="35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88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3520" w:type="dxa"/>
            <w:vAlign w:val="bottom"/>
          </w:tcPr>
          <w:p>
            <w:pPr>
              <w:spacing w:after="0"/>
              <w:rPr>
                <w:sz w:val="24"/>
                <w:szCs w:val="24"/>
                <w:color w:val="auto"/>
              </w:rPr>
            </w:pPr>
          </w:p>
        </w:tc>
        <w:tc>
          <w:tcPr>
            <w:tcW w:w="3880" w:type="dxa"/>
            <w:vAlign w:val="bottom"/>
          </w:tcPr>
          <w:p>
            <w:pPr>
              <w:ind w:left="2060"/>
              <w:spacing w:after="0"/>
              <w:rPr>
                <w:sz w:val="20"/>
                <w:szCs w:val="20"/>
                <w:color w:val="auto"/>
              </w:rPr>
            </w:pPr>
            <w:r>
              <w:rPr>
                <w:rFonts w:ascii="Arial" w:cs="Arial" w:eastAsia="Arial" w:hAnsi="Arial"/>
                <w:sz w:val="18"/>
                <w:szCs w:val="18"/>
                <w:color w:val="auto"/>
              </w:rPr>
              <w:t>46</w:t>
            </w:r>
          </w:p>
        </w:tc>
        <w:tc>
          <w:tcPr>
            <w:tcW w:w="2880" w:type="dxa"/>
            <w:vAlign w:val="bottom"/>
          </w:tcPr>
          <w:p>
            <w:pPr>
              <w:spacing w:after="0"/>
              <w:rPr>
                <w:sz w:val="24"/>
                <w:szCs w:val="24"/>
                <w:color w:val="auto"/>
              </w:rPr>
            </w:pPr>
          </w:p>
        </w:tc>
      </w:tr>
    </w:tbl>
    <w:p>
      <w:pPr>
        <w:sectPr>
          <w:pgSz w:w="11900" w:h="16838" w:orient="portrait"/>
          <w:cols w:equalWidth="0" w:num="1">
            <w:col w:w="10780"/>
          </w:cols>
          <w:pgMar w:left="240" w:top="125" w:right="87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MARKET PLAZA, STEUART TOWER, SUITE 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 94105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7, 2010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Steven S. Swank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4001 Harding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Steven: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RPX Corporation (the “Company”) is pleased to offer you employment on the following terms:</w:t>
      </w:r>
    </w:p>
    <w:p>
      <w:pPr>
        <w:spacing w:after="0" w:line="221" w:lineRule="exact"/>
        <w:rPr>
          <w:sz w:val="20"/>
          <w:szCs w:val="20"/>
          <w:color w:val="auto"/>
        </w:rPr>
      </w:pPr>
    </w:p>
    <w:p>
      <w:pPr>
        <w:ind w:firstLine="8"/>
        <w:spacing w:after="0" w:line="282" w:lineRule="auto"/>
        <w:tabs>
          <w:tab w:leader="none" w:pos="355"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Your initial title will be Vice President of Account Management, and you will initially report to Geoffrey T. Barker, Chief Operating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This is a full-time position.</w:t>
      </w:r>
    </w:p>
    <w:p>
      <w:pPr>
        <w:spacing w:after="0" w:line="161"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Commencement of Employment. </w:t>
      </w:r>
      <w:r>
        <w:rPr>
          <w:rFonts w:ascii="Arial" w:cs="Arial" w:eastAsia="Arial" w:hAnsi="Arial"/>
          <w:sz w:val="16"/>
          <w:szCs w:val="16"/>
          <w:color w:val="auto"/>
        </w:rPr>
        <w:t>This letter is conditioned upon your agreement to begin employment with the Company no later than July 1, 2010.</w:t>
      </w:r>
    </w:p>
    <w:p>
      <w:pPr>
        <w:spacing w:after="0" w:line="248" w:lineRule="exact"/>
        <w:rPr>
          <w:rFonts w:ascii="Arial" w:cs="Arial" w:eastAsia="Arial" w:hAnsi="Arial"/>
          <w:sz w:val="16"/>
          <w:szCs w:val="16"/>
          <w:color w:val="auto"/>
        </w:rPr>
      </w:pPr>
    </w:p>
    <w:p>
      <w:pPr>
        <w:ind w:right="180" w:firstLine="8"/>
        <w:spacing w:after="0" w:line="347" w:lineRule="auto"/>
        <w:tabs>
          <w:tab w:leader="none" w:pos="315"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Cash Compensation. </w:t>
      </w:r>
      <w:r>
        <w:rPr>
          <w:rFonts w:ascii="Arial" w:cs="Arial" w:eastAsia="Arial" w:hAnsi="Arial"/>
          <w:sz w:val="16"/>
          <w:szCs w:val="16"/>
          <w:color w:val="auto"/>
        </w:rPr>
        <w:t>The Company will pay you a starting salary at the rate of $250,000 per year, payable in accordance with the Company’s standard</w:t>
      </w:r>
      <w:r>
        <w:rPr>
          <w:rFonts w:ascii="Arial" w:cs="Arial" w:eastAsia="Arial" w:hAnsi="Arial"/>
          <w:sz w:val="16"/>
          <w:szCs w:val="16"/>
          <w:b w:val="1"/>
          <w:bCs w:val="1"/>
          <w:color w:val="auto"/>
        </w:rPr>
        <w:t xml:space="preserve"> </w:t>
      </w:r>
      <w:r>
        <w:rPr>
          <w:rFonts w:ascii="Arial" w:cs="Arial" w:eastAsia="Arial" w:hAnsi="Arial"/>
          <w:sz w:val="16"/>
          <w:szCs w:val="16"/>
          <w:color w:val="auto"/>
        </w:rPr>
        <w:t>payroll schedule. This salary will be subject to adjustment pursuant to the Company’s employee compensation policies in effect from time to time.</w:t>
      </w:r>
    </w:p>
    <w:p>
      <w:pPr>
        <w:spacing w:after="0" w:line="93" w:lineRule="exact"/>
        <w:rPr>
          <w:rFonts w:ascii="Arial" w:cs="Arial" w:eastAsia="Arial" w:hAnsi="Arial"/>
          <w:sz w:val="16"/>
          <w:szCs w:val="16"/>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Year-End Bonus. </w:t>
      </w:r>
      <w:r>
        <w:rPr>
          <w:rFonts w:ascii="Arial" w:cs="Arial" w:eastAsia="Arial" w:hAnsi="Arial"/>
          <w:sz w:val="16"/>
          <w:szCs w:val="16"/>
          <w:color w:val="auto"/>
        </w:rPr>
        <w:t>If you are still employed with the Company as of December 31</w:t>
      </w:r>
      <w:r>
        <w:rPr>
          <w:rFonts w:ascii="Arial" w:cs="Arial" w:eastAsia="Arial" w:hAnsi="Arial"/>
          <w:sz w:val="22"/>
          <w:szCs w:val="22"/>
          <w:color w:val="auto"/>
          <w:vertAlign w:val="superscript"/>
        </w:rPr>
        <w:t>st</w:t>
      </w:r>
      <w:r>
        <w:rPr>
          <w:rFonts w:ascii="Arial" w:cs="Arial" w:eastAsia="Arial" w:hAnsi="Arial"/>
          <w:sz w:val="16"/>
          <w:szCs w:val="16"/>
          <w:color w:val="auto"/>
        </w:rPr>
        <w:t>, 2010, the Company will pay you a guaranteed Year End Bonus of</w:t>
      </w:r>
    </w:p>
    <w:p>
      <w:pPr>
        <w:ind w:right="20"/>
        <w:spacing w:after="0" w:line="211" w:lineRule="auto"/>
        <w:rPr>
          <w:sz w:val="20"/>
          <w:szCs w:val="20"/>
          <w:color w:val="auto"/>
        </w:rPr>
      </w:pPr>
      <w:r>
        <w:rPr>
          <w:rFonts w:ascii="Arial" w:cs="Arial" w:eastAsia="Arial" w:hAnsi="Arial"/>
          <w:sz w:val="18"/>
          <w:szCs w:val="18"/>
          <w:color w:val="auto"/>
        </w:rPr>
        <w:t>$40,000 for the calendar year 2010. If you are still employed with the Company as of December 31</w:t>
      </w:r>
      <w:r>
        <w:rPr>
          <w:rFonts w:ascii="Arial" w:cs="Arial" w:eastAsia="Arial" w:hAnsi="Arial"/>
          <w:sz w:val="25"/>
          <w:szCs w:val="25"/>
          <w:color w:val="auto"/>
          <w:vertAlign w:val="superscript"/>
        </w:rPr>
        <w:t>st</w:t>
      </w:r>
      <w:r>
        <w:rPr>
          <w:rFonts w:ascii="Arial" w:cs="Arial" w:eastAsia="Arial" w:hAnsi="Arial"/>
          <w:sz w:val="18"/>
          <w:szCs w:val="18"/>
          <w:color w:val="auto"/>
        </w:rPr>
        <w:t>, 2011, the Company will pay you a guaranteed Year· End Bonus of $75,000 for the calendar year 2011.</w:t>
      </w:r>
    </w:p>
    <w:p>
      <w:pPr>
        <w:spacing w:after="0" w:line="199" w:lineRule="exact"/>
        <w:rPr>
          <w:sz w:val="20"/>
          <w:szCs w:val="20"/>
          <w:color w:val="auto"/>
        </w:rPr>
      </w:pPr>
    </w:p>
    <w:p>
      <w:pPr>
        <w:jc w:val="both"/>
        <w:ind w:firstLine="8"/>
        <w:spacing w:after="0" w:line="266"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Equity Compensation. </w:t>
      </w:r>
      <w:r>
        <w:rPr>
          <w:rFonts w:ascii="Arial" w:cs="Arial" w:eastAsia="Arial" w:hAnsi="Arial"/>
          <w:sz w:val="18"/>
          <w:szCs w:val="18"/>
          <w:color w:val="auto"/>
        </w:rPr>
        <w:t>As part of your offer, we are also pleased to offer you a grant of 216,111 Options on Common Stock of the Company. This grant</w:t>
      </w:r>
      <w:r>
        <w:rPr>
          <w:rFonts w:ascii="Arial" w:cs="Arial" w:eastAsia="Arial" w:hAnsi="Arial"/>
          <w:sz w:val="18"/>
          <w:szCs w:val="18"/>
          <w:b w:val="1"/>
          <w:bCs w:val="1"/>
          <w:color w:val="auto"/>
        </w:rPr>
        <w:t xml:space="preserve"> </w:t>
      </w:r>
      <w:r>
        <w:rPr>
          <w:rFonts w:ascii="Arial" w:cs="Arial" w:eastAsia="Arial" w:hAnsi="Arial"/>
          <w:sz w:val="18"/>
          <w:szCs w:val="18"/>
          <w:color w:val="auto"/>
        </w:rPr>
        <w:t>is subject to approval by the Company’s board of directors and will vest 25% upon completion of your first year of employment with the Company, with the remaining 75% vesting ratably on a monthly basis over three years.</w:t>
      </w:r>
    </w:p>
    <w:p>
      <w:pPr>
        <w:spacing w:after="0" w:line="176" w:lineRule="exact"/>
        <w:rPr>
          <w:rFonts w:ascii="Arial" w:cs="Arial" w:eastAsia="Arial" w:hAnsi="Arial"/>
          <w:sz w:val="18"/>
          <w:szCs w:val="18"/>
          <w:color w:val="auto"/>
        </w:rPr>
      </w:pPr>
    </w:p>
    <w:p>
      <w:pPr>
        <w:jc w:val="both"/>
        <w:ind w:firstLine="8"/>
        <w:spacing w:after="0" w:line="268"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Relocation Expense Reimbursement. </w:t>
      </w:r>
      <w:r>
        <w:rPr>
          <w:rFonts w:ascii="Arial" w:cs="Arial" w:eastAsia="Arial" w:hAnsi="Arial"/>
          <w:sz w:val="17"/>
          <w:szCs w:val="17"/>
          <w:color w:val="auto"/>
        </w:rPr>
        <w:t>The Company will reimburse your reasonable relocation and related expenses that you incur in moving yourself,</w:t>
      </w:r>
      <w:r>
        <w:rPr>
          <w:rFonts w:ascii="Arial" w:cs="Arial" w:eastAsia="Arial" w:hAnsi="Arial"/>
          <w:sz w:val="17"/>
          <w:szCs w:val="17"/>
          <w:b w:val="1"/>
          <w:bCs w:val="1"/>
          <w:color w:val="auto"/>
        </w:rPr>
        <w:t xml:space="preserve"> </w:t>
      </w:r>
      <w:r>
        <w:rPr>
          <w:rFonts w:ascii="Arial" w:cs="Arial" w:eastAsia="Arial" w:hAnsi="Arial"/>
          <w:sz w:val="17"/>
          <w:szCs w:val="17"/>
          <w:color w:val="auto"/>
        </w:rPr>
        <w:t>your family and your household from Tennessee to California and for which you provide RPX with written receipts, up to a total of $50,000 (the “Moving Expenses”). The Moving Expenses will be nontaxable to you to the extent permitted by applicable federal and state law. In addition, the Company will pay you a signing bonus equal to the difference between $50,000 and the Moving Expenses (the “Signing Bonus”). The Signing Bonus will be payable to you in a lump sum no later than 2½ months after the close of the calendar year in which you relocate to California, but only if you are still employed by the Company at the time of payment of the Signing Bonus. We understand that you own a home in Tennessee on which your monthly mortgage payment is $2612. For each month beginning with August 2010 and ending upon the earlier of (i) the closing of the sale of such home, (ii) January 2011 and (iii) the termination of your employment with the Company, the Company will pay you an</w:t>
      </w:r>
    </w:p>
    <w:p>
      <w:pPr>
        <w:jc w:val="both"/>
        <w:spacing w:after="0" w:line="254" w:lineRule="auto"/>
        <w:rPr>
          <w:rFonts w:ascii="Arial" w:cs="Arial" w:eastAsia="Arial" w:hAnsi="Arial"/>
          <w:sz w:val="17"/>
          <w:szCs w:val="17"/>
          <w:color w:val="auto"/>
        </w:rPr>
      </w:pPr>
      <w:r>
        <w:rPr>
          <w:rFonts w:ascii="Arial" w:cs="Arial" w:eastAsia="Arial" w:hAnsi="Arial"/>
          <w:sz w:val="18"/>
          <w:szCs w:val="18"/>
          <w:color w:val="auto"/>
        </w:rPr>
        <w:t>amount (the “Home Mortgage Reimbursement”) which, after deductions for federal and California income taxes, will equal the amount you have paid for the monthly mortgage payment on such home in such month less any monthly rental income you may receive on such property. The Home Mortgage Reimbursement will be prorated for any partial month of ownership and will be taxable to you. You will submit your mortgage statement monthly at the end of the month for which it applies and will be reimbursed in the following month through the regular payroll cycle.</w:t>
      </w:r>
    </w:p>
    <w:p>
      <w:pPr>
        <w:spacing w:after="0" w:line="185" w:lineRule="exact"/>
        <w:rPr>
          <w:rFonts w:ascii="Arial" w:cs="Arial" w:eastAsia="Arial" w:hAnsi="Arial"/>
          <w:sz w:val="17"/>
          <w:szCs w:val="17"/>
          <w:color w:val="auto"/>
        </w:rPr>
      </w:pPr>
    </w:p>
    <w:p>
      <w:pPr>
        <w:ind w:firstLine="8"/>
        <w:spacing w:after="0" w:line="282"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color w:val="auto"/>
        </w:rPr>
        <w:t>As a regular employee of the Company, you will be eligible to participate in a number of Company-sponsored benefits. In addition,</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entitled to paid time off in accordance with the Company’s PTO policy, as in effect from time to time.</w:t>
      </w:r>
    </w:p>
    <w:p>
      <w:pPr>
        <w:spacing w:after="0" w:line="161" w:lineRule="exact"/>
        <w:rPr>
          <w:rFonts w:ascii="Arial" w:cs="Arial" w:eastAsia="Arial" w:hAnsi="Arial"/>
          <w:sz w:val="18"/>
          <w:szCs w:val="18"/>
          <w:color w:val="auto"/>
        </w:rPr>
      </w:pPr>
    </w:p>
    <w:p>
      <w:pPr>
        <w:ind w:firstLine="8"/>
        <w:spacing w:after="0" w:line="313"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Proprietary Information and Inventions Agreement. </w:t>
      </w:r>
      <w:r>
        <w:rPr>
          <w:rFonts w:ascii="Arial" w:cs="Arial" w:eastAsia="Arial" w:hAnsi="Arial"/>
          <w:sz w:val="17"/>
          <w:szCs w:val="17"/>
          <w:color w:val="auto"/>
        </w:rPr>
        <w:t>Like all Company employees, you will be required, as a condition of your employment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to sign the Company’s standard Proprietary Information and Inventions Agreement, a copy of which is attached hereto as </w:t>
      </w:r>
      <w:r>
        <w:rPr>
          <w:rFonts w:ascii="Arial" w:cs="Arial" w:eastAsia="Arial" w:hAnsi="Arial"/>
          <w:sz w:val="17"/>
          <w:szCs w:val="17"/>
          <w:b w:val="1"/>
          <w:bCs w:val="1"/>
          <w:color w:val="auto"/>
        </w:rPr>
        <w:t>Exhibit A.</w:t>
      </w:r>
    </w:p>
    <w:p>
      <w:pPr>
        <w:sectPr>
          <w:pgSz w:w="11900" w:h="16838" w:orient="portrait"/>
          <w:cols w:equalWidth="0" w:num="1">
            <w:col w:w="11420"/>
          </w:cols>
          <w:pgMar w:left="240" w:top="796" w:right="239" w:bottom="1440" w:gutter="0" w:footer="0" w:header="0"/>
        </w:sectPr>
      </w:pPr>
    </w:p>
    <w:bookmarkStart w:id="49" w:name="page50"/>
    <w:bookmarkEnd w:id="49"/>
    <w:p>
      <w:pPr>
        <w:jc w:val="both"/>
        <w:ind w:firstLine="8"/>
        <w:spacing w:after="0" w:line="288" w:lineRule="auto"/>
        <w:tabs>
          <w:tab w:leader="none" w:pos="328"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Employment Relationship. </w:t>
      </w:r>
      <w:r>
        <w:rPr>
          <w:rFonts w:ascii="Arial" w:cs="Arial" w:eastAsia="Arial" w:hAnsi="Arial"/>
          <w:sz w:val="16"/>
          <w:szCs w:val="16"/>
          <w:color w:val="auto"/>
        </w:rPr>
        <w:t>Our benefits, payroll, and other human resource management services are provided through TriNet Employer Group, Inc., a</w:t>
      </w:r>
      <w:r>
        <w:rPr>
          <w:rFonts w:ascii="Arial" w:cs="Arial" w:eastAsia="Arial" w:hAnsi="Arial"/>
          <w:sz w:val="16"/>
          <w:szCs w:val="16"/>
          <w:b w:val="1"/>
          <w:bCs w:val="1"/>
          <w:color w:val="auto"/>
        </w:rPr>
        <w:t xml:space="preserve"> </w:t>
      </w:r>
      <w:r>
        <w:rPr>
          <w:rFonts w:ascii="Arial" w:cs="Arial" w:eastAsia="Arial" w:hAnsi="Arial"/>
          <w:sz w:val="16"/>
          <w:szCs w:val="16"/>
          <w:color w:val="auto"/>
        </w:rPr>
        <w:t>professional employer organization. As a result of our arrangement with TriNet, TriNet will be considered your employer of record for these purposes and your managers at the Company will be responsible for directing your work, reviewing your performance, setting your schedule, and otherwise directing your work. Employment with the Company is for no specific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 While you render services to the Company, you will not engage in any other employment, consulting or other business activity (whether full-time or part-time) that would create a conflict of interest with the Company. By signing this letter of agreement, you confirm to the Company that you have no contractual commitments or other legal obligations that would prohibit you from performing your duties for the Company.</w:t>
      </w:r>
    </w:p>
    <w:p>
      <w:pPr>
        <w:spacing w:after="0" w:line="164" w:lineRule="exact"/>
        <w:rPr>
          <w:rFonts w:ascii="Arial" w:cs="Arial" w:eastAsia="Arial" w:hAnsi="Arial"/>
          <w:sz w:val="16"/>
          <w:szCs w:val="16"/>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Tax Matters.</w:t>
      </w:r>
    </w:p>
    <w:p>
      <w:pPr>
        <w:spacing w:after="0" w:line="252" w:lineRule="exact"/>
        <w:rPr>
          <w:sz w:val="20"/>
          <w:szCs w:val="20"/>
          <w:color w:val="auto"/>
        </w:rPr>
      </w:pPr>
    </w:p>
    <w:p>
      <w:pPr>
        <w:ind w:firstLine="8"/>
        <w:spacing w:after="0" w:line="329" w:lineRule="auto"/>
        <w:tabs>
          <w:tab w:leader="none" w:pos="848"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All forms of compensation referred to in this letter agreement are subject to reduction to reflect applicable withholding and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taxes and other deductions required by law.</w:t>
      </w:r>
    </w:p>
    <w:p>
      <w:pPr>
        <w:spacing w:after="0" w:line="161" w:lineRule="exact"/>
        <w:rPr>
          <w:rFonts w:ascii="Arial" w:cs="Arial" w:eastAsia="Arial" w:hAnsi="Arial"/>
          <w:sz w:val="18"/>
          <w:szCs w:val="18"/>
          <w:color w:val="auto"/>
        </w:rPr>
      </w:pPr>
    </w:p>
    <w:p>
      <w:pPr>
        <w:jc w:val="both"/>
        <w:ind w:firstLine="8"/>
        <w:spacing w:after="0" w:line="313" w:lineRule="auto"/>
        <w:tabs>
          <w:tab w:leader="none" w:pos="858"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282828"/>
        </w:rPr>
        <w:t xml:space="preserve">Tax Advice. </w:t>
      </w:r>
      <w:r>
        <w:rPr>
          <w:rFonts w:ascii="Arial" w:cs="Arial" w:eastAsia="Arial" w:hAnsi="Arial"/>
          <w:sz w:val="18"/>
          <w:szCs w:val="18"/>
          <w:color w:val="282828"/>
        </w:rPr>
        <w:t>You are</w:t>
      </w:r>
      <w:r>
        <w:rPr>
          <w:rFonts w:ascii="Arial" w:cs="Arial" w:eastAsia="Arial" w:hAnsi="Arial"/>
          <w:sz w:val="18"/>
          <w:szCs w:val="18"/>
          <w:b w:val="1"/>
          <w:bCs w:val="1"/>
          <w:color w:val="282828"/>
        </w:rPr>
        <w:t xml:space="preserve"> </w:t>
      </w:r>
      <w:r>
        <w:rPr>
          <w:rFonts w:ascii="Arial" w:cs="Arial" w:eastAsia="Arial" w:hAnsi="Arial"/>
          <w:sz w:val="18"/>
          <w:szCs w:val="18"/>
          <w:color w:val="3B3B3B"/>
        </w:rPr>
        <w:t>encouraged</w:t>
      </w:r>
      <w:r>
        <w:rPr>
          <w:rFonts w:ascii="Arial" w:cs="Arial" w:eastAsia="Arial" w:hAnsi="Arial"/>
          <w:sz w:val="18"/>
          <w:szCs w:val="18"/>
          <w:b w:val="1"/>
          <w:bCs w:val="1"/>
          <w:color w:val="282828"/>
        </w:rPr>
        <w:t xml:space="preserve"> </w:t>
      </w:r>
      <w:r>
        <w:rPr>
          <w:rFonts w:ascii="Arial" w:cs="Arial" w:eastAsia="Arial" w:hAnsi="Arial"/>
          <w:sz w:val="18"/>
          <w:szCs w:val="18"/>
          <w:color w:val="282828"/>
        </w:rPr>
        <w:t>to obtain</w:t>
      </w:r>
      <w:r>
        <w:rPr>
          <w:rFonts w:ascii="Arial" w:cs="Arial" w:eastAsia="Arial" w:hAnsi="Arial"/>
          <w:sz w:val="18"/>
          <w:szCs w:val="18"/>
          <w:b w:val="1"/>
          <w:bCs w:val="1"/>
          <w:color w:val="282828"/>
        </w:rPr>
        <w:t xml:space="preserve"> </w:t>
      </w:r>
      <w:r>
        <w:rPr>
          <w:rFonts w:ascii="Arial" w:cs="Arial" w:eastAsia="Arial" w:hAnsi="Arial"/>
          <w:sz w:val="18"/>
          <w:szCs w:val="18"/>
          <w:color w:val="3B3B3B"/>
        </w:rPr>
        <w:t>your own</w:t>
      </w:r>
      <w:r>
        <w:rPr>
          <w:rFonts w:ascii="Arial" w:cs="Arial" w:eastAsia="Arial" w:hAnsi="Arial"/>
          <w:sz w:val="18"/>
          <w:szCs w:val="18"/>
          <w:b w:val="1"/>
          <w:bCs w:val="1"/>
          <w:color w:val="282828"/>
        </w:rPr>
        <w:t xml:space="preserve"> </w:t>
      </w:r>
      <w:r>
        <w:rPr>
          <w:rFonts w:ascii="Arial" w:cs="Arial" w:eastAsia="Arial" w:hAnsi="Arial"/>
          <w:sz w:val="18"/>
          <w:szCs w:val="18"/>
          <w:color w:val="282828"/>
        </w:rPr>
        <w:t>tax</w:t>
      </w:r>
      <w:r>
        <w:rPr>
          <w:rFonts w:ascii="Arial" w:cs="Arial" w:eastAsia="Arial" w:hAnsi="Arial"/>
          <w:sz w:val="18"/>
          <w:szCs w:val="18"/>
          <w:b w:val="1"/>
          <w:bCs w:val="1"/>
          <w:color w:val="282828"/>
        </w:rPr>
        <w:t xml:space="preserve"> </w:t>
      </w:r>
      <w:r>
        <w:rPr>
          <w:rFonts w:ascii="Arial" w:cs="Arial" w:eastAsia="Arial" w:hAnsi="Arial"/>
          <w:sz w:val="18"/>
          <w:szCs w:val="18"/>
          <w:color w:val="3B3B3B"/>
        </w:rPr>
        <w:t>advice regarding your</w:t>
      </w:r>
      <w:r>
        <w:rPr>
          <w:rFonts w:ascii="Arial" w:cs="Arial" w:eastAsia="Arial" w:hAnsi="Arial"/>
          <w:sz w:val="18"/>
          <w:szCs w:val="18"/>
          <w:b w:val="1"/>
          <w:bCs w:val="1"/>
          <w:color w:val="282828"/>
        </w:rPr>
        <w:t xml:space="preserve"> </w:t>
      </w:r>
      <w:r>
        <w:rPr>
          <w:rFonts w:ascii="Arial" w:cs="Arial" w:eastAsia="Arial" w:hAnsi="Arial"/>
          <w:sz w:val="18"/>
          <w:szCs w:val="18"/>
          <w:color w:val="282828"/>
        </w:rPr>
        <w:t>compensation from the</w:t>
      </w:r>
      <w:r>
        <w:rPr>
          <w:rFonts w:ascii="Arial" w:cs="Arial" w:eastAsia="Arial" w:hAnsi="Arial"/>
          <w:sz w:val="18"/>
          <w:szCs w:val="18"/>
          <w:b w:val="1"/>
          <w:bCs w:val="1"/>
          <w:color w:val="282828"/>
        </w:rPr>
        <w:t xml:space="preserve"> </w:t>
      </w:r>
      <w:r>
        <w:rPr>
          <w:rFonts w:ascii="Arial" w:cs="Arial" w:eastAsia="Arial" w:hAnsi="Arial"/>
          <w:sz w:val="18"/>
          <w:szCs w:val="18"/>
          <w:color w:val="3B3B3B"/>
        </w:rPr>
        <w:t>Company.</w:t>
      </w:r>
      <w:r>
        <w:rPr>
          <w:rFonts w:ascii="Arial" w:cs="Arial" w:eastAsia="Arial" w:hAnsi="Arial"/>
          <w:sz w:val="18"/>
          <w:szCs w:val="18"/>
          <w:b w:val="1"/>
          <w:bCs w:val="1"/>
          <w:color w:val="282828"/>
        </w:rPr>
        <w:t xml:space="preserve"> </w:t>
      </w:r>
      <w:r>
        <w:rPr>
          <w:rFonts w:ascii="Arial" w:cs="Arial" w:eastAsia="Arial" w:hAnsi="Arial"/>
          <w:sz w:val="18"/>
          <w:szCs w:val="18"/>
          <w:color w:val="282828"/>
        </w:rPr>
        <w:t>You</w:t>
      </w:r>
      <w:r>
        <w:rPr>
          <w:rFonts w:ascii="Arial" w:cs="Arial" w:eastAsia="Arial" w:hAnsi="Arial"/>
          <w:sz w:val="18"/>
          <w:szCs w:val="18"/>
          <w:b w:val="1"/>
          <w:bCs w:val="1"/>
          <w:color w:val="282828"/>
        </w:rPr>
        <w:t xml:space="preserve"> </w:t>
      </w:r>
      <w:r>
        <w:rPr>
          <w:rFonts w:ascii="Arial" w:cs="Arial" w:eastAsia="Arial" w:hAnsi="Arial"/>
          <w:sz w:val="18"/>
          <w:szCs w:val="18"/>
          <w:color w:val="3B3B3B"/>
        </w:rPr>
        <w:t>agree</w:t>
      </w:r>
      <w:r>
        <w:rPr>
          <w:rFonts w:ascii="Arial" w:cs="Arial" w:eastAsia="Arial" w:hAnsi="Arial"/>
          <w:sz w:val="18"/>
          <w:szCs w:val="18"/>
          <w:b w:val="1"/>
          <w:bCs w:val="1"/>
          <w:color w:val="282828"/>
        </w:rPr>
        <w:t xml:space="preserve"> </w:t>
      </w:r>
      <w:r>
        <w:rPr>
          <w:rFonts w:ascii="Arial" w:cs="Arial" w:eastAsia="Arial" w:hAnsi="Arial"/>
          <w:sz w:val="18"/>
          <w:szCs w:val="18"/>
          <w:color w:val="282828"/>
        </w:rPr>
        <w:t>that the</w:t>
      </w:r>
      <w:r>
        <w:rPr>
          <w:rFonts w:ascii="Arial" w:cs="Arial" w:eastAsia="Arial" w:hAnsi="Arial"/>
          <w:sz w:val="18"/>
          <w:szCs w:val="18"/>
          <w:b w:val="1"/>
          <w:bCs w:val="1"/>
          <w:color w:val="282828"/>
        </w:rPr>
        <w:t xml:space="preserve"> </w:t>
      </w:r>
      <w:r>
        <w:rPr>
          <w:rFonts w:ascii="Arial" w:cs="Arial" w:eastAsia="Arial" w:hAnsi="Arial"/>
          <w:sz w:val="18"/>
          <w:szCs w:val="18"/>
          <w:color w:val="3B3B3B"/>
        </w:rPr>
        <w:t>Company</w:t>
      </w:r>
      <w:r>
        <w:rPr>
          <w:rFonts w:ascii="Arial" w:cs="Arial" w:eastAsia="Arial" w:hAnsi="Arial"/>
          <w:sz w:val="18"/>
          <w:szCs w:val="18"/>
          <w:b w:val="1"/>
          <w:bCs w:val="1"/>
          <w:color w:val="282828"/>
        </w:rPr>
        <w:t xml:space="preserve"> </w:t>
      </w:r>
      <w:r>
        <w:rPr>
          <w:rFonts w:ascii="Arial" w:cs="Arial" w:eastAsia="Arial" w:hAnsi="Arial"/>
          <w:sz w:val="18"/>
          <w:szCs w:val="18"/>
          <w:color w:val="282828"/>
        </w:rPr>
        <w:t xml:space="preserve">does not have </w:t>
      </w:r>
      <w:r>
        <w:rPr>
          <w:rFonts w:ascii="Arial" w:cs="Arial" w:eastAsia="Arial" w:hAnsi="Arial"/>
          <w:sz w:val="18"/>
          <w:szCs w:val="18"/>
          <w:color w:val="3B3B3B"/>
        </w:rPr>
        <w:t>a</w:t>
      </w:r>
      <w:r>
        <w:rPr>
          <w:rFonts w:ascii="Arial" w:cs="Arial" w:eastAsia="Arial" w:hAnsi="Arial"/>
          <w:sz w:val="18"/>
          <w:szCs w:val="18"/>
          <w:color w:val="282828"/>
        </w:rPr>
        <w:t xml:space="preserve"> duty to design its </w:t>
      </w:r>
      <w:r>
        <w:rPr>
          <w:rFonts w:ascii="Arial" w:cs="Arial" w:eastAsia="Arial" w:hAnsi="Arial"/>
          <w:sz w:val="18"/>
          <w:szCs w:val="18"/>
          <w:color w:val="3B3B3B"/>
        </w:rPr>
        <w:t>compensation</w:t>
      </w:r>
      <w:r>
        <w:rPr>
          <w:rFonts w:ascii="Arial" w:cs="Arial" w:eastAsia="Arial" w:hAnsi="Arial"/>
          <w:sz w:val="18"/>
          <w:szCs w:val="18"/>
          <w:color w:val="282828"/>
        </w:rPr>
        <w:t xml:space="preserve"> policies in </w:t>
      </w:r>
      <w:r>
        <w:rPr>
          <w:rFonts w:ascii="Arial" w:cs="Arial" w:eastAsia="Arial" w:hAnsi="Arial"/>
          <w:sz w:val="18"/>
          <w:szCs w:val="18"/>
          <w:color w:val="3B3B3B"/>
        </w:rPr>
        <w:t>a manner</w:t>
      </w:r>
      <w:r>
        <w:rPr>
          <w:rFonts w:ascii="Arial" w:cs="Arial" w:eastAsia="Arial" w:hAnsi="Arial"/>
          <w:sz w:val="18"/>
          <w:szCs w:val="18"/>
          <w:color w:val="282828"/>
        </w:rPr>
        <w:t xml:space="preserve"> that minimizes </w:t>
      </w:r>
      <w:r>
        <w:rPr>
          <w:rFonts w:ascii="Arial" w:cs="Arial" w:eastAsia="Arial" w:hAnsi="Arial"/>
          <w:sz w:val="18"/>
          <w:szCs w:val="18"/>
          <w:color w:val="3B3B3B"/>
        </w:rPr>
        <w:t>your</w:t>
      </w:r>
      <w:r>
        <w:rPr>
          <w:rFonts w:ascii="Arial" w:cs="Arial" w:eastAsia="Arial" w:hAnsi="Arial"/>
          <w:sz w:val="18"/>
          <w:szCs w:val="18"/>
          <w:color w:val="282828"/>
        </w:rPr>
        <w:t xml:space="preserve"> tax liabilities, and </w:t>
      </w:r>
      <w:r>
        <w:rPr>
          <w:rFonts w:ascii="Arial" w:cs="Arial" w:eastAsia="Arial" w:hAnsi="Arial"/>
          <w:sz w:val="18"/>
          <w:szCs w:val="18"/>
          <w:color w:val="3B3B3B"/>
        </w:rPr>
        <w:t>you will</w:t>
      </w:r>
      <w:r>
        <w:rPr>
          <w:rFonts w:ascii="Arial" w:cs="Arial" w:eastAsia="Arial" w:hAnsi="Arial"/>
          <w:sz w:val="18"/>
          <w:szCs w:val="18"/>
          <w:color w:val="282828"/>
        </w:rPr>
        <w:t xml:space="preserve"> not make any claim against the </w:t>
      </w:r>
      <w:r>
        <w:rPr>
          <w:rFonts w:ascii="Arial" w:cs="Arial" w:eastAsia="Arial" w:hAnsi="Arial"/>
          <w:sz w:val="18"/>
          <w:szCs w:val="18"/>
          <w:color w:val="3B3B3B"/>
        </w:rPr>
        <w:t xml:space="preserve">Company </w:t>
      </w:r>
      <w:r>
        <w:rPr>
          <w:rFonts w:ascii="Arial" w:cs="Arial" w:eastAsia="Arial" w:hAnsi="Arial"/>
          <w:sz w:val="18"/>
          <w:szCs w:val="18"/>
          <w:color w:val="282828"/>
        </w:rPr>
        <w:t>or its Board</w:t>
      </w:r>
      <w:r>
        <w:rPr>
          <w:rFonts w:ascii="Arial" w:cs="Arial" w:eastAsia="Arial" w:hAnsi="Arial"/>
          <w:sz w:val="18"/>
          <w:szCs w:val="18"/>
          <w:color w:val="3B3B3B"/>
        </w:rPr>
        <w:t xml:space="preserve"> of </w:t>
      </w:r>
      <w:r>
        <w:rPr>
          <w:rFonts w:ascii="Arial" w:cs="Arial" w:eastAsia="Arial" w:hAnsi="Arial"/>
          <w:sz w:val="18"/>
          <w:szCs w:val="18"/>
          <w:color w:val="282828"/>
        </w:rPr>
        <w:t>Directors</w:t>
      </w:r>
      <w:r>
        <w:rPr>
          <w:rFonts w:ascii="Arial" w:cs="Arial" w:eastAsia="Arial" w:hAnsi="Arial"/>
          <w:sz w:val="18"/>
          <w:szCs w:val="18"/>
          <w:color w:val="3B3B3B"/>
        </w:rPr>
        <w:t xml:space="preserve"> related </w:t>
      </w:r>
      <w:r>
        <w:rPr>
          <w:rFonts w:ascii="Arial" w:cs="Arial" w:eastAsia="Arial" w:hAnsi="Arial"/>
          <w:sz w:val="18"/>
          <w:szCs w:val="18"/>
          <w:color w:val="282828"/>
        </w:rPr>
        <w:t>to tax liabilities</w:t>
      </w:r>
      <w:r>
        <w:rPr>
          <w:rFonts w:ascii="Arial" w:cs="Arial" w:eastAsia="Arial" w:hAnsi="Arial"/>
          <w:sz w:val="18"/>
          <w:szCs w:val="18"/>
          <w:color w:val="3B3B3B"/>
        </w:rPr>
        <w:t xml:space="preserve"> arising </w:t>
      </w:r>
      <w:r>
        <w:rPr>
          <w:rFonts w:ascii="Arial" w:cs="Arial" w:eastAsia="Arial" w:hAnsi="Arial"/>
          <w:sz w:val="18"/>
          <w:szCs w:val="18"/>
          <w:color w:val="282828"/>
        </w:rPr>
        <w:t>from</w:t>
      </w:r>
      <w:r>
        <w:rPr>
          <w:rFonts w:ascii="Arial" w:cs="Arial" w:eastAsia="Arial" w:hAnsi="Arial"/>
          <w:sz w:val="18"/>
          <w:szCs w:val="18"/>
          <w:color w:val="3B3B3B"/>
        </w:rPr>
        <w:t xml:space="preserve"> your </w:t>
      </w:r>
      <w:r>
        <w:rPr>
          <w:rFonts w:ascii="Arial" w:cs="Arial" w:eastAsia="Arial" w:hAnsi="Arial"/>
          <w:sz w:val="18"/>
          <w:szCs w:val="18"/>
          <w:color w:val="282828"/>
        </w:rPr>
        <w:t>compensation.</w:t>
      </w:r>
    </w:p>
    <w:p>
      <w:pPr>
        <w:spacing w:after="0" w:line="149" w:lineRule="exact"/>
        <w:rPr>
          <w:sz w:val="20"/>
          <w:szCs w:val="20"/>
          <w:color w:val="auto"/>
        </w:rPr>
      </w:pPr>
    </w:p>
    <w:p>
      <w:pPr>
        <w:jc w:val="both"/>
        <w:ind w:firstLine="8"/>
        <w:spacing w:after="0" w:line="272" w:lineRule="auto"/>
        <w:tabs>
          <w:tab w:leader="none" w:pos="398" w:val="left"/>
        </w:tabs>
        <w:numPr>
          <w:ilvl w:val="0"/>
          <w:numId w:val="33"/>
        </w:numPr>
        <w:rPr>
          <w:rFonts w:ascii="Arial" w:cs="Arial" w:eastAsia="Arial" w:hAnsi="Arial"/>
          <w:sz w:val="17"/>
          <w:szCs w:val="17"/>
          <w:color w:val="282828"/>
        </w:rPr>
      </w:pPr>
      <w:r>
        <w:rPr>
          <w:rFonts w:ascii="Arial" w:cs="Arial" w:eastAsia="Arial" w:hAnsi="Arial"/>
          <w:sz w:val="17"/>
          <w:szCs w:val="17"/>
          <w:b w:val="1"/>
          <w:bCs w:val="1"/>
          <w:color w:val="282828"/>
        </w:rPr>
        <w:t xml:space="preserve">Interpretation, Amendment and Enforcement. </w:t>
      </w:r>
      <w:r>
        <w:rPr>
          <w:rFonts w:ascii="Arial" w:cs="Arial" w:eastAsia="Arial" w:hAnsi="Arial"/>
          <w:sz w:val="17"/>
          <w:szCs w:val="17"/>
          <w:color w:val="282828"/>
        </w:rPr>
        <w:t>This letter agreement and Exhibit A constitute the complete</w:t>
      </w:r>
      <w:r>
        <w:rPr>
          <w:rFonts w:ascii="Arial" w:cs="Arial" w:eastAsia="Arial" w:hAnsi="Arial"/>
          <w:sz w:val="17"/>
          <w:szCs w:val="17"/>
          <w:b w:val="1"/>
          <w:bCs w:val="1"/>
          <w:color w:val="282828"/>
        </w:rPr>
        <w:t xml:space="preserve"> </w:t>
      </w:r>
      <w:r>
        <w:rPr>
          <w:rFonts w:ascii="Arial" w:cs="Arial" w:eastAsia="Arial" w:hAnsi="Arial"/>
          <w:sz w:val="17"/>
          <w:szCs w:val="17"/>
          <w:color w:val="3B3B3B"/>
        </w:rPr>
        <w:t>agreement</w:t>
      </w:r>
      <w:r>
        <w:rPr>
          <w:rFonts w:ascii="Arial" w:cs="Arial" w:eastAsia="Arial" w:hAnsi="Arial"/>
          <w:sz w:val="17"/>
          <w:szCs w:val="17"/>
          <w:b w:val="1"/>
          <w:bCs w:val="1"/>
          <w:color w:val="282828"/>
        </w:rPr>
        <w:t xml:space="preserve"> </w:t>
      </w:r>
      <w:r>
        <w:rPr>
          <w:rFonts w:ascii="Arial" w:cs="Arial" w:eastAsia="Arial" w:hAnsi="Arial"/>
          <w:sz w:val="17"/>
          <w:szCs w:val="17"/>
          <w:color w:val="282828"/>
        </w:rPr>
        <w:t>between</w:t>
      </w:r>
      <w:r>
        <w:rPr>
          <w:rFonts w:ascii="Arial" w:cs="Arial" w:eastAsia="Arial" w:hAnsi="Arial"/>
          <w:sz w:val="17"/>
          <w:szCs w:val="17"/>
          <w:b w:val="1"/>
          <w:bCs w:val="1"/>
          <w:color w:val="282828"/>
        </w:rPr>
        <w:t xml:space="preserve"> </w:t>
      </w:r>
      <w:r>
        <w:rPr>
          <w:rFonts w:ascii="Arial" w:cs="Arial" w:eastAsia="Arial" w:hAnsi="Arial"/>
          <w:sz w:val="17"/>
          <w:szCs w:val="17"/>
          <w:color w:val="3B3B3B"/>
        </w:rPr>
        <w:t>you</w:t>
      </w:r>
      <w:r>
        <w:rPr>
          <w:rFonts w:ascii="Arial" w:cs="Arial" w:eastAsia="Arial" w:hAnsi="Arial"/>
          <w:sz w:val="17"/>
          <w:szCs w:val="17"/>
          <w:b w:val="1"/>
          <w:bCs w:val="1"/>
          <w:color w:val="282828"/>
        </w:rPr>
        <w:t xml:space="preserve"> </w:t>
      </w:r>
      <w:r>
        <w:rPr>
          <w:rFonts w:ascii="Arial" w:cs="Arial" w:eastAsia="Arial" w:hAnsi="Arial"/>
          <w:sz w:val="17"/>
          <w:szCs w:val="17"/>
          <w:color w:val="282828"/>
        </w:rPr>
        <w:t>and the</w:t>
      </w:r>
      <w:r>
        <w:rPr>
          <w:rFonts w:ascii="Arial" w:cs="Arial" w:eastAsia="Arial" w:hAnsi="Arial"/>
          <w:sz w:val="17"/>
          <w:szCs w:val="17"/>
          <w:b w:val="1"/>
          <w:bCs w:val="1"/>
          <w:color w:val="282828"/>
        </w:rPr>
        <w:t xml:space="preserve"> </w:t>
      </w:r>
      <w:r>
        <w:rPr>
          <w:rFonts w:ascii="Arial" w:cs="Arial" w:eastAsia="Arial" w:hAnsi="Arial"/>
          <w:sz w:val="17"/>
          <w:szCs w:val="17"/>
          <w:color w:val="3B3B3B"/>
        </w:rPr>
        <w:t>Company,</w:t>
      </w:r>
      <w:r>
        <w:rPr>
          <w:rFonts w:ascii="Arial" w:cs="Arial" w:eastAsia="Arial" w:hAnsi="Arial"/>
          <w:sz w:val="17"/>
          <w:szCs w:val="17"/>
          <w:b w:val="1"/>
          <w:bCs w:val="1"/>
          <w:color w:val="282828"/>
        </w:rPr>
        <w:t xml:space="preserve"> </w:t>
      </w:r>
      <w:r>
        <w:rPr>
          <w:rFonts w:ascii="Arial" w:cs="Arial" w:eastAsia="Arial" w:hAnsi="Arial"/>
          <w:sz w:val="17"/>
          <w:szCs w:val="17"/>
          <w:color w:val="282828"/>
        </w:rPr>
        <w:t xml:space="preserve">contain all </w:t>
      </w:r>
      <w:r>
        <w:rPr>
          <w:rFonts w:ascii="Arial" w:cs="Arial" w:eastAsia="Arial" w:hAnsi="Arial"/>
          <w:sz w:val="17"/>
          <w:szCs w:val="17"/>
          <w:color w:val="3B3B3B"/>
        </w:rPr>
        <w:t>of</w:t>
      </w:r>
      <w:r>
        <w:rPr>
          <w:rFonts w:ascii="Arial" w:cs="Arial" w:eastAsia="Arial" w:hAnsi="Arial"/>
          <w:sz w:val="17"/>
          <w:szCs w:val="17"/>
          <w:color w:val="282828"/>
        </w:rPr>
        <w:t xml:space="preserve"> the terms </w:t>
      </w:r>
      <w:r>
        <w:rPr>
          <w:rFonts w:ascii="Arial" w:cs="Arial" w:eastAsia="Arial" w:hAnsi="Arial"/>
          <w:sz w:val="17"/>
          <w:szCs w:val="17"/>
          <w:color w:val="3B3B3B"/>
        </w:rPr>
        <w:t>of your employment with the Company</w:t>
      </w:r>
      <w:r>
        <w:rPr>
          <w:rFonts w:ascii="Arial" w:cs="Arial" w:eastAsia="Arial" w:hAnsi="Arial"/>
          <w:sz w:val="17"/>
          <w:szCs w:val="17"/>
          <w:color w:val="282828"/>
        </w:rPr>
        <w:t xml:space="preserve"> and </w:t>
      </w:r>
      <w:r>
        <w:rPr>
          <w:rFonts w:ascii="Arial" w:cs="Arial" w:eastAsia="Arial" w:hAnsi="Arial"/>
          <w:sz w:val="17"/>
          <w:szCs w:val="17"/>
          <w:color w:val="3B3B3B"/>
        </w:rPr>
        <w:t>supersede</w:t>
      </w:r>
      <w:r>
        <w:rPr>
          <w:rFonts w:ascii="Arial" w:cs="Arial" w:eastAsia="Arial" w:hAnsi="Arial"/>
          <w:sz w:val="17"/>
          <w:szCs w:val="17"/>
          <w:color w:val="282828"/>
        </w:rPr>
        <w:t xml:space="preserve"> any prior </w:t>
      </w:r>
      <w:r>
        <w:rPr>
          <w:rFonts w:ascii="Arial" w:cs="Arial" w:eastAsia="Arial" w:hAnsi="Arial"/>
          <w:sz w:val="17"/>
          <w:szCs w:val="17"/>
          <w:color w:val="3B3B3B"/>
        </w:rPr>
        <w:t>agreements,</w:t>
      </w:r>
      <w:r>
        <w:rPr>
          <w:rFonts w:ascii="Arial" w:cs="Arial" w:eastAsia="Arial" w:hAnsi="Arial"/>
          <w:sz w:val="17"/>
          <w:szCs w:val="17"/>
          <w:color w:val="282828"/>
        </w:rPr>
        <w:t xml:space="preserve"> representations </w:t>
      </w:r>
      <w:r>
        <w:rPr>
          <w:rFonts w:ascii="Arial" w:cs="Arial" w:eastAsia="Arial" w:hAnsi="Arial"/>
          <w:sz w:val="17"/>
          <w:szCs w:val="17"/>
          <w:color w:val="3B3B3B"/>
        </w:rPr>
        <w:t>or</w:t>
      </w:r>
      <w:r>
        <w:rPr>
          <w:rFonts w:ascii="Arial" w:cs="Arial" w:eastAsia="Arial" w:hAnsi="Arial"/>
          <w:sz w:val="17"/>
          <w:szCs w:val="17"/>
          <w:color w:val="282828"/>
        </w:rPr>
        <w:t xml:space="preserve"> understandings </w:t>
      </w:r>
      <w:r>
        <w:rPr>
          <w:rFonts w:ascii="Arial" w:cs="Arial" w:eastAsia="Arial" w:hAnsi="Arial"/>
          <w:sz w:val="17"/>
          <w:szCs w:val="17"/>
          <w:color w:val="3B3B3B"/>
        </w:rPr>
        <w:t>(whether written, oral</w:t>
      </w:r>
      <w:r>
        <w:rPr>
          <w:rFonts w:ascii="Arial" w:cs="Arial" w:eastAsia="Arial" w:hAnsi="Arial"/>
          <w:sz w:val="17"/>
          <w:szCs w:val="17"/>
          <w:color w:val="282828"/>
        </w:rPr>
        <w:t xml:space="preserve"> or implied) </w:t>
      </w:r>
      <w:r>
        <w:rPr>
          <w:rFonts w:ascii="Arial" w:cs="Arial" w:eastAsia="Arial" w:hAnsi="Arial"/>
          <w:sz w:val="17"/>
          <w:szCs w:val="17"/>
          <w:color w:val="3B3B3B"/>
        </w:rPr>
        <w:t>between you</w:t>
      </w:r>
      <w:r>
        <w:rPr>
          <w:rFonts w:ascii="Arial" w:cs="Arial" w:eastAsia="Arial" w:hAnsi="Arial"/>
          <w:sz w:val="17"/>
          <w:szCs w:val="17"/>
          <w:color w:val="282828"/>
        </w:rPr>
        <w:t xml:space="preserve"> and the </w:t>
      </w:r>
      <w:r>
        <w:rPr>
          <w:rFonts w:ascii="Arial" w:cs="Arial" w:eastAsia="Arial" w:hAnsi="Arial"/>
          <w:sz w:val="17"/>
          <w:szCs w:val="17"/>
          <w:color w:val="3B3B3B"/>
        </w:rPr>
        <w:t>Company. This</w:t>
      </w:r>
      <w:r>
        <w:rPr>
          <w:rFonts w:ascii="Arial" w:cs="Arial" w:eastAsia="Arial" w:hAnsi="Arial"/>
          <w:sz w:val="17"/>
          <w:szCs w:val="17"/>
          <w:color w:val="282828"/>
        </w:rPr>
        <w:t xml:space="preserve"> letter agreement may not be amended </w:t>
      </w:r>
      <w:r>
        <w:rPr>
          <w:rFonts w:ascii="Arial" w:cs="Arial" w:eastAsia="Arial" w:hAnsi="Arial"/>
          <w:sz w:val="17"/>
          <w:szCs w:val="17"/>
          <w:color w:val="3B3B3B"/>
        </w:rPr>
        <w:t>or</w:t>
      </w:r>
      <w:r>
        <w:rPr>
          <w:rFonts w:ascii="Arial" w:cs="Arial" w:eastAsia="Arial" w:hAnsi="Arial"/>
          <w:sz w:val="17"/>
          <w:szCs w:val="17"/>
          <w:color w:val="282828"/>
        </w:rPr>
        <w:t xml:space="preserve"> modified, except by </w:t>
      </w:r>
      <w:r>
        <w:rPr>
          <w:rFonts w:ascii="Arial" w:cs="Arial" w:eastAsia="Arial" w:hAnsi="Arial"/>
          <w:sz w:val="17"/>
          <w:szCs w:val="17"/>
          <w:color w:val="3B3B3B"/>
        </w:rPr>
        <w:t>an</w:t>
      </w:r>
      <w:r>
        <w:rPr>
          <w:rFonts w:ascii="Arial" w:cs="Arial" w:eastAsia="Arial" w:hAnsi="Arial"/>
          <w:sz w:val="17"/>
          <w:szCs w:val="17"/>
          <w:color w:val="282828"/>
        </w:rPr>
        <w:t xml:space="preserve"> express </w:t>
      </w:r>
      <w:r>
        <w:rPr>
          <w:rFonts w:ascii="Arial" w:cs="Arial" w:eastAsia="Arial" w:hAnsi="Arial"/>
          <w:sz w:val="17"/>
          <w:szCs w:val="17"/>
          <w:color w:val="3B3B3B"/>
        </w:rPr>
        <w:t>written agreement signed</w:t>
      </w:r>
      <w:r>
        <w:rPr>
          <w:rFonts w:ascii="Arial" w:cs="Arial" w:eastAsia="Arial" w:hAnsi="Arial"/>
          <w:sz w:val="17"/>
          <w:szCs w:val="17"/>
          <w:color w:val="282828"/>
        </w:rPr>
        <w:t xml:space="preserve"> by both </w:t>
      </w:r>
      <w:r>
        <w:rPr>
          <w:rFonts w:ascii="Arial" w:cs="Arial" w:eastAsia="Arial" w:hAnsi="Arial"/>
          <w:sz w:val="17"/>
          <w:szCs w:val="17"/>
          <w:color w:val="3B3B3B"/>
        </w:rPr>
        <w:t xml:space="preserve">you </w:t>
      </w:r>
      <w:r>
        <w:rPr>
          <w:rFonts w:ascii="Arial" w:cs="Arial" w:eastAsia="Arial" w:hAnsi="Arial"/>
          <w:sz w:val="17"/>
          <w:szCs w:val="17"/>
          <w:color w:val="282828"/>
        </w:rPr>
        <w:t>and</w:t>
      </w:r>
      <w:r>
        <w:rPr>
          <w:rFonts w:ascii="Arial" w:cs="Arial" w:eastAsia="Arial" w:hAnsi="Arial"/>
          <w:sz w:val="17"/>
          <w:szCs w:val="17"/>
          <w:color w:val="3B3B3B"/>
        </w:rPr>
        <w:t xml:space="preserve"> a </w:t>
      </w:r>
      <w:r>
        <w:rPr>
          <w:rFonts w:ascii="Arial" w:cs="Arial" w:eastAsia="Arial" w:hAnsi="Arial"/>
          <w:sz w:val="17"/>
          <w:szCs w:val="17"/>
          <w:color w:val="282828"/>
        </w:rPr>
        <w:t>duly authorized</w:t>
      </w:r>
      <w:r>
        <w:rPr>
          <w:rFonts w:ascii="Arial" w:cs="Arial" w:eastAsia="Arial" w:hAnsi="Arial"/>
          <w:sz w:val="17"/>
          <w:szCs w:val="17"/>
          <w:color w:val="3B3B3B"/>
        </w:rPr>
        <w:t xml:space="preserve"> officer </w:t>
      </w:r>
      <w:r>
        <w:rPr>
          <w:rFonts w:ascii="Arial" w:cs="Arial" w:eastAsia="Arial" w:hAnsi="Arial"/>
          <w:sz w:val="17"/>
          <w:szCs w:val="17"/>
          <w:color w:val="282828"/>
        </w:rPr>
        <w:t>of the Company. The terms</w:t>
      </w:r>
      <w:r>
        <w:rPr>
          <w:rFonts w:ascii="Arial" w:cs="Arial" w:eastAsia="Arial" w:hAnsi="Arial"/>
          <w:sz w:val="17"/>
          <w:szCs w:val="17"/>
          <w:color w:val="3B3B3B"/>
        </w:rPr>
        <w:t xml:space="preserve"> of </w:t>
      </w:r>
      <w:r>
        <w:rPr>
          <w:rFonts w:ascii="Arial" w:cs="Arial" w:eastAsia="Arial" w:hAnsi="Arial"/>
          <w:sz w:val="17"/>
          <w:szCs w:val="17"/>
          <w:color w:val="282828"/>
        </w:rPr>
        <w:t>this letter agreement and the resolution of any disputes as to the meaning</w:t>
      </w:r>
      <w:r>
        <w:rPr>
          <w:rFonts w:ascii="Arial" w:cs="Arial" w:eastAsia="Arial" w:hAnsi="Arial"/>
          <w:sz w:val="17"/>
          <w:szCs w:val="17"/>
          <w:color w:val="545454"/>
        </w:rPr>
        <w:t>,</w:t>
      </w:r>
      <w:r>
        <w:rPr>
          <w:rFonts w:ascii="Arial" w:cs="Arial" w:eastAsia="Arial" w:hAnsi="Arial"/>
          <w:sz w:val="17"/>
          <w:szCs w:val="17"/>
          <w:color w:val="3B3B3B"/>
        </w:rPr>
        <w:t xml:space="preserve"> effect, </w:t>
      </w:r>
      <w:r>
        <w:rPr>
          <w:rFonts w:ascii="Arial" w:cs="Arial" w:eastAsia="Arial" w:hAnsi="Arial"/>
          <w:sz w:val="17"/>
          <w:szCs w:val="17"/>
          <w:color w:val="282828"/>
        </w:rPr>
        <w:t>performance</w:t>
      </w:r>
      <w:r>
        <w:rPr>
          <w:rFonts w:ascii="Arial" w:cs="Arial" w:eastAsia="Arial" w:hAnsi="Arial"/>
          <w:sz w:val="17"/>
          <w:szCs w:val="17"/>
          <w:color w:val="3B3B3B"/>
        </w:rPr>
        <w:t xml:space="preserve"> </w:t>
      </w:r>
      <w:r>
        <w:rPr>
          <w:rFonts w:ascii="Arial" w:cs="Arial" w:eastAsia="Arial" w:hAnsi="Arial"/>
          <w:sz w:val="17"/>
          <w:szCs w:val="17"/>
          <w:color w:val="282828"/>
        </w:rPr>
        <w:t xml:space="preserve">or </w:t>
      </w:r>
      <w:r>
        <w:rPr>
          <w:rFonts w:ascii="Arial" w:cs="Arial" w:eastAsia="Arial" w:hAnsi="Arial"/>
          <w:sz w:val="17"/>
          <w:szCs w:val="17"/>
          <w:color w:val="3B3B3B"/>
        </w:rPr>
        <w:t>validity</w:t>
      </w:r>
      <w:r>
        <w:rPr>
          <w:rFonts w:ascii="Arial" w:cs="Arial" w:eastAsia="Arial" w:hAnsi="Arial"/>
          <w:sz w:val="17"/>
          <w:szCs w:val="17"/>
          <w:color w:val="282828"/>
        </w:rPr>
        <w:t xml:space="preserve"> of this letter </w:t>
      </w:r>
      <w:r>
        <w:rPr>
          <w:rFonts w:ascii="Arial" w:cs="Arial" w:eastAsia="Arial" w:hAnsi="Arial"/>
          <w:sz w:val="17"/>
          <w:szCs w:val="17"/>
          <w:color w:val="3B3B3B"/>
        </w:rPr>
        <w:t>agreement</w:t>
      </w:r>
      <w:r>
        <w:rPr>
          <w:rFonts w:ascii="Arial" w:cs="Arial" w:eastAsia="Arial" w:hAnsi="Arial"/>
          <w:sz w:val="17"/>
          <w:szCs w:val="17"/>
          <w:color w:val="282828"/>
        </w:rPr>
        <w:t xml:space="preserve"> or arising </w:t>
      </w:r>
      <w:r>
        <w:rPr>
          <w:rFonts w:ascii="Arial" w:cs="Arial" w:eastAsia="Arial" w:hAnsi="Arial"/>
          <w:sz w:val="17"/>
          <w:szCs w:val="17"/>
          <w:color w:val="3B3B3B"/>
        </w:rPr>
        <w:t>out</w:t>
      </w:r>
      <w:r>
        <w:rPr>
          <w:rFonts w:ascii="Arial" w:cs="Arial" w:eastAsia="Arial" w:hAnsi="Arial"/>
          <w:sz w:val="17"/>
          <w:szCs w:val="17"/>
          <w:color w:val="282828"/>
        </w:rPr>
        <w:t xml:space="preserve"> of</w:t>
      </w:r>
      <w:r>
        <w:rPr>
          <w:rFonts w:ascii="Arial" w:cs="Arial" w:eastAsia="Arial" w:hAnsi="Arial"/>
          <w:sz w:val="17"/>
          <w:szCs w:val="17"/>
          <w:color w:val="545454"/>
        </w:rPr>
        <w:t>,</w:t>
      </w:r>
      <w:r>
        <w:rPr>
          <w:rFonts w:ascii="Arial" w:cs="Arial" w:eastAsia="Arial" w:hAnsi="Arial"/>
          <w:sz w:val="17"/>
          <w:szCs w:val="17"/>
          <w:color w:val="282828"/>
        </w:rPr>
        <w:t xml:space="preserve"> related to</w:t>
      </w:r>
      <w:r>
        <w:rPr>
          <w:rFonts w:ascii="Arial" w:cs="Arial" w:eastAsia="Arial" w:hAnsi="Arial"/>
          <w:sz w:val="17"/>
          <w:szCs w:val="17"/>
          <w:color w:val="626262"/>
        </w:rPr>
        <w:t>,</w:t>
      </w:r>
      <w:r>
        <w:rPr>
          <w:rFonts w:ascii="Arial" w:cs="Arial" w:eastAsia="Arial" w:hAnsi="Arial"/>
          <w:sz w:val="17"/>
          <w:szCs w:val="17"/>
          <w:color w:val="282828"/>
        </w:rPr>
        <w:t xml:space="preserve"> </w:t>
      </w:r>
      <w:r>
        <w:rPr>
          <w:rFonts w:ascii="Arial" w:cs="Arial" w:eastAsia="Arial" w:hAnsi="Arial"/>
          <w:sz w:val="17"/>
          <w:szCs w:val="17"/>
          <w:color w:val="3B3B3B"/>
        </w:rPr>
        <w:t>or</w:t>
      </w:r>
      <w:r>
        <w:rPr>
          <w:rFonts w:ascii="Arial" w:cs="Arial" w:eastAsia="Arial" w:hAnsi="Arial"/>
          <w:sz w:val="17"/>
          <w:szCs w:val="17"/>
          <w:color w:val="282828"/>
        </w:rPr>
        <w:t xml:space="preserve"> in any </w:t>
      </w:r>
      <w:r>
        <w:rPr>
          <w:rFonts w:ascii="Arial" w:cs="Arial" w:eastAsia="Arial" w:hAnsi="Arial"/>
          <w:sz w:val="17"/>
          <w:szCs w:val="17"/>
          <w:color w:val="3B3B3B"/>
        </w:rPr>
        <w:t>way</w:t>
      </w:r>
      <w:r>
        <w:rPr>
          <w:rFonts w:ascii="Arial" w:cs="Arial" w:eastAsia="Arial" w:hAnsi="Arial"/>
          <w:sz w:val="17"/>
          <w:szCs w:val="17"/>
          <w:color w:val="282828"/>
        </w:rPr>
        <w:t xml:space="preserve"> connected </w:t>
      </w:r>
      <w:r>
        <w:rPr>
          <w:rFonts w:ascii="Arial" w:cs="Arial" w:eastAsia="Arial" w:hAnsi="Arial"/>
          <w:sz w:val="17"/>
          <w:szCs w:val="17"/>
          <w:color w:val="3B3B3B"/>
        </w:rPr>
        <w:t>with</w:t>
      </w:r>
      <w:r>
        <w:rPr>
          <w:rFonts w:ascii="Arial" w:cs="Arial" w:eastAsia="Arial" w:hAnsi="Arial"/>
          <w:sz w:val="17"/>
          <w:szCs w:val="17"/>
          <w:color w:val="626262"/>
        </w:rPr>
        <w:t>,</w:t>
      </w:r>
      <w:r>
        <w:rPr>
          <w:rFonts w:ascii="Arial" w:cs="Arial" w:eastAsia="Arial" w:hAnsi="Arial"/>
          <w:sz w:val="17"/>
          <w:szCs w:val="17"/>
          <w:color w:val="282828"/>
        </w:rPr>
        <w:t xml:space="preserve"> this letter </w:t>
      </w:r>
      <w:r>
        <w:rPr>
          <w:rFonts w:ascii="Arial" w:cs="Arial" w:eastAsia="Arial" w:hAnsi="Arial"/>
          <w:sz w:val="17"/>
          <w:szCs w:val="17"/>
          <w:color w:val="3B3B3B"/>
        </w:rPr>
        <w:t>agreement, your employment</w:t>
      </w:r>
      <w:r>
        <w:rPr>
          <w:rFonts w:ascii="Arial" w:cs="Arial" w:eastAsia="Arial" w:hAnsi="Arial"/>
          <w:sz w:val="17"/>
          <w:szCs w:val="17"/>
          <w:color w:val="282828"/>
        </w:rPr>
        <w:t xml:space="preserve"> with the </w:t>
      </w:r>
      <w:r>
        <w:rPr>
          <w:rFonts w:ascii="Arial" w:cs="Arial" w:eastAsia="Arial" w:hAnsi="Arial"/>
          <w:sz w:val="17"/>
          <w:szCs w:val="17"/>
          <w:color w:val="3B3B3B"/>
        </w:rPr>
        <w:t>Company</w:t>
      </w:r>
      <w:r>
        <w:rPr>
          <w:rFonts w:ascii="Arial" w:cs="Arial" w:eastAsia="Arial" w:hAnsi="Arial"/>
          <w:sz w:val="17"/>
          <w:szCs w:val="17"/>
          <w:color w:val="282828"/>
        </w:rPr>
        <w:t xml:space="preserve"> or any </w:t>
      </w:r>
      <w:r>
        <w:rPr>
          <w:rFonts w:ascii="Arial" w:cs="Arial" w:eastAsia="Arial" w:hAnsi="Arial"/>
          <w:sz w:val="17"/>
          <w:szCs w:val="17"/>
          <w:color w:val="3B3B3B"/>
        </w:rPr>
        <w:t>other</w:t>
      </w:r>
      <w:r>
        <w:rPr>
          <w:rFonts w:ascii="Arial" w:cs="Arial" w:eastAsia="Arial" w:hAnsi="Arial"/>
          <w:sz w:val="17"/>
          <w:szCs w:val="17"/>
          <w:color w:val="282828"/>
        </w:rPr>
        <w:t xml:space="preserve"> relationship between </w:t>
      </w:r>
      <w:r>
        <w:rPr>
          <w:rFonts w:ascii="Arial" w:cs="Arial" w:eastAsia="Arial" w:hAnsi="Arial"/>
          <w:sz w:val="17"/>
          <w:szCs w:val="17"/>
          <w:color w:val="3B3B3B"/>
        </w:rPr>
        <w:t>you and</w:t>
      </w:r>
      <w:r>
        <w:rPr>
          <w:rFonts w:ascii="Arial" w:cs="Arial" w:eastAsia="Arial" w:hAnsi="Arial"/>
          <w:sz w:val="17"/>
          <w:szCs w:val="17"/>
          <w:color w:val="282828"/>
        </w:rPr>
        <w:t xml:space="preserve"> the </w:t>
      </w:r>
      <w:r>
        <w:rPr>
          <w:rFonts w:ascii="Arial" w:cs="Arial" w:eastAsia="Arial" w:hAnsi="Arial"/>
          <w:sz w:val="17"/>
          <w:szCs w:val="17"/>
          <w:color w:val="3B3B3B"/>
        </w:rPr>
        <w:t>Company (the “Disputes”) will be governed</w:t>
      </w:r>
      <w:r>
        <w:rPr>
          <w:rFonts w:ascii="Arial" w:cs="Arial" w:eastAsia="Arial" w:hAnsi="Arial"/>
          <w:sz w:val="17"/>
          <w:szCs w:val="17"/>
          <w:color w:val="282828"/>
        </w:rPr>
        <w:t xml:space="preserve"> by </w:t>
      </w:r>
      <w:r>
        <w:rPr>
          <w:rFonts w:ascii="Arial" w:cs="Arial" w:eastAsia="Arial" w:hAnsi="Arial"/>
          <w:sz w:val="17"/>
          <w:szCs w:val="17"/>
          <w:color w:val="3B3B3B"/>
        </w:rPr>
        <w:t>California</w:t>
      </w:r>
      <w:r>
        <w:rPr>
          <w:rFonts w:ascii="Arial" w:cs="Arial" w:eastAsia="Arial" w:hAnsi="Arial"/>
          <w:sz w:val="17"/>
          <w:szCs w:val="17"/>
          <w:color w:val="282828"/>
        </w:rPr>
        <w:t xml:space="preserve"> law, </w:t>
      </w:r>
      <w:r>
        <w:rPr>
          <w:rFonts w:ascii="Arial" w:cs="Arial" w:eastAsia="Arial" w:hAnsi="Arial"/>
          <w:sz w:val="17"/>
          <w:szCs w:val="17"/>
          <w:color w:val="3B3B3B"/>
        </w:rPr>
        <w:t>excluding</w:t>
      </w:r>
      <w:r>
        <w:rPr>
          <w:rFonts w:ascii="Arial" w:cs="Arial" w:eastAsia="Arial" w:hAnsi="Arial"/>
          <w:sz w:val="17"/>
          <w:szCs w:val="17"/>
          <w:color w:val="282828"/>
        </w:rPr>
        <w:t xml:space="preserve"> laws relating to </w:t>
      </w:r>
      <w:r>
        <w:rPr>
          <w:rFonts w:ascii="Arial" w:cs="Arial" w:eastAsia="Arial" w:hAnsi="Arial"/>
          <w:sz w:val="17"/>
          <w:szCs w:val="17"/>
          <w:color w:val="3B3B3B"/>
        </w:rPr>
        <w:t>conflicts or choice of</w:t>
      </w:r>
      <w:r>
        <w:rPr>
          <w:rFonts w:ascii="Arial" w:cs="Arial" w:eastAsia="Arial" w:hAnsi="Arial"/>
          <w:sz w:val="17"/>
          <w:szCs w:val="17"/>
          <w:color w:val="282828"/>
        </w:rPr>
        <w:t xml:space="preserve"> law. </w:t>
      </w:r>
      <w:r>
        <w:rPr>
          <w:rFonts w:ascii="Arial" w:cs="Arial" w:eastAsia="Arial" w:hAnsi="Arial"/>
          <w:sz w:val="17"/>
          <w:szCs w:val="17"/>
          <w:color w:val="3B3B3B"/>
        </w:rPr>
        <w:t>You</w:t>
      </w:r>
      <w:r>
        <w:rPr>
          <w:rFonts w:ascii="Arial" w:cs="Arial" w:eastAsia="Arial" w:hAnsi="Arial"/>
          <w:sz w:val="17"/>
          <w:szCs w:val="17"/>
          <w:color w:val="282828"/>
        </w:rPr>
        <w:t xml:space="preserve"> and the </w:t>
      </w:r>
      <w:r>
        <w:rPr>
          <w:rFonts w:ascii="Arial" w:cs="Arial" w:eastAsia="Arial" w:hAnsi="Arial"/>
          <w:sz w:val="17"/>
          <w:szCs w:val="17"/>
          <w:color w:val="3B3B3B"/>
        </w:rPr>
        <w:t>Company submit to</w:t>
      </w:r>
      <w:r>
        <w:rPr>
          <w:rFonts w:ascii="Arial" w:cs="Arial" w:eastAsia="Arial" w:hAnsi="Arial"/>
          <w:sz w:val="17"/>
          <w:szCs w:val="17"/>
          <w:color w:val="282828"/>
        </w:rPr>
        <w:t xml:space="preserve"> the </w:t>
      </w:r>
      <w:r>
        <w:rPr>
          <w:rFonts w:ascii="Arial" w:cs="Arial" w:eastAsia="Arial" w:hAnsi="Arial"/>
          <w:sz w:val="17"/>
          <w:szCs w:val="17"/>
          <w:color w:val="3B3B3B"/>
        </w:rPr>
        <w:t>exclusive personal</w:t>
      </w:r>
      <w:r>
        <w:rPr>
          <w:rFonts w:ascii="Arial" w:cs="Arial" w:eastAsia="Arial" w:hAnsi="Arial"/>
          <w:sz w:val="17"/>
          <w:szCs w:val="17"/>
          <w:color w:val="282828"/>
        </w:rPr>
        <w:t xml:space="preserve"> jurisdiction </w:t>
      </w:r>
      <w:r>
        <w:rPr>
          <w:rFonts w:ascii="Arial" w:cs="Arial" w:eastAsia="Arial" w:hAnsi="Arial"/>
          <w:sz w:val="17"/>
          <w:szCs w:val="17"/>
          <w:color w:val="3B3B3B"/>
        </w:rPr>
        <w:t>of the</w:t>
      </w:r>
      <w:r>
        <w:rPr>
          <w:rFonts w:ascii="Arial" w:cs="Arial" w:eastAsia="Arial" w:hAnsi="Arial"/>
          <w:sz w:val="17"/>
          <w:szCs w:val="17"/>
          <w:color w:val="282828"/>
        </w:rPr>
        <w:t xml:space="preserve"> federal and </w:t>
      </w:r>
      <w:r>
        <w:rPr>
          <w:rFonts w:ascii="Arial" w:cs="Arial" w:eastAsia="Arial" w:hAnsi="Arial"/>
          <w:sz w:val="17"/>
          <w:szCs w:val="17"/>
          <w:color w:val="545454"/>
        </w:rPr>
        <w:t>s</w:t>
      </w:r>
      <w:r>
        <w:rPr>
          <w:rFonts w:ascii="Arial" w:cs="Arial" w:eastAsia="Arial" w:hAnsi="Arial"/>
          <w:sz w:val="17"/>
          <w:szCs w:val="17"/>
          <w:color w:val="282828"/>
        </w:rPr>
        <w:t xml:space="preserve">tate </w:t>
      </w:r>
      <w:r>
        <w:rPr>
          <w:rFonts w:ascii="Arial" w:cs="Arial" w:eastAsia="Arial" w:hAnsi="Arial"/>
          <w:sz w:val="17"/>
          <w:szCs w:val="17"/>
          <w:color w:val="3B3B3B"/>
        </w:rPr>
        <w:t>courts</w:t>
      </w:r>
      <w:r>
        <w:rPr>
          <w:rFonts w:ascii="Arial" w:cs="Arial" w:eastAsia="Arial" w:hAnsi="Arial"/>
          <w:sz w:val="17"/>
          <w:szCs w:val="17"/>
          <w:color w:val="282828"/>
        </w:rPr>
        <w:t xml:space="preserve"> located in </w:t>
      </w:r>
      <w:r>
        <w:rPr>
          <w:rFonts w:ascii="Arial" w:cs="Arial" w:eastAsia="Arial" w:hAnsi="Arial"/>
          <w:sz w:val="17"/>
          <w:szCs w:val="17"/>
          <w:color w:val="3B3B3B"/>
        </w:rPr>
        <w:t>San</w:t>
      </w:r>
      <w:r>
        <w:rPr>
          <w:rFonts w:ascii="Arial" w:cs="Arial" w:eastAsia="Arial" w:hAnsi="Arial"/>
          <w:sz w:val="17"/>
          <w:szCs w:val="17"/>
          <w:color w:val="282828"/>
        </w:rPr>
        <w:t xml:space="preserve"> Francisco, </w:t>
      </w:r>
      <w:r>
        <w:rPr>
          <w:rFonts w:ascii="Arial" w:cs="Arial" w:eastAsia="Arial" w:hAnsi="Arial"/>
          <w:sz w:val="17"/>
          <w:szCs w:val="17"/>
          <w:color w:val="3B3B3B"/>
        </w:rPr>
        <w:t>California,</w:t>
      </w:r>
      <w:r>
        <w:rPr>
          <w:rFonts w:ascii="Arial" w:cs="Arial" w:eastAsia="Arial" w:hAnsi="Arial"/>
          <w:sz w:val="17"/>
          <w:szCs w:val="17"/>
          <w:color w:val="282828"/>
        </w:rPr>
        <w:t xml:space="preserve"> in </w:t>
      </w:r>
      <w:r>
        <w:rPr>
          <w:rFonts w:ascii="Arial" w:cs="Arial" w:eastAsia="Arial" w:hAnsi="Arial"/>
          <w:sz w:val="17"/>
          <w:szCs w:val="17"/>
          <w:color w:val="3B3B3B"/>
        </w:rPr>
        <w:t>connection with</w:t>
      </w:r>
      <w:r>
        <w:rPr>
          <w:rFonts w:ascii="Arial" w:cs="Arial" w:eastAsia="Arial" w:hAnsi="Arial"/>
          <w:sz w:val="17"/>
          <w:szCs w:val="17"/>
          <w:color w:val="282828"/>
        </w:rPr>
        <w:t xml:space="preserve"> any Dispute </w:t>
      </w:r>
      <w:r>
        <w:rPr>
          <w:rFonts w:ascii="Arial" w:cs="Arial" w:eastAsia="Arial" w:hAnsi="Arial"/>
          <w:sz w:val="17"/>
          <w:szCs w:val="17"/>
          <w:color w:val="3B3B3B"/>
        </w:rPr>
        <w:t>or any</w:t>
      </w:r>
      <w:r>
        <w:rPr>
          <w:rFonts w:ascii="Arial" w:cs="Arial" w:eastAsia="Arial" w:hAnsi="Arial"/>
          <w:sz w:val="17"/>
          <w:szCs w:val="17"/>
          <w:color w:val="282828"/>
        </w:rPr>
        <w:t xml:space="preserve"> claim related to any Dispute.</w:t>
      </w:r>
    </w:p>
    <w:p>
      <w:pPr>
        <w:spacing w:after="0" w:line="189" w:lineRule="exact"/>
        <w:rPr>
          <w:rFonts w:ascii="Arial" w:cs="Arial" w:eastAsia="Arial" w:hAnsi="Arial"/>
          <w:sz w:val="17"/>
          <w:szCs w:val="17"/>
          <w:color w:val="282828"/>
        </w:rPr>
      </w:pPr>
    </w:p>
    <w:p>
      <w:pPr>
        <w:ind w:left="5440"/>
        <w:spacing w:after="0"/>
        <w:rPr>
          <w:rFonts w:ascii="Arial" w:cs="Arial" w:eastAsia="Arial" w:hAnsi="Arial"/>
          <w:sz w:val="17"/>
          <w:szCs w:val="17"/>
          <w:color w:val="282828"/>
        </w:rPr>
      </w:pPr>
      <w:r>
        <w:rPr>
          <w:rFonts w:ascii="Arial" w:cs="Arial" w:eastAsia="Arial" w:hAnsi="Arial"/>
          <w:sz w:val="18"/>
          <w:szCs w:val="18"/>
          <w:color w:val="3B3B3B"/>
        </w:rPr>
        <w:t>* * * * *</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282828"/>
        </w:rPr>
        <w:t>As required by law</w:t>
      </w:r>
      <w:r>
        <w:rPr>
          <w:rFonts w:ascii="Arial" w:cs="Arial" w:eastAsia="Arial" w:hAnsi="Arial"/>
          <w:sz w:val="18"/>
          <w:szCs w:val="18"/>
          <w:color w:val="545454"/>
        </w:rPr>
        <w:t>,</w:t>
      </w:r>
      <w:r>
        <w:rPr>
          <w:rFonts w:ascii="Arial" w:cs="Arial" w:eastAsia="Arial" w:hAnsi="Arial"/>
          <w:sz w:val="18"/>
          <w:szCs w:val="18"/>
          <w:color w:val="282828"/>
        </w:rPr>
        <w:t xml:space="preserve"> </w:t>
      </w:r>
      <w:r>
        <w:rPr>
          <w:rFonts w:ascii="Arial" w:cs="Arial" w:eastAsia="Arial" w:hAnsi="Arial"/>
          <w:sz w:val="18"/>
          <w:szCs w:val="18"/>
          <w:color w:val="3B3B3B"/>
        </w:rPr>
        <w:t>your employment with</w:t>
      </w:r>
      <w:r>
        <w:rPr>
          <w:rFonts w:ascii="Arial" w:cs="Arial" w:eastAsia="Arial" w:hAnsi="Arial"/>
          <w:sz w:val="18"/>
          <w:szCs w:val="18"/>
          <w:color w:val="282828"/>
        </w:rPr>
        <w:t xml:space="preserve"> the </w:t>
      </w:r>
      <w:r>
        <w:rPr>
          <w:rFonts w:ascii="Arial" w:cs="Arial" w:eastAsia="Arial" w:hAnsi="Arial"/>
          <w:sz w:val="18"/>
          <w:szCs w:val="18"/>
          <w:color w:val="3B3B3B"/>
        </w:rPr>
        <w:t>Company</w:t>
      </w:r>
      <w:r>
        <w:rPr>
          <w:rFonts w:ascii="Arial" w:cs="Arial" w:eastAsia="Arial" w:hAnsi="Arial"/>
          <w:sz w:val="18"/>
          <w:szCs w:val="18"/>
          <w:color w:val="282828"/>
        </w:rPr>
        <w:t xml:space="preserve"> is contingent </w:t>
      </w:r>
      <w:r>
        <w:rPr>
          <w:rFonts w:ascii="Arial" w:cs="Arial" w:eastAsia="Arial" w:hAnsi="Arial"/>
          <w:sz w:val="18"/>
          <w:szCs w:val="18"/>
          <w:color w:val="3B3B3B"/>
        </w:rPr>
        <w:t>upon your</w:t>
      </w:r>
      <w:r>
        <w:rPr>
          <w:rFonts w:ascii="Arial" w:cs="Arial" w:eastAsia="Arial" w:hAnsi="Arial"/>
          <w:sz w:val="18"/>
          <w:szCs w:val="18"/>
          <w:color w:val="282828"/>
        </w:rPr>
        <w:t xml:space="preserve"> pro</w:t>
      </w:r>
      <w:r>
        <w:rPr>
          <w:rFonts w:ascii="Arial" w:cs="Arial" w:eastAsia="Arial" w:hAnsi="Arial"/>
          <w:sz w:val="18"/>
          <w:szCs w:val="18"/>
          <w:color w:val="545454"/>
        </w:rPr>
        <w:t>v</w:t>
      </w:r>
      <w:r>
        <w:rPr>
          <w:rFonts w:ascii="Arial" w:cs="Arial" w:eastAsia="Arial" w:hAnsi="Arial"/>
          <w:sz w:val="18"/>
          <w:szCs w:val="18"/>
          <w:color w:val="282828"/>
        </w:rPr>
        <w:t xml:space="preserve">iding legal </w:t>
      </w:r>
      <w:r>
        <w:rPr>
          <w:rFonts w:ascii="Arial" w:cs="Arial" w:eastAsia="Arial" w:hAnsi="Arial"/>
          <w:sz w:val="18"/>
          <w:szCs w:val="18"/>
          <w:color w:val="3B3B3B"/>
        </w:rPr>
        <w:t>proof of your</w:t>
      </w:r>
      <w:r>
        <w:rPr>
          <w:rFonts w:ascii="Arial" w:cs="Arial" w:eastAsia="Arial" w:hAnsi="Arial"/>
          <w:sz w:val="18"/>
          <w:szCs w:val="18"/>
          <w:color w:val="282828"/>
        </w:rPr>
        <w:t xml:space="preserve"> identity and </w:t>
      </w:r>
      <w:r>
        <w:rPr>
          <w:rFonts w:ascii="Arial" w:cs="Arial" w:eastAsia="Arial" w:hAnsi="Arial"/>
          <w:sz w:val="18"/>
          <w:szCs w:val="18"/>
          <w:color w:val="3B3B3B"/>
        </w:rPr>
        <w:t>authorization</w:t>
      </w:r>
      <w:r>
        <w:rPr>
          <w:rFonts w:ascii="Arial" w:cs="Arial" w:eastAsia="Arial" w:hAnsi="Arial"/>
          <w:sz w:val="18"/>
          <w:szCs w:val="18"/>
          <w:color w:val="282828"/>
        </w:rPr>
        <w:t xml:space="preserve"> to </w:t>
      </w:r>
      <w:r>
        <w:rPr>
          <w:rFonts w:ascii="Arial" w:cs="Arial" w:eastAsia="Arial" w:hAnsi="Arial"/>
          <w:sz w:val="18"/>
          <w:szCs w:val="18"/>
          <w:color w:val="3B3B3B"/>
        </w:rPr>
        <w:t>work</w:t>
      </w:r>
      <w:r>
        <w:rPr>
          <w:rFonts w:ascii="Arial" w:cs="Arial" w:eastAsia="Arial" w:hAnsi="Arial"/>
          <w:sz w:val="18"/>
          <w:szCs w:val="18"/>
          <w:color w:val="282828"/>
        </w:rPr>
        <w:t xml:space="preserve"> in </w:t>
      </w:r>
      <w:r>
        <w:rPr>
          <w:rFonts w:ascii="Arial" w:cs="Arial" w:eastAsia="Arial" w:hAnsi="Arial"/>
          <w:sz w:val="18"/>
          <w:szCs w:val="18"/>
          <w:color w:val="3B3B3B"/>
        </w:rPr>
        <w:t>the</w:t>
      </w:r>
      <w:r>
        <w:rPr>
          <w:rFonts w:ascii="Arial" w:cs="Arial" w:eastAsia="Arial" w:hAnsi="Arial"/>
          <w:sz w:val="18"/>
          <w:szCs w:val="18"/>
          <w:color w:val="282828"/>
        </w:rPr>
        <w:t xml:space="preserve"> </w:t>
      </w:r>
      <w:r>
        <w:rPr>
          <w:rFonts w:ascii="Arial" w:cs="Arial" w:eastAsia="Arial" w:hAnsi="Arial"/>
          <w:sz w:val="18"/>
          <w:szCs w:val="18"/>
          <w:color w:val="3B3B3B"/>
        </w:rPr>
        <w:t xml:space="preserve">United </w:t>
      </w:r>
      <w:r>
        <w:rPr>
          <w:rFonts w:ascii="Arial" w:cs="Arial" w:eastAsia="Arial" w:hAnsi="Arial"/>
          <w:sz w:val="18"/>
          <w:szCs w:val="18"/>
          <w:color w:val="282828"/>
        </w:rPr>
        <w:t>State</w:t>
      </w:r>
      <w:r>
        <w:rPr>
          <w:rFonts w:ascii="Arial" w:cs="Arial" w:eastAsia="Arial" w:hAnsi="Arial"/>
          <w:sz w:val="18"/>
          <w:szCs w:val="18"/>
          <w:color w:val="545454"/>
        </w:rPr>
        <w:t>s</w:t>
      </w:r>
      <w:r>
        <w:rPr>
          <w:rFonts w:ascii="Arial" w:cs="Arial" w:eastAsia="Arial" w:hAnsi="Arial"/>
          <w:sz w:val="18"/>
          <w:szCs w:val="18"/>
          <w:color w:val="030303"/>
        </w:rPr>
        <w:t>.</w:t>
      </w:r>
      <w:r>
        <w:rPr>
          <w:rFonts w:ascii="Arial" w:cs="Arial" w:eastAsia="Arial" w:hAnsi="Arial"/>
          <w:sz w:val="18"/>
          <w:szCs w:val="18"/>
          <w:color w:val="3B3B3B"/>
        </w:rPr>
        <w:t xml:space="preserve"> This </w:t>
      </w:r>
      <w:r>
        <w:rPr>
          <w:rFonts w:ascii="Arial" w:cs="Arial" w:eastAsia="Arial" w:hAnsi="Arial"/>
          <w:sz w:val="18"/>
          <w:szCs w:val="18"/>
          <w:color w:val="282828"/>
        </w:rPr>
        <w:t>offer i</w:t>
      </w:r>
      <w:r>
        <w:rPr>
          <w:rFonts w:ascii="Arial" w:cs="Arial" w:eastAsia="Arial" w:hAnsi="Arial"/>
          <w:sz w:val="18"/>
          <w:szCs w:val="18"/>
          <w:color w:val="545454"/>
        </w:rPr>
        <w:t>s</w:t>
      </w:r>
      <w:r>
        <w:rPr>
          <w:rFonts w:ascii="Arial" w:cs="Arial" w:eastAsia="Arial" w:hAnsi="Arial"/>
          <w:sz w:val="18"/>
          <w:szCs w:val="18"/>
          <w:color w:val="3B3B3B"/>
        </w:rPr>
        <w:t xml:space="preserve"> contingent </w:t>
      </w:r>
      <w:r>
        <w:rPr>
          <w:rFonts w:ascii="Arial" w:cs="Arial" w:eastAsia="Arial" w:hAnsi="Arial"/>
          <w:sz w:val="18"/>
          <w:szCs w:val="18"/>
          <w:color w:val="282828"/>
        </w:rPr>
        <w:t>upon our receipt</w:t>
      </w:r>
      <w:r>
        <w:rPr>
          <w:rFonts w:ascii="Arial" w:cs="Arial" w:eastAsia="Arial" w:hAnsi="Arial"/>
          <w:sz w:val="18"/>
          <w:szCs w:val="18"/>
          <w:color w:val="3B3B3B"/>
        </w:rPr>
        <w:t xml:space="preserve"> of </w:t>
      </w:r>
      <w:r>
        <w:rPr>
          <w:rFonts w:ascii="Arial" w:cs="Arial" w:eastAsia="Arial" w:hAnsi="Arial"/>
          <w:sz w:val="18"/>
          <w:szCs w:val="18"/>
          <w:color w:val="282828"/>
        </w:rPr>
        <w:t>a</w:t>
      </w:r>
      <w:r>
        <w:rPr>
          <w:rFonts w:ascii="Arial" w:cs="Arial" w:eastAsia="Arial" w:hAnsi="Arial"/>
          <w:sz w:val="18"/>
          <w:szCs w:val="18"/>
          <w:color w:val="3B3B3B"/>
        </w:rPr>
        <w:t xml:space="preserve"> satisfactory </w:t>
      </w:r>
      <w:r>
        <w:rPr>
          <w:rFonts w:ascii="Arial" w:cs="Arial" w:eastAsia="Arial" w:hAnsi="Arial"/>
          <w:sz w:val="18"/>
          <w:szCs w:val="18"/>
          <w:color w:val="282828"/>
        </w:rPr>
        <w:t>inve</w:t>
      </w:r>
      <w:r>
        <w:rPr>
          <w:rFonts w:ascii="Arial" w:cs="Arial" w:eastAsia="Arial" w:hAnsi="Arial"/>
          <w:sz w:val="18"/>
          <w:szCs w:val="18"/>
          <w:color w:val="545454"/>
        </w:rPr>
        <w:t>st</w:t>
      </w:r>
      <w:r>
        <w:rPr>
          <w:rFonts w:ascii="Arial" w:cs="Arial" w:eastAsia="Arial" w:hAnsi="Arial"/>
          <w:sz w:val="18"/>
          <w:szCs w:val="18"/>
          <w:color w:val="282828"/>
        </w:rPr>
        <w:t>igation report</w:t>
      </w:r>
      <w:r>
        <w:rPr>
          <w:rFonts w:ascii="Arial" w:cs="Arial" w:eastAsia="Arial" w:hAnsi="Arial"/>
          <w:sz w:val="18"/>
          <w:szCs w:val="18"/>
          <w:color w:val="3B3B3B"/>
        </w:rPr>
        <w:t xml:space="preserve"> of your </w:t>
      </w:r>
      <w:r>
        <w:rPr>
          <w:rFonts w:ascii="Arial" w:cs="Arial" w:eastAsia="Arial" w:hAnsi="Arial"/>
          <w:sz w:val="18"/>
          <w:szCs w:val="18"/>
          <w:color w:val="282828"/>
        </w:rPr>
        <w:t>background.</w:t>
      </w:r>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282828"/>
        </w:rPr>
        <w:t xml:space="preserve">You may indicate </w:t>
      </w:r>
      <w:r>
        <w:rPr>
          <w:rFonts w:ascii="Arial" w:cs="Arial" w:eastAsia="Arial" w:hAnsi="Arial"/>
          <w:sz w:val="18"/>
          <w:szCs w:val="18"/>
          <w:color w:val="3B3B3B"/>
        </w:rPr>
        <w:t>your agreement with</w:t>
      </w:r>
      <w:r>
        <w:rPr>
          <w:rFonts w:ascii="Arial" w:cs="Arial" w:eastAsia="Arial" w:hAnsi="Arial"/>
          <w:sz w:val="18"/>
          <w:szCs w:val="18"/>
          <w:color w:val="282828"/>
        </w:rPr>
        <w:t xml:space="preserve"> the</w:t>
      </w:r>
      <w:r>
        <w:rPr>
          <w:rFonts w:ascii="Arial" w:cs="Arial" w:eastAsia="Arial" w:hAnsi="Arial"/>
          <w:sz w:val="18"/>
          <w:szCs w:val="18"/>
          <w:color w:val="545454"/>
        </w:rPr>
        <w:t>s</w:t>
      </w:r>
      <w:r>
        <w:rPr>
          <w:rFonts w:ascii="Arial" w:cs="Arial" w:eastAsia="Arial" w:hAnsi="Arial"/>
          <w:sz w:val="18"/>
          <w:szCs w:val="18"/>
          <w:color w:val="282828"/>
        </w:rPr>
        <w:t xml:space="preserve">e terms </w:t>
      </w:r>
      <w:r>
        <w:rPr>
          <w:rFonts w:ascii="Arial" w:cs="Arial" w:eastAsia="Arial" w:hAnsi="Arial"/>
          <w:sz w:val="18"/>
          <w:szCs w:val="18"/>
          <w:color w:val="3B3B3B"/>
        </w:rPr>
        <w:t>and accept</w:t>
      </w:r>
      <w:r>
        <w:rPr>
          <w:rFonts w:ascii="Arial" w:cs="Arial" w:eastAsia="Arial" w:hAnsi="Arial"/>
          <w:sz w:val="18"/>
          <w:szCs w:val="18"/>
          <w:color w:val="282828"/>
        </w:rPr>
        <w:t xml:space="preserve"> this offer by </w:t>
      </w:r>
      <w:r>
        <w:rPr>
          <w:rFonts w:ascii="Arial" w:cs="Arial" w:eastAsia="Arial" w:hAnsi="Arial"/>
          <w:sz w:val="18"/>
          <w:szCs w:val="18"/>
          <w:color w:val="3B3B3B"/>
        </w:rPr>
        <w:t>signing</w:t>
      </w:r>
      <w:r>
        <w:rPr>
          <w:rFonts w:ascii="Arial" w:cs="Arial" w:eastAsia="Arial" w:hAnsi="Arial"/>
          <w:sz w:val="18"/>
          <w:szCs w:val="18"/>
          <w:color w:val="282828"/>
        </w:rPr>
        <w:t xml:space="preserve"> and dating both the enclosed duplicate </w:t>
      </w:r>
      <w:r>
        <w:rPr>
          <w:rFonts w:ascii="Arial" w:cs="Arial" w:eastAsia="Arial" w:hAnsi="Arial"/>
          <w:sz w:val="18"/>
          <w:szCs w:val="18"/>
          <w:color w:val="3B3B3B"/>
        </w:rPr>
        <w:t>original of</w:t>
      </w:r>
      <w:r>
        <w:rPr>
          <w:rFonts w:ascii="Arial" w:cs="Arial" w:eastAsia="Arial" w:hAnsi="Arial"/>
          <w:sz w:val="18"/>
          <w:szCs w:val="18"/>
          <w:color w:val="282828"/>
        </w:rPr>
        <w:t xml:space="preserve"> this letter </w:t>
      </w:r>
      <w:r>
        <w:rPr>
          <w:rFonts w:ascii="Arial" w:cs="Arial" w:eastAsia="Arial" w:hAnsi="Arial"/>
          <w:sz w:val="18"/>
          <w:szCs w:val="18"/>
          <w:color w:val="3B3B3B"/>
        </w:rPr>
        <w:t>agreement and</w:t>
      </w:r>
      <w:r>
        <w:rPr>
          <w:rFonts w:ascii="Arial" w:cs="Arial" w:eastAsia="Arial" w:hAnsi="Arial"/>
          <w:sz w:val="18"/>
          <w:szCs w:val="18"/>
          <w:color w:val="282828"/>
        </w:rPr>
        <w:t xml:space="preserve"> </w:t>
      </w:r>
      <w:r>
        <w:rPr>
          <w:rFonts w:ascii="Arial" w:cs="Arial" w:eastAsia="Arial" w:hAnsi="Arial"/>
          <w:sz w:val="18"/>
          <w:szCs w:val="18"/>
          <w:color w:val="3B3B3B"/>
        </w:rPr>
        <w:t xml:space="preserve">the enclosed </w:t>
      </w:r>
      <w:r>
        <w:rPr>
          <w:rFonts w:ascii="Arial" w:cs="Arial" w:eastAsia="Arial" w:hAnsi="Arial"/>
          <w:sz w:val="18"/>
          <w:szCs w:val="18"/>
          <w:color w:val="282828"/>
        </w:rPr>
        <w:t>Proprietary Information</w:t>
      </w:r>
      <w:r>
        <w:rPr>
          <w:rFonts w:ascii="Arial" w:cs="Arial" w:eastAsia="Arial" w:hAnsi="Arial"/>
          <w:sz w:val="18"/>
          <w:szCs w:val="18"/>
          <w:color w:val="3B3B3B"/>
        </w:rPr>
        <w:t xml:space="preserve"> and </w:t>
      </w:r>
      <w:r>
        <w:rPr>
          <w:rFonts w:ascii="Arial" w:cs="Arial" w:eastAsia="Arial" w:hAnsi="Arial"/>
          <w:sz w:val="18"/>
          <w:szCs w:val="18"/>
          <w:color w:val="282828"/>
        </w:rPr>
        <w:t>Inventions Agreement and returning them to me</w:t>
      </w:r>
      <w:r>
        <w:rPr>
          <w:rFonts w:ascii="Arial" w:cs="Arial" w:eastAsia="Arial" w:hAnsi="Arial"/>
          <w:sz w:val="18"/>
          <w:szCs w:val="18"/>
          <w:color w:val="030303"/>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3B3B3B"/>
        </w:rPr>
        <w:t xml:space="preserve">This offer shall remain </w:t>
      </w:r>
      <w:r>
        <w:rPr>
          <w:rFonts w:ascii="Arial" w:cs="Arial" w:eastAsia="Arial" w:hAnsi="Arial"/>
          <w:sz w:val="18"/>
          <w:szCs w:val="18"/>
          <w:color w:val="282828"/>
        </w:rPr>
        <w:t>in</w:t>
      </w:r>
      <w:r>
        <w:rPr>
          <w:rFonts w:ascii="Arial" w:cs="Arial" w:eastAsia="Arial" w:hAnsi="Arial"/>
          <w:sz w:val="18"/>
          <w:szCs w:val="18"/>
          <w:color w:val="3B3B3B"/>
        </w:rPr>
        <w:t xml:space="preserve"> effect </w:t>
      </w:r>
      <w:r>
        <w:rPr>
          <w:rFonts w:ascii="Arial" w:cs="Arial" w:eastAsia="Arial" w:hAnsi="Arial"/>
          <w:sz w:val="18"/>
          <w:szCs w:val="18"/>
          <w:color w:val="282828"/>
        </w:rPr>
        <w:t>through</w:t>
      </w:r>
      <w:r>
        <w:rPr>
          <w:rFonts w:ascii="Arial" w:cs="Arial" w:eastAsia="Arial" w:hAnsi="Arial"/>
          <w:sz w:val="18"/>
          <w:szCs w:val="18"/>
          <w:color w:val="3B3B3B"/>
        </w:rPr>
        <w:t xml:space="preserve"> 5:00pm </w:t>
      </w:r>
      <w:r>
        <w:rPr>
          <w:rFonts w:ascii="Arial" w:cs="Arial" w:eastAsia="Arial" w:hAnsi="Arial"/>
          <w:sz w:val="18"/>
          <w:szCs w:val="18"/>
          <w:color w:val="282828"/>
        </w:rPr>
        <w:t>June 15,</w:t>
      </w:r>
      <w:r>
        <w:rPr>
          <w:rFonts w:ascii="Arial" w:cs="Arial" w:eastAsia="Arial" w:hAnsi="Arial"/>
          <w:sz w:val="18"/>
          <w:szCs w:val="18"/>
          <w:color w:val="3B3B3B"/>
        </w:rPr>
        <w:t xml:space="preserve"> 201</w:t>
      </w:r>
      <w:r>
        <w:rPr>
          <w:rFonts w:ascii="Arial" w:cs="Arial" w:eastAsia="Arial" w:hAnsi="Arial"/>
          <w:sz w:val="18"/>
          <w:szCs w:val="18"/>
          <w:color w:val="282828"/>
        </w:rPr>
        <w:t>0</w:t>
      </w:r>
      <w:r>
        <w:rPr>
          <w:rFonts w:ascii="Arial" w:cs="Arial" w:eastAsia="Arial" w:hAnsi="Arial"/>
          <w:sz w:val="18"/>
          <w:szCs w:val="18"/>
          <w:color w:val="3B3B3B"/>
        </w:rPr>
        <w:t xml:space="preserve"> after which time </w:t>
      </w:r>
      <w:r>
        <w:rPr>
          <w:rFonts w:ascii="Arial" w:cs="Arial" w:eastAsia="Arial" w:hAnsi="Arial"/>
          <w:sz w:val="18"/>
          <w:szCs w:val="18"/>
          <w:color w:val="282828"/>
        </w:rPr>
        <w:t>it</w:t>
      </w:r>
      <w:r>
        <w:rPr>
          <w:rFonts w:ascii="Arial" w:cs="Arial" w:eastAsia="Arial" w:hAnsi="Arial"/>
          <w:sz w:val="18"/>
          <w:szCs w:val="18"/>
          <w:color w:val="3B3B3B"/>
        </w:rPr>
        <w:t xml:space="preserve"> shall </w:t>
      </w:r>
      <w:r>
        <w:rPr>
          <w:rFonts w:ascii="Arial" w:cs="Arial" w:eastAsia="Arial" w:hAnsi="Arial"/>
          <w:sz w:val="18"/>
          <w:szCs w:val="18"/>
          <w:color w:val="282828"/>
        </w:rPr>
        <w:t>become</w:t>
      </w:r>
      <w:r>
        <w:rPr>
          <w:rFonts w:ascii="Arial" w:cs="Arial" w:eastAsia="Arial" w:hAnsi="Arial"/>
          <w:sz w:val="18"/>
          <w:szCs w:val="18"/>
          <w:color w:val="3B3B3B"/>
        </w:rPr>
        <w:t xml:space="preserve"> void.</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282828"/>
        </w:rPr>
        <w:t xml:space="preserve">Very truly </w:t>
      </w:r>
      <w:r>
        <w:rPr>
          <w:rFonts w:ascii="Arial" w:cs="Arial" w:eastAsia="Arial" w:hAnsi="Arial"/>
          <w:sz w:val="18"/>
          <w:szCs w:val="18"/>
          <w:color w:val="3B3B3B"/>
        </w:rPr>
        <w:t>yours,</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3B3B3B"/>
        </w:rPr>
        <w:t>/S/ GEOFFREY T. BARKER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3B3B3B"/>
        </w:rPr>
        <w:t>By: Geoffrey T. Barker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3B3B3B"/>
        </w:rPr>
        <w:t>Title: Chief Operating Officer</w:t>
      </w:r>
    </w:p>
    <w:p>
      <w:pPr>
        <w:sectPr>
          <w:pgSz w:w="11900" w:h="16838" w:orient="portrait"/>
          <w:cols w:equalWidth="0" w:num="1">
            <w:col w:w="11420"/>
          </w:cols>
          <w:pgMar w:left="240" w:top="58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1C1C1C"/>
        </w:rPr>
        <w:t>I ha</w:t>
      </w:r>
      <w:r>
        <w:rPr>
          <w:rFonts w:ascii="Arial" w:cs="Arial" w:eastAsia="Arial" w:hAnsi="Arial"/>
          <w:sz w:val="18"/>
          <w:szCs w:val="18"/>
          <w:color w:val="3B3D3D"/>
        </w:rPr>
        <w:t>ve</w:t>
      </w:r>
      <w:r>
        <w:rPr>
          <w:rFonts w:ascii="Arial" w:cs="Arial" w:eastAsia="Arial" w:hAnsi="Arial"/>
          <w:sz w:val="18"/>
          <w:szCs w:val="18"/>
          <w:color w:val="1C1C1C"/>
        </w:rPr>
        <w:t xml:space="preserve"> </w:t>
      </w:r>
      <w:r>
        <w:rPr>
          <w:rFonts w:ascii="Arial" w:cs="Arial" w:eastAsia="Arial" w:hAnsi="Arial"/>
          <w:sz w:val="18"/>
          <w:szCs w:val="18"/>
          <w:color w:val="2B2B2B"/>
        </w:rPr>
        <w:t>read and accept</w:t>
      </w:r>
      <w:r>
        <w:rPr>
          <w:rFonts w:ascii="Arial" w:cs="Arial" w:eastAsia="Arial" w:hAnsi="Arial"/>
          <w:sz w:val="18"/>
          <w:szCs w:val="18"/>
          <w:color w:val="1C1C1C"/>
        </w:rPr>
        <w:t xml:space="preserve"> thi</w:t>
      </w:r>
      <w:r>
        <w:rPr>
          <w:rFonts w:ascii="Arial" w:cs="Arial" w:eastAsia="Arial" w:hAnsi="Arial"/>
          <w:sz w:val="18"/>
          <w:szCs w:val="18"/>
          <w:color w:val="3B3D3D"/>
        </w:rPr>
        <w:t>s emp</w:t>
      </w:r>
      <w:r>
        <w:rPr>
          <w:rFonts w:ascii="Arial" w:cs="Arial" w:eastAsia="Arial" w:hAnsi="Arial"/>
          <w:sz w:val="18"/>
          <w:szCs w:val="18"/>
          <w:color w:val="1C1C1C"/>
        </w:rPr>
        <w:t>l</w:t>
      </w:r>
      <w:r>
        <w:rPr>
          <w:rFonts w:ascii="Arial" w:cs="Arial" w:eastAsia="Arial" w:hAnsi="Arial"/>
          <w:sz w:val="18"/>
          <w:szCs w:val="18"/>
          <w:color w:val="3B3D3D"/>
        </w:rPr>
        <w:t>oyme</w:t>
      </w:r>
      <w:r>
        <w:rPr>
          <w:rFonts w:ascii="Arial" w:cs="Arial" w:eastAsia="Arial" w:hAnsi="Arial"/>
          <w:sz w:val="18"/>
          <w:szCs w:val="18"/>
          <w:color w:val="1C1C1C"/>
        </w:rPr>
        <w:t xml:space="preserve">nt </w:t>
      </w:r>
      <w:r>
        <w:rPr>
          <w:rFonts w:ascii="Arial" w:cs="Arial" w:eastAsia="Arial" w:hAnsi="Arial"/>
          <w:sz w:val="18"/>
          <w:szCs w:val="18"/>
          <w:color w:val="2B2B2B"/>
        </w:rPr>
        <w:t>offer: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S. SWANK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7/10/10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2B2B2B"/>
        </w:rPr>
        <w:t>Attachment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2B2B2B"/>
        </w:rPr>
        <w:t xml:space="preserve">Exhibit </w:t>
      </w:r>
      <w:r>
        <w:rPr>
          <w:rFonts w:ascii="Arial" w:cs="Arial" w:eastAsia="Arial" w:hAnsi="Arial"/>
          <w:sz w:val="16"/>
          <w:szCs w:val="16"/>
          <w:color w:val="3B3D3D"/>
        </w:rPr>
        <w:t>A:</w:t>
      </w:r>
      <w:r>
        <w:rPr>
          <w:rFonts w:ascii="Arial" w:cs="Arial" w:eastAsia="Arial" w:hAnsi="Arial"/>
          <w:sz w:val="16"/>
          <w:szCs w:val="16"/>
          <w:color w:val="2B2B2B"/>
        </w:rPr>
        <w:t xml:space="preserve"> Proprietary </w:t>
      </w:r>
      <w:r>
        <w:rPr>
          <w:rFonts w:ascii="Arial" w:cs="Arial" w:eastAsia="Arial" w:hAnsi="Arial"/>
          <w:sz w:val="16"/>
          <w:szCs w:val="16"/>
          <w:color w:val="1C1C1C"/>
        </w:rPr>
        <w:t>Inf</w:t>
      </w:r>
      <w:r>
        <w:rPr>
          <w:rFonts w:ascii="Arial" w:cs="Arial" w:eastAsia="Arial" w:hAnsi="Arial"/>
          <w:sz w:val="16"/>
          <w:szCs w:val="16"/>
          <w:color w:val="3B3D3D"/>
        </w:rPr>
        <w:t>or</w:t>
      </w:r>
      <w:r>
        <w:rPr>
          <w:rFonts w:ascii="Arial" w:cs="Arial" w:eastAsia="Arial" w:hAnsi="Arial"/>
          <w:sz w:val="16"/>
          <w:szCs w:val="16"/>
          <w:color w:val="1C1C1C"/>
        </w:rPr>
        <w:t>m</w:t>
      </w:r>
      <w:r>
        <w:rPr>
          <w:rFonts w:ascii="Arial" w:cs="Arial" w:eastAsia="Arial" w:hAnsi="Arial"/>
          <w:sz w:val="16"/>
          <w:szCs w:val="16"/>
          <w:color w:val="3B3D3D"/>
        </w:rPr>
        <w:t>a</w:t>
      </w:r>
      <w:r>
        <w:rPr>
          <w:rFonts w:ascii="Arial" w:cs="Arial" w:eastAsia="Arial" w:hAnsi="Arial"/>
          <w:sz w:val="16"/>
          <w:szCs w:val="16"/>
          <w:color w:val="1C1C1C"/>
        </w:rPr>
        <w:t>tion</w:t>
      </w:r>
      <w:r>
        <w:rPr>
          <w:rFonts w:ascii="Arial" w:cs="Arial" w:eastAsia="Arial" w:hAnsi="Arial"/>
          <w:sz w:val="16"/>
          <w:szCs w:val="16"/>
          <w:color w:val="2B2B2B"/>
        </w:rPr>
        <w:t xml:space="preserve"> and </w:t>
      </w:r>
      <w:r>
        <w:rPr>
          <w:rFonts w:ascii="Arial" w:cs="Arial" w:eastAsia="Arial" w:hAnsi="Arial"/>
          <w:sz w:val="16"/>
          <w:szCs w:val="16"/>
          <w:color w:val="1C1C1C"/>
        </w:rPr>
        <w:t>In</w:t>
      </w:r>
      <w:r>
        <w:rPr>
          <w:rFonts w:ascii="Arial" w:cs="Arial" w:eastAsia="Arial" w:hAnsi="Arial"/>
          <w:sz w:val="16"/>
          <w:szCs w:val="16"/>
          <w:color w:val="3B3D3D"/>
        </w:rPr>
        <w:t>vent</w:t>
      </w:r>
      <w:r>
        <w:rPr>
          <w:rFonts w:ascii="Arial" w:cs="Arial" w:eastAsia="Arial" w:hAnsi="Arial"/>
          <w:sz w:val="16"/>
          <w:szCs w:val="16"/>
          <w:color w:val="1C1C1C"/>
        </w:rPr>
        <w:t>i</w:t>
      </w:r>
      <w:r>
        <w:rPr>
          <w:rFonts w:ascii="Arial" w:cs="Arial" w:eastAsia="Arial" w:hAnsi="Arial"/>
          <w:sz w:val="16"/>
          <w:szCs w:val="16"/>
          <w:color w:val="3B3D3D"/>
        </w:rPr>
        <w:t>ons</w:t>
      </w:r>
      <w:r>
        <w:rPr>
          <w:rFonts w:ascii="Arial" w:cs="Arial" w:eastAsia="Arial" w:hAnsi="Arial"/>
          <w:sz w:val="16"/>
          <w:szCs w:val="16"/>
          <w:color w:val="2B2B2B"/>
        </w:rPr>
        <w:t xml:space="preserve"> Agreement</w:t>
      </w:r>
    </w:p>
    <w:p>
      <w:pPr>
        <w:sectPr>
          <w:pgSz w:w="11900" w:h="16838" w:orient="portrait"/>
          <w:cols w:equalWidth="0" w:num="1">
            <w:col w:w="10219"/>
          </w:cols>
          <w:pgMar w:left="240" w:top="584"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E. Roberts, certify that:</w:t>
      </w:r>
    </w:p>
    <w:p>
      <w:pPr>
        <w:spacing w:after="0" w:line="90" w:lineRule="exact"/>
        <w:rPr>
          <w:sz w:val="20"/>
          <w:szCs w:val="20"/>
          <w:color w:val="auto"/>
        </w:rPr>
      </w:pPr>
    </w:p>
    <w:p>
      <w:pPr>
        <w:ind w:left="880" w:hanging="46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2017</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MARTIN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Martin E. Roberts</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H. Heath, certify that:</w:t>
      </w:r>
    </w:p>
    <w:p>
      <w:pPr>
        <w:spacing w:after="0" w:line="90" w:lineRule="exact"/>
        <w:rPr>
          <w:sz w:val="20"/>
          <w:szCs w:val="20"/>
          <w:color w:val="auto"/>
        </w:rPr>
      </w:pPr>
    </w:p>
    <w:p>
      <w:pPr>
        <w:ind w:left="880" w:hanging="46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2017</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March 31, 2017 of RPX Corporation, (the “Company”) as filed with the Securities and Exchange Commission on the date hereof (the “Report”), I, Martin E. Roberts, Chief Executive Officer of the Company, certify, pursuant to 18 U.S.C. Section 1350, as adopted pursuant to Section 906 of the Sarbanes-Oxley Act of 2002, that:</w:t>
      </w:r>
    </w:p>
    <w:p>
      <w:pPr>
        <w:spacing w:after="0" w:line="46" w:lineRule="exact"/>
        <w:rPr>
          <w:sz w:val="20"/>
          <w:szCs w:val="20"/>
          <w:color w:val="auto"/>
        </w:rPr>
      </w:pPr>
    </w:p>
    <w:p>
      <w:pPr>
        <w:ind w:left="880" w:hanging="46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2017</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MARTIN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Martin E. Roberts</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March 31, 2017 of RPX Corporation, (the “Company”) as filed with the Securities and Exchange Commission on the date hereof (the “Report”), I, Robert H. Heath, Senior Vice President &amp;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880" w:hanging="46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2017</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x"/>
      <w:numFmt w:val="bullet"/>
      <w:start w:val="1"/>
    </w:lvl>
  </w:abstractNum>
  <w:abstractNum w:abstractNumId="2">
    <w:nsid w:val="62BBD95A"/>
    <w:multiLevelType w:val="hybridMultilevel"/>
    <w:lvl w:ilvl="0">
      <w:lvlJc w:val="left"/>
      <w:lvlText w:val="o"/>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decimal"/>
      <w:start w:val="3"/>
    </w:lvl>
  </w:abstractNum>
  <w:abstractNum w:abstractNumId="6">
    <w:nsid w:val="721DA317"/>
    <w:multiLevelType w:val="hybridMultilevel"/>
    <w:lvl w:ilvl="0">
      <w:lvlJc w:val="left"/>
      <w:lvlText w:val="%1."/>
      <w:numFmt w:val="decimal"/>
      <w:start w:val="4"/>
    </w:lvl>
  </w:abstractNum>
  <w:abstractNum w:abstractNumId="7">
    <w:nsid w:val="2443A858"/>
    <w:multiLevelType w:val="hybridMultilevel"/>
    <w:lvl w:ilvl="0">
      <w:lvlJc w:val="left"/>
      <w:lvlText w:val="%1."/>
      <w:numFmt w:val="decimal"/>
      <w:start w:val="5"/>
    </w:lvl>
  </w:abstractNum>
  <w:abstractNum w:abstractNumId="8">
    <w:nsid w:val="2D1D5AE9"/>
    <w:multiLevelType w:val="hybridMultilevel"/>
    <w:lvl w:ilvl="0">
      <w:lvlJc w:val="left"/>
      <w:lvlText w:val="%1."/>
      <w:numFmt w:val="decimal"/>
      <w:start w:val="6"/>
    </w:lvl>
  </w:abstractNum>
  <w:abstractNum w:abstractNumId="9">
    <w:nsid w:val="6763845E"/>
    <w:multiLevelType w:val="hybridMultilevel"/>
    <w:lvl w:ilvl="0">
      <w:lvlJc w:val="left"/>
      <w:lvlText w:val="%1."/>
      <w:numFmt w:val="decimal"/>
      <w:start w:val="7"/>
    </w:lvl>
  </w:abstractNum>
  <w:abstractNum w:abstractNumId="10">
    <w:nsid w:val="75A2A8D4"/>
    <w:multiLevelType w:val="hybridMultilevel"/>
    <w:lvl w:ilvl="0">
      <w:lvlJc w:val="left"/>
      <w:lvlText w:val="%1."/>
      <w:numFmt w:val="decimal"/>
      <w:start w:val="8"/>
    </w:lvl>
  </w:abstractNum>
  <w:abstractNum w:abstractNumId="11">
    <w:nsid w:val="8EDBDAB"/>
    <w:multiLevelType w:val="hybridMultilevel"/>
    <w:lvl w:ilvl="0">
      <w:lvlJc w:val="left"/>
      <w:lvlText w:val="%1."/>
      <w:numFmt w:val="decimal"/>
      <w:start w:val="9"/>
    </w:lvl>
  </w:abstractNum>
  <w:abstractNum w:abstractNumId="12">
    <w:nsid w:val="79838CB2"/>
    <w:multiLevelType w:val="hybridMultilevel"/>
    <w:lvl w:ilvl="0">
      <w:lvlJc w:val="left"/>
      <w:lvlText w:val="%1."/>
      <w:numFmt w:val="decimal"/>
      <w:start w:val="10"/>
    </w:lvl>
  </w:abstractNum>
  <w:abstractNum w:abstractNumId="13">
    <w:nsid w:val="4353D0CD"/>
    <w:multiLevelType w:val="hybridMultilevel"/>
    <w:lvl w:ilvl="0">
      <w:lvlJc w:val="left"/>
      <w:lvlText w:val="%1."/>
      <w:numFmt w:val="decimal"/>
      <w:start w:val="11"/>
    </w:lvl>
  </w:abstractNum>
  <w:abstractNum w:abstractNumId="14">
    <w:nsid w:val="B03E0C6"/>
    <w:multiLevelType w:val="hybridMultilevel"/>
    <w:lvl w:ilvl="0">
      <w:lvlJc w:val="left"/>
      <w:lvlText w:val="%1."/>
      <w:numFmt w:val="decimal"/>
      <w:start w:val="12"/>
    </w:lvl>
  </w:abstractNum>
  <w:abstractNum w:abstractNumId="15">
    <w:nsid w:val="189A769B"/>
    <w:multiLevelType w:val="hybridMultilevel"/>
    <w:lvl w:ilvl="0">
      <w:lvlJc w:val="left"/>
      <w:lvlText w:val="%1."/>
      <w:numFmt w:val="decimal"/>
      <w:start w:val="13"/>
    </w:lvl>
  </w:abstractNum>
  <w:abstractNum w:abstractNumId="16">
    <w:nsid w:val="54E49EB4"/>
    <w:multiLevelType w:val="hybridMultilevel"/>
    <w:lvl w:ilvl="0">
      <w:lvlJc w:val="left"/>
      <w:lvlText w:val="%1."/>
      <w:numFmt w:val="decimal"/>
      <w:start w:val="14"/>
    </w:lvl>
  </w:abstractNum>
  <w:abstractNum w:abstractNumId="17">
    <w:nsid w:val="71F32454"/>
    <w:multiLevelType w:val="hybridMultilevel"/>
    <w:lvl w:ilvl="0">
      <w:lvlJc w:val="left"/>
      <w:lvlText w:val="%1."/>
      <w:numFmt w:val="decimal"/>
      <w:start w:val="15"/>
    </w:lvl>
  </w:abstractNum>
  <w:abstractNum w:abstractNumId="18">
    <w:nsid w:val="2CA88611"/>
    <w:multiLevelType w:val="hybridMultilevel"/>
    <w:lvl w:ilvl="0">
      <w:lvlJc w:val="left"/>
      <w:lvlText w:val="%1."/>
      <w:numFmt w:val="decimal"/>
      <w:start w:val="16"/>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decimal"/>
      <w:start w:val="9"/>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decimal"/>
      <w:start w:val="11"/>
    </w:lvl>
    <w:lvl w:ilvl="1">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Archives/edgar/data/1509432/000119312511012087/ds1.htm" TargetMode="External"/><Relationship Id="rId14" Type="http://schemas.openxmlformats.org/officeDocument/2006/relationships/hyperlink" Target="http://www.sec.gov/Archives/edgar/data/1509432/000119312511101007/d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2019-12-29T05:59:36Z</dcterms:created>
  <dcterms:modified xsi:type="dcterms:W3CDTF">2019-12-29T05:59:36Z</dcterms:modified>
</cp:coreProperties>
</file>