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03" w:lineRule="exact"/>
        <w:rPr>
          <w:sz w:val="24"/>
          <w:szCs w:val="24"/>
          <w:color w:val="auto"/>
        </w:rPr>
      </w:pPr>
    </w:p>
    <w:p>
      <w:pPr>
        <w:ind w:left="3980" w:right="1740" w:hanging="3972"/>
        <w:spacing w:after="0" w:line="563"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4460" w:right="1720" w:hanging="4452"/>
        <w:spacing w:after="0" w:line="563" w:lineRule="auto"/>
        <w:tabs>
          <w:tab w:leader="none" w:pos="50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189230</wp:posOffset>
            </wp:positionV>
            <wp:extent cx="101219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219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RPX Corporation</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639" w:right="279" w:bottom="1440" w:gutter="0" w:footer="0" w:header="0"/>
        </w:sectPr>
      </w:pPr>
    </w:p>
    <w:p>
      <w:pPr>
        <w:spacing w:after="0" w:line="259"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26-2990113</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7160" w:space="720"/>
            <w:col w:w="3500"/>
          </w:cols>
          <w:pgMar w:left="240" w:top="639" w:right="279" w:bottom="144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Market Plaza, Suite 800,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94105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(Address of Principal Executive Offices and Zip Code)</w:t>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(866) 779-7641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380"/>
          </w:cols>
          <w:pgMar w:left="240" w:top="639" w:right="279" w:bottom="1440" w:gutter="0" w:footer="0" w:header="0"/>
          <w:type w:val="continuous"/>
        </w:sectPr>
      </w:pPr>
    </w:p>
    <w:p>
      <w:pPr>
        <w:spacing w:after="0" w:line="288" w:lineRule="exact"/>
        <w:rPr>
          <w:sz w:val="24"/>
          <w:szCs w:val="24"/>
          <w:color w:val="auto"/>
        </w:rPr>
      </w:pPr>
    </w:p>
    <w:p>
      <w:pPr>
        <w:ind w:right="20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38" w:lineRule="exact"/>
        <w:rPr>
          <w:sz w:val="24"/>
          <w:szCs w:val="24"/>
          <w:color w:val="auto"/>
        </w:rPr>
      </w:pPr>
    </w:p>
    <w:p>
      <w:pPr>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38"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639" w:right="279" w:bottom="1440" w:gutter="0" w:footer="0" w:header="0"/>
          <w:type w:val="continuous"/>
        </w:sectPr>
      </w:pP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040" w:space="720"/>
            <w:col w:w="4600" w:space="720"/>
            <w:col w:w="2400" w:space="720"/>
            <w:col w:w="180"/>
          </w:cols>
          <w:pgMar w:left="240" w:top="639" w:right="27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040" w:space="720"/>
            <w:col w:w="4600" w:space="720"/>
            <w:col w:w="2400" w:space="720"/>
            <w:col w:w="180"/>
          </w:cols>
          <w:pgMar w:left="240" w:top="639" w:right="279" w:bottom="1440" w:gutter="0" w:footer="0" w:header="0"/>
          <w:type w:val="continuous"/>
        </w:sectPr>
      </w:pPr>
    </w:p>
    <w:p>
      <w:pPr>
        <w:spacing w:after="0" w:line="70"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33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On July 31, 2012, 50,592,994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74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1.</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Financial Statements (unaudited):</w:t>
            </w:r>
          </w:p>
        </w:tc>
        <w:tc>
          <w:tcPr>
            <w:tcW w:w="3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Condensed Consolidated Balance Sheets</w:t>
            </w:r>
          </w:p>
        </w:tc>
        <w:tc>
          <w:tcPr>
            <w:tcW w:w="5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Condensed Consolidated Statements of Operations</w:t>
            </w:r>
          </w:p>
        </w:tc>
        <w:tc>
          <w:tcPr>
            <w:tcW w:w="5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Condensed Consolidated Statements of Comprehensive Income</w:t>
            </w:r>
          </w:p>
        </w:tc>
        <w:tc>
          <w:tcPr>
            <w:tcW w:w="5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Condensed Consolidated Statements of Cash Flows</w:t>
            </w:r>
          </w:p>
        </w:tc>
        <w:tc>
          <w:tcPr>
            <w:tcW w:w="5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Notes to Condensed Consolidated Financial Statements</w:t>
            </w:r>
          </w:p>
        </w:tc>
        <w:tc>
          <w:tcPr>
            <w:tcW w:w="5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2.</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3.</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4.</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Controls and Procedures</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PART II.</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1.</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Legal Proceedings</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1A.</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Risk Factors</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2.</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3.</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Defaults Upon Senior Securities</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4.</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Mine Safety Disclosures</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5.</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Other Information</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Item 6.</w:t>
            </w: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Exhibits</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9740" w:type="dxa"/>
            <w:vAlign w:val="bottom"/>
            <w:shd w:val="clear" w:color="auto" w:fill="C0FFFF"/>
          </w:tcPr>
          <w:p>
            <w:pPr>
              <w:ind w:left="200"/>
              <w:spacing w:after="0"/>
              <w:rPr>
                <w:sz w:val="20"/>
                <w:szCs w:val="20"/>
                <w:color w:val="auto"/>
              </w:rPr>
            </w:pPr>
            <w:r>
              <w:rPr>
                <w:rFonts w:ascii="Arial" w:cs="Arial" w:eastAsia="Arial" w:hAnsi="Arial"/>
                <w:sz w:val="18"/>
                <w:szCs w:val="18"/>
                <w:color w:val="auto"/>
              </w:rPr>
              <w:t>Signatures</w:t>
            </w:r>
          </w:p>
        </w:tc>
        <w:tc>
          <w:tcPr>
            <w:tcW w:w="3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97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6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rPr>
              <w:t>PART I. FINANCIAL INFORMATION</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6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5"/>
              </w:rPr>
              <w:t>RPX Corporation</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6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6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(in thousands)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60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1"/>
              </w:rPr>
              <w:t>(unaudited)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Current assets: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Cash and cash equivalents</w:t>
            </w:r>
          </w:p>
        </w:tc>
        <w:tc>
          <w:tcPr>
            <w:tcW w:w="46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68,059</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106,749</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151,817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126,976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Restricted cash</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8,522</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4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440"/>
              <w:spacing w:after="0"/>
              <w:rPr>
                <w:sz w:val="20"/>
                <w:szCs w:val="20"/>
                <w:color w:val="auto"/>
              </w:rPr>
            </w:pPr>
            <w:r>
              <w:rPr>
                <w:rFonts w:ascii="Arial" w:cs="Arial" w:eastAsia="Arial" w:hAnsi="Arial"/>
                <w:sz w:val="18"/>
                <w:szCs w:val="18"/>
                <w:color w:val="auto"/>
              </w:rPr>
              <w:t>Total current assets</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246,545</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267,701</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Patent assets, net</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192,445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Property and equipment, net</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3,437</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2,317</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Intangible assets, net</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Goodwill</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16,460</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1,675</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Restricted cash, less current portion</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Deferred tax assets, less current portion</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8,672</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assets</w:t>
            </w:r>
          </w:p>
        </w:tc>
        <w:tc>
          <w:tcPr>
            <w:tcW w:w="4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shd w:val="clear" w:color="auto" w:fill="C0FFFF"/>
          </w:tcPr>
          <w:p>
            <w:pPr>
              <w:ind w:left="440"/>
              <w:spacing w:after="0"/>
              <w:rPr>
                <w:sz w:val="20"/>
                <w:szCs w:val="20"/>
                <w:color w:val="auto"/>
              </w:rPr>
            </w:pPr>
            <w:r>
              <w:rPr>
                <w:rFonts w:ascii="Arial" w:cs="Arial" w:eastAsia="Arial" w:hAnsi="Arial"/>
                <w:sz w:val="18"/>
                <w:szCs w:val="18"/>
                <w:color w:val="auto"/>
              </w:rPr>
              <w:t>Total assets</w:t>
            </w:r>
          </w:p>
        </w:tc>
        <w:tc>
          <w:tcPr>
            <w:tcW w:w="46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474,652</w:t>
            </w:r>
          </w:p>
        </w:tc>
        <w:tc>
          <w:tcPr>
            <w:tcW w:w="220" w:type="dxa"/>
            <w:vAlign w:val="bottom"/>
            <w:shd w:val="clear" w:color="auto" w:fill="C0FFFF"/>
          </w:tcPr>
          <w:p>
            <w:pPr>
              <w:spacing w:after="0"/>
              <w:rPr>
                <w:sz w:val="22"/>
                <w:szCs w:val="22"/>
                <w:color w:val="auto"/>
              </w:rPr>
            </w:pP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437,994</w:t>
            </w:r>
          </w:p>
        </w:tc>
        <w:tc>
          <w:tcPr>
            <w:tcW w:w="120" w:type="dxa"/>
            <w:vAlign w:val="bottom"/>
            <w:shd w:val="clear" w:color="auto" w:fill="C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0FFFF"/>
            </w:tcBorders>
          </w:tcPr>
          <w:p>
            <w:pPr>
              <w:spacing w:after="0"/>
              <w:rPr>
                <w:sz w:val="18"/>
                <w:szCs w:val="18"/>
                <w:color w:val="auto"/>
              </w:rPr>
            </w:pPr>
          </w:p>
        </w:tc>
        <w:tc>
          <w:tcPr>
            <w:tcW w:w="4340" w:type="dxa"/>
            <w:vAlign w:val="bottom"/>
            <w:tcBorders>
              <w:top w:val="single" w:sz="8" w:color="C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Current liabilities: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220"/>
              <w:spacing w:after="0"/>
              <w:rPr>
                <w:sz w:val="20"/>
                <w:szCs w:val="20"/>
                <w:color w:val="auto"/>
              </w:rPr>
            </w:pPr>
            <w:r>
              <w:rPr>
                <w:rFonts w:ascii="Arial" w:cs="Arial" w:eastAsia="Arial" w:hAnsi="Arial"/>
                <w:sz w:val="18"/>
                <w:szCs w:val="18"/>
                <w:color w:val="auto"/>
              </w:rPr>
              <w:t>Accounts payable</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220"/>
              <w:spacing w:after="0"/>
              <w:rPr>
                <w:sz w:val="20"/>
                <w:szCs w:val="20"/>
                <w:color w:val="auto"/>
              </w:rPr>
            </w:pPr>
            <w:r>
              <w:rPr>
                <w:rFonts w:ascii="Arial" w:cs="Arial" w:eastAsia="Arial" w:hAnsi="Arial"/>
                <w:sz w:val="18"/>
                <w:szCs w:val="18"/>
                <w:color w:val="auto"/>
              </w:rPr>
              <w:t>Deferred revenue</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98,259</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20"/>
              <w:spacing w:after="0"/>
              <w:rPr>
                <w:sz w:val="20"/>
                <w:szCs w:val="20"/>
                <w:color w:val="auto"/>
              </w:rPr>
            </w:pPr>
            <w:r>
              <w:rPr>
                <w:rFonts w:ascii="Arial" w:cs="Arial" w:eastAsia="Arial" w:hAnsi="Arial"/>
                <w:sz w:val="18"/>
                <w:szCs w:val="18"/>
                <w:color w:val="auto"/>
              </w:rPr>
              <w:t>Deferred payment obligations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0FFFF"/>
            </w:tcBorders>
            <w:shd w:val="clear" w:color="auto" w:fill="C0FFFF"/>
          </w:tcPr>
          <w:p>
            <w:pPr>
              <w:ind w:left="220"/>
              <w:spacing w:after="0"/>
              <w:rPr>
                <w:sz w:val="20"/>
                <w:szCs w:val="20"/>
                <w:color w:val="auto"/>
              </w:rPr>
            </w:pPr>
            <w:r>
              <w:rPr>
                <w:rFonts w:ascii="Arial" w:cs="Arial" w:eastAsia="Arial" w:hAnsi="Arial"/>
                <w:sz w:val="18"/>
                <w:szCs w:val="18"/>
                <w:color w:val="auto"/>
              </w:rPr>
              <w:t>Other current liabilities</w:t>
            </w:r>
          </w:p>
        </w:tc>
        <w:tc>
          <w:tcPr>
            <w:tcW w:w="4340" w:type="dxa"/>
            <w:vAlign w:val="bottom"/>
            <w:tcBorders>
              <w:bottom w:val="single" w:sz="8" w:color="C0FFFF"/>
            </w:tcBorders>
            <w:shd w:val="clear" w:color="auto" w:fill="C0FFFF"/>
          </w:tcPr>
          <w:p>
            <w:pPr>
              <w:spacing w:after="0"/>
              <w:rPr>
                <w:sz w:val="19"/>
                <w:szCs w:val="19"/>
                <w:color w:val="auto"/>
              </w:rPr>
            </w:pPr>
          </w:p>
        </w:tc>
        <w:tc>
          <w:tcPr>
            <w:tcW w:w="260" w:type="dxa"/>
            <w:vAlign w:val="bottom"/>
            <w:tcBorders>
              <w:bottom w:val="single" w:sz="8" w:color="auto"/>
            </w:tcBorders>
            <w:shd w:val="clear" w:color="auto" w:fill="C0FFFF"/>
          </w:tcPr>
          <w:p>
            <w:pPr>
              <w:spacing w:after="0"/>
              <w:rPr>
                <w:sz w:val="19"/>
                <w:szCs w:val="19"/>
                <w:color w:val="auto"/>
              </w:rPr>
            </w:pPr>
          </w:p>
        </w:tc>
        <w:tc>
          <w:tcPr>
            <w:tcW w:w="12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6,033</w:t>
            </w:r>
          </w:p>
        </w:tc>
        <w:tc>
          <w:tcPr>
            <w:tcW w:w="22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bottom w:val="single" w:sz="8" w:color="auto"/>
            </w:tcBorders>
            <w:shd w:val="clear" w:color="auto" w:fill="C0FFFF"/>
          </w:tcPr>
          <w:p>
            <w:pPr>
              <w:spacing w:after="0"/>
              <w:rPr>
                <w:sz w:val="19"/>
                <w:szCs w:val="19"/>
                <w:color w:val="auto"/>
              </w:rPr>
            </w:pPr>
          </w:p>
        </w:tc>
        <w:tc>
          <w:tcPr>
            <w:tcW w:w="13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Deferred revenue, less current portion</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7,721</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11,762</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Other liabilities</w:t>
            </w:r>
          </w:p>
        </w:tc>
        <w:tc>
          <w:tcPr>
            <w:tcW w:w="434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0FFFF"/>
          </w:tcPr>
          <w:p>
            <w:pPr>
              <w:spacing w:after="0"/>
              <w:rPr>
                <w:sz w:val="19"/>
                <w:szCs w:val="19"/>
                <w:color w:val="auto"/>
              </w:rPr>
            </w:pPr>
          </w:p>
        </w:tc>
        <w:tc>
          <w:tcPr>
            <w:tcW w:w="160" w:type="dxa"/>
            <w:vAlign w:val="bottom"/>
            <w:shd w:val="clear" w:color="auto" w:fill="C0FFFF"/>
          </w:tcPr>
          <w:p>
            <w:pPr>
              <w:spacing w:after="0"/>
              <w:rPr>
                <w:sz w:val="19"/>
                <w:szCs w:val="19"/>
                <w:color w:val="auto"/>
              </w:rPr>
            </w:pP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C0FFFF"/>
            </w:tcBorders>
          </w:tcPr>
          <w:p>
            <w:pPr>
              <w:ind w:left="440"/>
              <w:spacing w:after="0"/>
              <w:rPr>
                <w:sz w:val="20"/>
                <w:szCs w:val="20"/>
                <w:color w:val="auto"/>
              </w:rPr>
            </w:pPr>
            <w:r>
              <w:rPr>
                <w:rFonts w:ascii="Arial" w:cs="Arial" w:eastAsia="Arial" w:hAnsi="Arial"/>
                <w:sz w:val="18"/>
                <w:szCs w:val="18"/>
                <w:color w:val="auto"/>
              </w:rPr>
              <w:t>Total liabilities</w:t>
            </w:r>
          </w:p>
        </w:tc>
        <w:tc>
          <w:tcPr>
            <w:tcW w:w="4340" w:type="dxa"/>
            <w:vAlign w:val="bottom"/>
            <w:tcBorders>
              <w:top w:val="single" w:sz="8" w:color="C0FF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141,206</w:t>
            </w:r>
          </w:p>
        </w:tc>
        <w:tc>
          <w:tcPr>
            <w:tcW w:w="220" w:type="dxa"/>
            <w:vAlign w:val="bottom"/>
            <w:tcBorders>
              <w:top w:val="single" w:sz="8" w:color="C0FF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138,910</w:t>
            </w:r>
          </w:p>
        </w:tc>
        <w:tc>
          <w:tcPr>
            <w:tcW w:w="120" w:type="dxa"/>
            <w:vAlign w:val="bottom"/>
            <w:tcBorders>
              <w:top w:val="single" w:sz="8" w:color="C0F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Commitments and contingencies (Note 13)</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Common stock</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272,413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Retained earnings</w:t>
            </w:r>
          </w:p>
        </w:tc>
        <w:tc>
          <w:tcPr>
            <w:tcW w:w="43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61,056</w:t>
            </w:r>
          </w:p>
        </w:tc>
        <w:tc>
          <w:tcPr>
            <w:tcW w:w="2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39,787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0FFFF"/>
            </w:tcBorders>
            <w:shd w:val="clear" w:color="auto" w:fill="C0FFFF"/>
          </w:tcPr>
          <w:p>
            <w:pPr>
              <w:ind w:left="440"/>
              <w:spacing w:after="0"/>
              <w:rPr>
                <w:sz w:val="20"/>
                <w:szCs w:val="20"/>
                <w:color w:val="auto"/>
              </w:rPr>
            </w:pPr>
            <w:r>
              <w:rPr>
                <w:rFonts w:ascii="Arial" w:cs="Arial" w:eastAsia="Arial" w:hAnsi="Arial"/>
                <w:sz w:val="18"/>
                <w:szCs w:val="18"/>
                <w:color w:val="auto"/>
              </w:rPr>
              <w:t>Total stockholders' equity</w:t>
            </w:r>
          </w:p>
        </w:tc>
        <w:tc>
          <w:tcPr>
            <w:tcW w:w="4340" w:type="dxa"/>
            <w:vAlign w:val="bottom"/>
            <w:tcBorders>
              <w:bottom w:val="single" w:sz="8" w:color="C0FFFF"/>
            </w:tcBorders>
            <w:shd w:val="clear" w:color="auto" w:fill="C0FFFF"/>
          </w:tcPr>
          <w:p>
            <w:pPr>
              <w:spacing w:after="0"/>
              <w:rPr>
                <w:sz w:val="19"/>
                <w:szCs w:val="19"/>
                <w:color w:val="auto"/>
              </w:rPr>
            </w:pPr>
          </w:p>
        </w:tc>
        <w:tc>
          <w:tcPr>
            <w:tcW w:w="260" w:type="dxa"/>
            <w:vAlign w:val="bottom"/>
            <w:tcBorders>
              <w:top w:val="single" w:sz="8" w:color="auto"/>
              <w:bottom w:val="single" w:sz="8" w:color="auto"/>
            </w:tcBorders>
            <w:shd w:val="clear" w:color="auto" w:fill="C0FFFF"/>
          </w:tcPr>
          <w:p>
            <w:pPr>
              <w:spacing w:after="0"/>
              <w:rPr>
                <w:sz w:val="19"/>
                <w:szCs w:val="19"/>
                <w:color w:val="auto"/>
              </w:rPr>
            </w:pPr>
          </w:p>
        </w:tc>
        <w:tc>
          <w:tcPr>
            <w:tcW w:w="122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333,446</w:t>
            </w:r>
          </w:p>
        </w:tc>
        <w:tc>
          <w:tcPr>
            <w:tcW w:w="22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top w:val="single" w:sz="8" w:color="auto"/>
              <w:bottom w:val="single" w:sz="8" w:color="auto"/>
            </w:tcBorders>
            <w:shd w:val="clear" w:color="auto" w:fill="C0FFFF"/>
          </w:tcPr>
          <w:p>
            <w:pPr>
              <w:spacing w:after="0"/>
              <w:rPr>
                <w:sz w:val="19"/>
                <w:szCs w:val="19"/>
                <w:color w:val="auto"/>
              </w:rPr>
            </w:pPr>
          </w:p>
        </w:tc>
        <w:tc>
          <w:tcPr>
            <w:tcW w:w="134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299,084</w:t>
            </w:r>
          </w:p>
        </w:tc>
        <w:tc>
          <w:tcPr>
            <w:tcW w:w="12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4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474,652</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437,994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4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ind w:left="2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shd w:val="clear" w:color="auto" w:fill="C0FF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0"/>
              </w:rPr>
              <w:t>55,238</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38,850</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99,087</w:t>
            </w:r>
          </w:p>
        </w:tc>
        <w:tc>
          <w:tcPr>
            <w:tcW w:w="42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73,240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Cost of revenue</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20,511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14,528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38,528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0"/>
              </w:rPr>
              <w:t>13,533</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11,286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26,756</w:t>
            </w:r>
          </w:p>
        </w:tc>
        <w:tc>
          <w:tcPr>
            <w:tcW w:w="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19,396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(Gain) on sale of patent assets, net</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0"/>
              </w:rPr>
              <w:t>21,194</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13,036</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33,980</w:t>
            </w:r>
          </w:p>
        </w:tc>
        <w:tc>
          <w:tcPr>
            <w:tcW w:w="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25,651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Interest and other expense, net</w:t>
            </w:r>
          </w:p>
        </w:tc>
        <w:tc>
          <w:tcPr>
            <w:tcW w:w="6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shd w:val="clear" w:color="auto" w:fill="C0FFFF"/>
          </w:tcPr>
          <w:p>
            <w:pPr>
              <w:spacing w:after="0"/>
              <w:rPr>
                <w:sz w:val="2"/>
                <w:szCs w:val="2"/>
                <w:color w:val="auto"/>
              </w:rPr>
            </w:pPr>
          </w:p>
        </w:tc>
        <w:tc>
          <w:tcPr>
            <w:tcW w:w="640" w:type="dxa"/>
            <w:vAlign w:val="bottom"/>
            <w:shd w:val="clear" w:color="auto" w:fill="C0FF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34,007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8,053</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5,177</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12,738</w:t>
            </w:r>
          </w:p>
        </w:tc>
        <w:tc>
          <w:tcPr>
            <w:tcW w:w="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shd w:val="clear" w:color="auto" w:fill="C0FFFF"/>
          </w:tcPr>
          <w:p>
            <w:pPr>
              <w:spacing w:after="0"/>
              <w:rPr>
                <w:sz w:val="2"/>
                <w:szCs w:val="2"/>
                <w:color w:val="auto"/>
              </w:rPr>
            </w:pPr>
          </w:p>
        </w:tc>
        <w:tc>
          <w:tcPr>
            <w:tcW w:w="640" w:type="dxa"/>
            <w:vAlign w:val="bottom"/>
            <w:shd w:val="clear" w:color="auto" w:fill="C0FF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13,188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7,666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21,269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Net income available to common stockholders:</w:t>
            </w:r>
          </w:p>
        </w:tc>
        <w:tc>
          <w:tcPr>
            <w:tcW w:w="6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78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12,976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4,714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20,782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shd w:val="clear" w:color="auto" w:fill="C0FFFF"/>
          </w:tcPr>
          <w:p>
            <w:pPr>
              <w:ind w:left="780"/>
              <w:spacing w:after="0"/>
              <w:rPr>
                <w:sz w:val="20"/>
                <w:szCs w:val="20"/>
                <w:color w:val="auto"/>
              </w:rPr>
            </w:pPr>
            <w:r>
              <w:rPr>
                <w:rFonts w:ascii="Arial" w:cs="Arial" w:eastAsia="Arial" w:hAnsi="Arial"/>
                <w:sz w:val="18"/>
                <w:szCs w:val="18"/>
                <w:color w:val="auto"/>
              </w:rPr>
              <w:t>Diluted</w:t>
            </w:r>
          </w:p>
        </w:tc>
        <w:tc>
          <w:tcPr>
            <w:tcW w:w="1600" w:type="dxa"/>
            <w:vAlign w:val="bottom"/>
            <w:gridSpan w:val="2"/>
            <w:shd w:val="clear" w:color="auto" w:fill="C0FF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90"/>
              </w:rPr>
              <w:t>12,985</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4,924</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20,806</w:t>
            </w:r>
          </w:p>
        </w:tc>
        <w:tc>
          <w:tcPr>
            <w:tcW w:w="42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6,091</w:t>
            </w:r>
          </w:p>
        </w:tc>
        <w:tc>
          <w:tcPr>
            <w:tcW w:w="120" w:type="dxa"/>
            <w:vAlign w:val="bottom"/>
            <w:shd w:val="clear" w:color="auto" w:fill="C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Net income per common share:</w:t>
            </w:r>
          </w:p>
        </w:tc>
        <w:tc>
          <w:tcPr>
            <w:tcW w:w="640" w:type="dxa"/>
            <w:vAlign w:val="bottom"/>
            <w:tcBorders>
              <w:top w:val="single" w:sz="8" w:color="C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shd w:val="clear" w:color="auto" w:fill="C0FFFF"/>
          </w:tcPr>
          <w:p>
            <w:pPr>
              <w:ind w:left="780"/>
              <w:spacing w:after="0"/>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C0FF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0.26</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0.16</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0.43</w:t>
            </w:r>
          </w:p>
        </w:tc>
        <w:tc>
          <w:tcPr>
            <w:tcW w:w="42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0FFFF"/>
            </w:tcBorders>
            <w:shd w:val="clear" w:color="auto" w:fill="C0FFFF"/>
          </w:tcPr>
          <w:p>
            <w:pPr>
              <w:spacing w:after="0" w:line="20" w:lineRule="exact"/>
              <w:rPr>
                <w:sz w:val="1"/>
                <w:szCs w:val="1"/>
                <w:color w:val="auto"/>
              </w:rPr>
            </w:pPr>
          </w:p>
        </w:tc>
        <w:tc>
          <w:tcPr>
            <w:tcW w:w="640" w:type="dxa"/>
            <w:vAlign w:val="bottom"/>
            <w:tcBorders>
              <w:top w:val="single" w:sz="8" w:color="C0FFFF"/>
            </w:tcBorders>
            <w:shd w:val="clear" w:color="auto" w:fill="C0FF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780"/>
              <w:spacing w:after="0"/>
              <w:rPr>
                <w:sz w:val="20"/>
                <w:szCs w:val="20"/>
                <w:color w:val="auto"/>
              </w:rPr>
            </w:pPr>
            <w:r>
              <w:rPr>
                <w:rFonts w:ascii="Arial" w:cs="Arial" w:eastAsia="Arial" w:hAnsi="Arial"/>
                <w:sz w:val="18"/>
                <w:szCs w:val="18"/>
                <w:color w:val="auto"/>
              </w:rPr>
              <w:t>Diluted</w:t>
            </w:r>
          </w:p>
        </w:tc>
        <w:tc>
          <w:tcPr>
            <w:tcW w:w="16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3"/>
            <w:shd w:val="clear" w:color="auto" w:fill="C0FFFF"/>
          </w:tcPr>
          <w:p>
            <w:pPr>
              <w:spacing w:after="0"/>
              <w:rPr>
                <w:sz w:val="20"/>
                <w:szCs w:val="20"/>
                <w:color w:val="auto"/>
              </w:rPr>
            </w:pPr>
            <w:r>
              <w:rPr>
                <w:rFonts w:ascii="Arial" w:cs="Arial" w:eastAsia="Arial" w:hAnsi="Arial"/>
                <w:sz w:val="18"/>
                <w:szCs w:val="18"/>
                <w:color w:val="auto"/>
                <w:w w:val="91"/>
              </w:rPr>
              <w:t>Weighted-average shares used in computing net income per common share:</w:t>
            </w:r>
          </w:p>
        </w:tc>
        <w:tc>
          <w:tcPr>
            <w:tcW w:w="5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78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49,454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28,941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48,881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0FFFF"/>
          </w:tcPr>
          <w:p>
            <w:pPr>
              <w:ind w:left="78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0FFFF"/>
          </w:tcPr>
          <w:p>
            <w:pPr>
              <w:spacing w:after="0"/>
              <w:rPr>
                <w:sz w:val="20"/>
                <w:szCs w:val="20"/>
                <w:color w:val="auto"/>
              </w:rPr>
            </w:pPr>
          </w:p>
        </w:tc>
        <w:tc>
          <w:tcPr>
            <w:tcW w:w="960" w:type="dxa"/>
            <w:vAlign w:val="bottom"/>
            <w:shd w:val="clear" w:color="auto" w:fill="C0FFFF"/>
          </w:tcPr>
          <w:p>
            <w:pPr>
              <w:spacing w:after="0"/>
              <w:rPr>
                <w:sz w:val="20"/>
                <w:szCs w:val="20"/>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0"/>
              </w:rPr>
              <w:t>51,787</w:t>
            </w:r>
          </w:p>
        </w:tc>
        <w:tc>
          <w:tcPr>
            <w:tcW w:w="14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33,131</w:t>
            </w:r>
          </w:p>
        </w:tc>
        <w:tc>
          <w:tcPr>
            <w:tcW w:w="14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51,517</w:t>
            </w:r>
          </w:p>
        </w:tc>
        <w:tc>
          <w:tcPr>
            <w:tcW w:w="80" w:type="dxa"/>
            <w:vAlign w:val="bottom"/>
            <w:shd w:val="clear" w:color="auto" w:fill="C0FFFF"/>
          </w:tcPr>
          <w:p>
            <w:pPr>
              <w:spacing w:after="0"/>
              <w:rPr>
                <w:sz w:val="20"/>
                <w:szCs w:val="20"/>
                <w:color w:val="auto"/>
              </w:rPr>
            </w:pPr>
          </w:p>
        </w:tc>
        <w:tc>
          <w:tcPr>
            <w:tcW w:w="340" w:type="dxa"/>
            <w:vAlign w:val="bottom"/>
            <w:shd w:val="clear" w:color="auto" w:fill="C0FFFF"/>
          </w:tcPr>
          <w:p>
            <w:pPr>
              <w:spacing w:after="0"/>
              <w:rPr>
                <w:sz w:val="20"/>
                <w:szCs w:val="20"/>
                <w:color w:val="auto"/>
              </w:rPr>
            </w:pP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0FFFF"/>
            </w:tcBorders>
            <w:shd w:val="clear" w:color="auto" w:fill="C0FFFF"/>
          </w:tcPr>
          <w:p>
            <w:pPr>
              <w:spacing w:after="0" w:line="20" w:lineRule="exact"/>
              <w:rPr>
                <w:sz w:val="1"/>
                <w:szCs w:val="1"/>
                <w:color w:val="auto"/>
              </w:rPr>
            </w:pPr>
          </w:p>
        </w:tc>
        <w:tc>
          <w:tcPr>
            <w:tcW w:w="640" w:type="dxa"/>
            <w:vAlign w:val="bottom"/>
            <w:tcBorders>
              <w:top w:val="single" w:sz="8" w:color="C0FFFF"/>
            </w:tcBorders>
            <w:shd w:val="clear" w:color="auto" w:fill="C0FF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ind w:left="2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0FFFF"/>
          </w:tcPr>
          <w:p>
            <w:pPr>
              <w:jc w:val="right"/>
              <w:ind w:right="81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0"/>
              </w:rPr>
              <w:t>13,188</w:t>
            </w:r>
          </w:p>
        </w:tc>
        <w:tc>
          <w:tcPr>
            <w:tcW w:w="140" w:type="dxa"/>
            <w:vAlign w:val="bottom"/>
            <w:shd w:val="clear" w:color="auto" w:fill="C0FFFF"/>
          </w:tcPr>
          <w:p>
            <w:pPr>
              <w:spacing w:after="0"/>
              <w:rPr>
                <w:sz w:val="19"/>
                <w:szCs w:val="19"/>
                <w:color w:val="auto"/>
              </w:rPr>
            </w:pPr>
          </w:p>
        </w:tc>
        <w:tc>
          <w:tcPr>
            <w:tcW w:w="1160" w:type="dxa"/>
            <w:vAlign w:val="bottom"/>
            <w:gridSpan w:val="2"/>
            <w:shd w:val="clear" w:color="auto" w:fill="C0FFFF"/>
          </w:tcPr>
          <w:p>
            <w:pPr>
              <w:jc w:val="right"/>
              <w:ind w:right="9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88"/>
              </w:rPr>
              <w:t>7,666</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21,269</w:t>
            </w:r>
          </w:p>
        </w:tc>
        <w:tc>
          <w:tcPr>
            <w:tcW w:w="42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right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Unrealized losses on available-for-sale securities:</w:t>
            </w:r>
          </w:p>
        </w:tc>
        <w:tc>
          <w:tcPr>
            <w:tcW w:w="940" w:type="dxa"/>
            <w:vAlign w:val="bottom"/>
            <w:shd w:val="clear" w:color="auto" w:fill="C0FFFF"/>
          </w:tcPr>
          <w:p>
            <w:pPr>
              <w:spacing w:after="0"/>
              <w:rPr>
                <w:sz w:val="18"/>
                <w:szCs w:val="18"/>
                <w:color w:val="auto"/>
              </w:rPr>
            </w:pPr>
          </w:p>
        </w:tc>
        <w:tc>
          <w:tcPr>
            <w:tcW w:w="5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Unrealized holding losses arising during the period</w:t>
            </w: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Borders>
              <w:right w:val="single" w:sz="8" w:color="C0FFFF"/>
            </w:tcBorders>
            <w:shd w:val="clear" w:color="auto" w:fill="C0FFFF"/>
          </w:tcPr>
          <w:p>
            <w:pPr>
              <w:ind w:left="320"/>
              <w:spacing w:after="0" w:line="201" w:lineRule="exact"/>
              <w:rPr>
                <w:sz w:val="20"/>
                <w:szCs w:val="20"/>
                <w:color w:val="auto"/>
              </w:rPr>
            </w:pPr>
            <w:r>
              <w:rPr>
                <w:rFonts w:ascii="Arial" w:cs="Arial" w:eastAsia="Arial" w:hAnsi="Arial"/>
                <w:sz w:val="18"/>
                <w:szCs w:val="18"/>
                <w:color w:val="auto"/>
                <w:w w:val="94"/>
              </w:rPr>
              <w:t>Less: reclassification adjustment for gains included in net</w:t>
            </w:r>
          </w:p>
        </w:tc>
        <w:tc>
          <w:tcPr>
            <w:tcW w:w="940" w:type="dxa"/>
            <w:vAlign w:val="bottom"/>
            <w:shd w:val="clear" w:color="auto" w:fill="C0FFFF"/>
          </w:tcPr>
          <w:p>
            <w:pPr>
              <w:spacing w:after="0"/>
              <w:rPr>
                <w:sz w:val="17"/>
                <w:szCs w:val="17"/>
                <w:color w:val="auto"/>
              </w:rPr>
            </w:pPr>
          </w:p>
        </w:tc>
        <w:tc>
          <w:tcPr>
            <w:tcW w:w="52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1080" w:type="dxa"/>
            <w:vAlign w:val="bottom"/>
            <w:shd w:val="clear" w:color="auto" w:fill="C0FFFF"/>
          </w:tcPr>
          <w:p>
            <w:pPr>
              <w:spacing w:after="0"/>
              <w:rPr>
                <w:sz w:val="17"/>
                <w:szCs w:val="17"/>
                <w:color w:val="auto"/>
              </w:rPr>
            </w:pPr>
          </w:p>
        </w:tc>
        <w:tc>
          <w:tcPr>
            <w:tcW w:w="42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32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340" w:type="dxa"/>
            <w:vAlign w:val="bottom"/>
            <w:shd w:val="clear" w:color="auto" w:fill="C0FFFF"/>
          </w:tcPr>
          <w:p>
            <w:pPr>
              <w:spacing w:after="0"/>
              <w:rPr>
                <w:sz w:val="17"/>
                <w:szCs w:val="17"/>
                <w:color w:val="auto"/>
              </w:rPr>
            </w:pPr>
          </w:p>
        </w:tc>
        <w:tc>
          <w:tcPr>
            <w:tcW w:w="11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Borders>
              <w:right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income</w:t>
            </w:r>
          </w:p>
        </w:tc>
        <w:tc>
          <w:tcPr>
            <w:tcW w:w="940" w:type="dxa"/>
            <w:vAlign w:val="bottom"/>
            <w:shd w:val="clear" w:color="auto" w:fill="C0FFFF"/>
          </w:tcPr>
          <w:p>
            <w:pPr>
              <w:spacing w:after="0"/>
              <w:rPr>
                <w:sz w:val="20"/>
                <w:szCs w:val="20"/>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1080" w:type="dxa"/>
            <w:vAlign w:val="bottom"/>
            <w:shd w:val="clear" w:color="auto" w:fill="C0FFFF"/>
          </w:tcPr>
          <w:p>
            <w:pPr>
              <w:spacing w:after="0"/>
              <w:rPr>
                <w:sz w:val="20"/>
                <w:szCs w:val="20"/>
                <w:color w:val="auto"/>
              </w:rPr>
            </w:pPr>
          </w:p>
        </w:tc>
        <w:tc>
          <w:tcPr>
            <w:tcW w:w="4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0FFFF"/>
          </w:tcPr>
          <w:p>
            <w:pPr>
              <w:spacing w:after="0"/>
              <w:rPr>
                <w:sz w:val="20"/>
                <w:szCs w:val="20"/>
                <w:color w:val="auto"/>
              </w:rPr>
            </w:pPr>
          </w:p>
        </w:tc>
        <w:tc>
          <w:tcPr>
            <w:tcW w:w="340" w:type="dxa"/>
            <w:vAlign w:val="bottom"/>
            <w:shd w:val="clear" w:color="auto" w:fill="C0FFFF"/>
          </w:tcPr>
          <w:p>
            <w:pPr>
              <w:spacing w:after="0"/>
              <w:rPr>
                <w:sz w:val="20"/>
                <w:szCs w:val="20"/>
                <w:color w:val="auto"/>
              </w:rPr>
            </w:pP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Borders>
              <w:right w:val="single" w:sz="8" w:color="C0FFFF"/>
            </w:tcBorders>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Net unrealized losses on available-for-sale securities</w:t>
            </w: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Borders>
              <w:right w:val="single" w:sz="8" w:color="C0FFFF"/>
            </w:tcBorders>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tcPr>
          <w:p>
            <w:pPr>
              <w:jc w:val="right"/>
              <w:ind w:right="81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13,170</w:t>
            </w:r>
          </w:p>
        </w:tc>
        <w:tc>
          <w:tcPr>
            <w:tcW w:w="140" w:type="dxa"/>
            <w:vAlign w:val="bottom"/>
          </w:tcPr>
          <w:p>
            <w:pPr>
              <w:spacing w:after="0"/>
              <w:rPr>
                <w:sz w:val="18"/>
                <w:szCs w:val="18"/>
                <w:color w:val="auto"/>
              </w:rPr>
            </w:pPr>
          </w:p>
        </w:tc>
        <w:tc>
          <w:tcPr>
            <w:tcW w:w="11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7,646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21,264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21,269</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38,938</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ind w:left="22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5,012</w:t>
            </w: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2,936</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20"/>
              <w:spacing w:after="0"/>
              <w:rPr>
                <w:sz w:val="20"/>
                <w:szCs w:val="20"/>
                <w:color w:val="auto"/>
              </w:rPr>
            </w:pPr>
            <w:r>
              <w:rPr>
                <w:rFonts w:ascii="Arial" w:cs="Arial" w:eastAsia="Arial" w:hAnsi="Arial"/>
                <w:sz w:val="18"/>
                <w:szCs w:val="18"/>
                <w:color w:val="auto"/>
              </w:rPr>
              <w:t>Excess tax benefit from stock-based compensation</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(5,423)</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ind w:left="220"/>
              <w:spacing w:after="0"/>
              <w:rPr>
                <w:sz w:val="20"/>
                <w:szCs w:val="20"/>
                <w:color w:val="auto"/>
              </w:rPr>
            </w:pPr>
            <w:r>
              <w:rPr>
                <w:rFonts w:ascii="Arial" w:cs="Arial" w:eastAsia="Arial" w:hAnsi="Arial"/>
                <w:sz w:val="18"/>
                <w:szCs w:val="18"/>
                <w:color w:val="auto"/>
              </w:rPr>
              <w:t>Imputed interest on deferred payment obligations</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20"/>
              <w:spacing w:after="0"/>
              <w:rPr>
                <w:sz w:val="20"/>
                <w:szCs w:val="20"/>
                <w:color w:val="auto"/>
              </w:rPr>
            </w:pPr>
            <w:r>
              <w:rPr>
                <w:rFonts w:ascii="Arial" w:cs="Arial" w:eastAsia="Arial" w:hAnsi="Arial"/>
                <w:sz w:val="18"/>
                <w:szCs w:val="18"/>
                <w:color w:val="auto"/>
              </w:rPr>
              <w:t>Gain on sale of patent assets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ind w:left="220"/>
              <w:spacing w:after="0"/>
              <w:rPr>
                <w:sz w:val="20"/>
                <w:szCs w:val="20"/>
                <w:color w:val="auto"/>
              </w:rPr>
            </w:pPr>
            <w:r>
              <w:rPr>
                <w:rFonts w:ascii="Arial" w:cs="Arial" w:eastAsia="Arial" w:hAnsi="Arial"/>
                <w:sz w:val="18"/>
                <w:szCs w:val="18"/>
                <w:color w:val="auto"/>
              </w:rPr>
              <w:t>Amortization of premium on investments</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2,473</w:t>
            </w: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ind w:left="44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2,617</w:t>
            </w: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6,360</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3,745</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ind w:left="44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40"/>
              <w:spacing w:after="0"/>
              <w:rPr>
                <w:sz w:val="20"/>
                <w:szCs w:val="20"/>
                <w:color w:val="auto"/>
              </w:rPr>
            </w:pPr>
            <w:r>
              <w:rPr>
                <w:rFonts w:ascii="Arial" w:cs="Arial" w:eastAsia="Arial" w:hAnsi="Arial"/>
                <w:sz w:val="18"/>
                <w:szCs w:val="18"/>
                <w:color w:val="auto"/>
              </w:rPr>
              <w:t>Accrued and other liabilities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(3,987)</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ind w:left="44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(2,349)</w:t>
            </w: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5,014</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shd w:val="clear" w:color="auto" w:fill="C0FFFF"/>
          </w:tcPr>
          <w:p>
            <w:pPr>
              <w:spacing w:after="0"/>
              <w:rPr>
                <w:sz w:val="2"/>
                <w:szCs w:val="2"/>
                <w:color w:val="auto"/>
              </w:rPr>
            </w:pPr>
          </w:p>
        </w:tc>
        <w:tc>
          <w:tcPr>
            <w:tcW w:w="8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62,562</w:t>
            </w: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34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Purchases of investments classified as available-for-sale</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(127,932)</w:t>
            </w: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(40,100)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Maturities and sale of investments classified as available-for-sale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105,887</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Business acquisition</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(45,765)</w:t>
            </w: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Purchases of intangible assets</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Acquisitions of patent assets</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(36,730)</w:t>
            </w: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(43,151)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Proceeds from sale of patent assets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shd w:val="clear" w:color="auto" w:fill="C0FF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(105,145)</w:t>
            </w:r>
          </w:p>
        </w:tc>
        <w:tc>
          <w:tcPr>
            <w:tcW w:w="34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(86,002)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Borders>
              <w:top w:val="single" w:sz="8" w:color="C0FFFF"/>
            </w:tcBorders>
          </w:tcPr>
          <w:p>
            <w:pPr>
              <w:spacing w:after="0"/>
              <w:rPr>
                <w:sz w:val="18"/>
                <w:szCs w:val="18"/>
                <w:color w:val="auto"/>
              </w:rPr>
            </w:pPr>
          </w:p>
        </w:tc>
        <w:tc>
          <w:tcPr>
            <w:tcW w:w="8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Repayments of principal on deferred payment obligations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(4,050)</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Proceeds from issuance of common stock in initial public offering, net of issuance costs</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157,828</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Proceeds from exercise of stock options and other common stock issuances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2,520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Excess tax benefit from stock-based compensation</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5,423</w:t>
            </w: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shd w:val="clear" w:color="auto" w:fill="C0FFFF"/>
          </w:tcPr>
          <w:p>
            <w:pPr>
              <w:spacing w:after="0"/>
              <w:rPr>
                <w:sz w:val="2"/>
                <w:szCs w:val="2"/>
                <w:color w:val="auto"/>
              </w:rPr>
            </w:pPr>
          </w:p>
        </w:tc>
        <w:tc>
          <w:tcPr>
            <w:tcW w:w="8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3,893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(38,690)</w:t>
            </w:r>
          </w:p>
        </w:tc>
        <w:tc>
          <w:tcPr>
            <w:tcW w:w="34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112,737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106,749</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Cash and cash equivalents at end of period</w:t>
            </w:r>
          </w:p>
        </w:tc>
        <w:tc>
          <w:tcPr>
            <w:tcW w:w="12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68,059</w:t>
            </w:r>
          </w:p>
        </w:tc>
        <w:tc>
          <w:tcPr>
            <w:tcW w:w="340" w:type="dxa"/>
            <w:vAlign w:val="bottom"/>
            <w:shd w:val="clear" w:color="auto" w:fill="C0FF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159,393</w:t>
            </w:r>
          </w:p>
        </w:tc>
        <w:tc>
          <w:tcPr>
            <w:tcW w:w="12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0FFFF"/>
            </w:tcBorders>
            <w:shd w:val="clear" w:color="auto" w:fill="C0FFFF"/>
          </w:tcPr>
          <w:p>
            <w:pPr>
              <w:spacing w:after="0" w:line="20" w:lineRule="exact"/>
              <w:rPr>
                <w:sz w:val="1"/>
                <w:szCs w:val="1"/>
                <w:color w:val="auto"/>
              </w:rPr>
            </w:pPr>
          </w:p>
        </w:tc>
        <w:tc>
          <w:tcPr>
            <w:tcW w:w="8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12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340" w:type="dxa"/>
            <w:vAlign w:val="bottom"/>
            <w:shd w:val="clear" w:color="auto" w:fill="C0FF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20"/>
              <w:spacing w:after="0"/>
              <w:rPr>
                <w:sz w:val="20"/>
                <w:szCs w:val="20"/>
                <w:color w:val="auto"/>
              </w:rPr>
            </w:pPr>
            <w:r>
              <w:rPr>
                <w:rFonts w:ascii="Arial" w:cs="Arial" w:eastAsia="Arial" w:hAnsi="Arial"/>
                <w:sz w:val="18"/>
                <w:szCs w:val="18"/>
                <w:color w:val="auto"/>
              </w:rPr>
              <w:t>Change in patent assets purchased and accrued but not paid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2,200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Change in other assets purchased and accrued but not paid</w:t>
            </w:r>
          </w:p>
        </w:tc>
        <w:tc>
          <w:tcPr>
            <w:tcW w:w="8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2,430</w:t>
            </w:r>
          </w:p>
        </w:tc>
        <w:tc>
          <w:tcPr>
            <w:tcW w:w="34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220"/>
              <w:spacing w:after="0"/>
              <w:rPr>
                <w:sz w:val="20"/>
                <w:szCs w:val="20"/>
                <w:color w:val="auto"/>
              </w:rPr>
            </w:pPr>
            <w:r>
              <w:rPr>
                <w:rFonts w:ascii="Arial" w:cs="Arial" w:eastAsia="Arial" w:hAnsi="Arial"/>
                <w:sz w:val="18"/>
                <w:szCs w:val="18"/>
                <w:color w:val="auto"/>
              </w:rPr>
              <w:t>Intangible assets received in barter transactions</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8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has also begun entering into agreements to acquire covenants not to sue in order to further mitigate its clients’ litigation risk. The acquired patents, licenses to patents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w:t>
      </w:r>
    </w:p>
    <w:p>
      <w:pPr>
        <w:spacing w:after="0" w:line="174"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9"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only normal recurring items, considered necessary for a fair statement of the results of operations for the periods are shown.</w:t>
      </w:r>
    </w:p>
    <w:p>
      <w:pPr>
        <w:spacing w:after="0" w:line="208"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unaudited financial statements should be read in conjunction with the audited financial statements and accompanying notes included in the Company’s Annual Report on Form 10-K for the year ended December 31, 2011. Operating results for the three and six months ended June 30, 2012 are not necessarily indicative of the results that may be expected for the year ending December 31, 2012.</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79"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With the exception of the below paragraph which describes the Company’s accounting for business combinations, there have been no material changes to the Company’s significant accounting policies during the six months ended June 30, 2012, as compared to the significant accounting policies disclosed in Note 2 of the Company’s Consolidated Financial Statements in the Annual Report on Form 10-K for the year ended December 31, 2011.</w:t>
      </w:r>
    </w:p>
    <w:p>
      <w:pPr>
        <w:spacing w:after="0" w:line="20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The Company applies the provisions of Financial Accounting Standards Board (“FASB”) issued Accounting Standards Update (“ASU”)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in the accounting for its business acquisitions. ASC 805 requires companies to separately recognize goodwill from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and liabilities assumed, which are valued at their acquisition date fair values. Goodwill as of the acquisition date represents the excess of the purchase price over the fair values of the assets acquired and the liabilities assumed.</w:t>
      </w:r>
    </w:p>
    <w:p>
      <w:pPr>
        <w:spacing w:after="0" w:line="24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uses significant estimates and assumptions, including fair value estimates, to determine fair value of assets acquired and liabilities assumed and when applicable the related useful lives of the acquired assets, as of the business combination date. When those estimates are provisional, the Company refines them as necessary during the measurement period. The measurement period is the period after the acquisition date, not to exceed one year, in which the Company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and Recently Issued Accounting Standards</w:t>
      </w:r>
    </w:p>
    <w:p>
      <w:pPr>
        <w:spacing w:after="0" w:line="2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June 2011, the FASB issued ASU 2011-05,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 xml:space="preserve"> (“ASU 2011-05”), which requires companies to present the components of net income and other comprehensive income either in a single continuous statement or in two separate but consecutive statements. ASU 2011-05 eliminates the option to present components of other comprehensive income as part of the statement of changes in stockholders' equity. ASU 2011-05 does not change the items which must be reported in other comprehensive income, how such items are measured or when they must be reclassified to net income. Additionally, ASU 2011-05 does not affect the calculation or reporting of earnings per share. On January 1, 2012, the Company adopted this ASU and elected the two-statement presentation option. Other than the change in presentation, the adoption of this ASU had no impact on the Company’s financial position or results of operations.</w:t>
      </w:r>
    </w:p>
    <w:p>
      <w:pPr>
        <w:spacing w:after="0" w:line="20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Net Income Available to Common Stockholders</w:t>
      </w:r>
    </w:p>
    <w:p>
      <w:pPr>
        <w:spacing w:after="0" w:line="246"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Basic and diluted net income per share available to common stockholders are presented in conformity with the two-class method required for participating securities. Upon the Company’s initial public offering in May 2011, all shares of the Company’s redeemable convertible preferred stock were converted to common stock. Holders of shares of Series A, Series A-1, Series B and Series C redeemable convertible preferred stock were each entitled to receive 8% per annum non-cumulative dividends, payable prior and in preference to any dividends on common stock. In addition, the holders of restricted common stock are entitled to receive non-forfeitable dividends if declared.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031"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200" w:firstLine="486"/>
        <w:spacing w:after="0" w:line="272" w:lineRule="auto"/>
        <w:rPr>
          <w:sz w:val="20"/>
          <w:szCs w:val="20"/>
          <w:color w:val="auto"/>
        </w:rPr>
      </w:pPr>
      <w:r>
        <w:rPr>
          <w:rFonts w:ascii="Arial" w:cs="Arial" w:eastAsia="Arial" w:hAnsi="Arial"/>
          <w:sz w:val="17"/>
          <w:szCs w:val="17"/>
          <w:color w:val="auto"/>
        </w:rPr>
        <w:t>Under the two-class method, basic net income per share available to common stockholders is computed by dividing the net income available to common stockholders by the weighted-average number of shares of common stock outstanding during the period. Net income available to common stockholders is determined by allocating undistributed earnings, calculated as net income less current period shares of Series A, Series A-1, Series B and Series C redeemable convertible preferred stock non-cumulative dividends, among common stockholders, restricted stockholders and Series A, Series A-1, Series B and Series C redeemable convertible preferred stockholders.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calculation of basic and diluted net income per share available to common stockholders: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8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0"/>
                <w:szCs w:val="20"/>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0"/>
              </w:rPr>
              <w:t>(in</w:t>
            </w:r>
          </w:p>
        </w:tc>
        <w:tc>
          <w:tcPr>
            <w:tcW w:w="268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w w:val="89"/>
              </w:rPr>
              <w:t>thousands, except per share data)</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0FFFF"/>
          </w:tcPr>
          <w:p>
            <w:pPr>
              <w:spacing w:after="0"/>
              <w:rPr>
                <w:sz w:val="20"/>
                <w:szCs w:val="20"/>
                <w:color w:val="auto"/>
              </w:rPr>
            </w:pPr>
            <w:r>
              <w:rPr>
                <w:rFonts w:ascii="Arial" w:cs="Arial" w:eastAsia="Arial" w:hAnsi="Arial"/>
                <w:sz w:val="18"/>
                <w:szCs w:val="18"/>
                <w:color w:val="auto"/>
              </w:rPr>
              <w:t>Net income available to common stockholders:</w:t>
            </w: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13,188</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21,269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Allocation of net income to participating stockholders</w:t>
            </w:r>
          </w:p>
        </w:tc>
        <w:tc>
          <w:tcPr>
            <w:tcW w:w="2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(2,952)</w:t>
            </w: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available to common stockholders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12,976</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20,782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20"/>
              <w:spacing w:after="0"/>
              <w:rPr>
                <w:sz w:val="20"/>
                <w:szCs w:val="20"/>
                <w:color w:val="auto"/>
              </w:rPr>
            </w:pPr>
            <w:r>
              <w:rPr>
                <w:rFonts w:ascii="Arial" w:cs="Arial" w:eastAsia="Arial" w:hAnsi="Arial"/>
                <w:sz w:val="18"/>
                <w:szCs w:val="18"/>
                <w:color w:val="auto"/>
              </w:rPr>
              <w:t>Net income available to common stockholders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12,976</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20,782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Undistributed earnings re-allocated to common stockholders</w:t>
            </w: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available to common stockholders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12,985</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20,806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Basic shares:</w:t>
            </w: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320"/>
              <w:spacing w:after="0" w:line="201" w:lineRule="exact"/>
              <w:rPr>
                <w:sz w:val="20"/>
                <w:szCs w:val="20"/>
                <w:color w:val="auto"/>
              </w:rPr>
            </w:pPr>
            <w:r>
              <w:rPr>
                <w:rFonts w:ascii="Arial" w:cs="Arial" w:eastAsia="Arial" w:hAnsi="Arial"/>
                <w:sz w:val="18"/>
                <w:szCs w:val="18"/>
                <w:color w:val="auto"/>
                <w:w w:val="98"/>
              </w:rPr>
              <w:t>Weighted-average shares used in computing basic net income available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480"/>
              <w:spacing w:after="0"/>
              <w:rPr>
                <w:sz w:val="20"/>
                <w:szCs w:val="20"/>
                <w:color w:val="auto"/>
              </w:rPr>
            </w:pPr>
            <w:r>
              <w:rPr>
                <w:rFonts w:ascii="Arial" w:cs="Arial" w:eastAsia="Arial" w:hAnsi="Arial"/>
                <w:sz w:val="18"/>
                <w:szCs w:val="18"/>
                <w:color w:val="auto"/>
              </w:rPr>
              <w:t>common stockholders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49,454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28,941</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48,881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Diluted shares:</w:t>
            </w: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320"/>
              <w:spacing w:after="0" w:line="201" w:lineRule="exact"/>
              <w:rPr>
                <w:sz w:val="20"/>
                <w:szCs w:val="20"/>
                <w:color w:val="auto"/>
              </w:rPr>
            </w:pPr>
            <w:r>
              <w:rPr>
                <w:rFonts w:ascii="Arial" w:cs="Arial" w:eastAsia="Arial" w:hAnsi="Arial"/>
                <w:sz w:val="18"/>
                <w:szCs w:val="18"/>
                <w:color w:val="auto"/>
                <w:w w:val="98"/>
              </w:rPr>
              <w:t>Weighted-average shares used in computing basic net income available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480"/>
              <w:spacing w:after="0"/>
              <w:rPr>
                <w:sz w:val="20"/>
                <w:szCs w:val="20"/>
                <w:color w:val="auto"/>
              </w:rPr>
            </w:pPr>
            <w:r>
              <w:rPr>
                <w:rFonts w:ascii="Arial" w:cs="Arial" w:eastAsia="Arial" w:hAnsi="Arial"/>
                <w:sz w:val="18"/>
                <w:szCs w:val="18"/>
                <w:color w:val="auto"/>
              </w:rPr>
              <w:t>common stockholders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49,454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28,941</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48,881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Dilutive effect of stock options using treasury-stock method</w:t>
            </w:r>
          </w:p>
        </w:tc>
        <w:tc>
          <w:tcPr>
            <w:tcW w:w="240" w:type="dxa"/>
            <w:vAlign w:val="bottom"/>
            <w:shd w:val="clear" w:color="auto" w:fill="C0FFFF"/>
          </w:tcPr>
          <w:p>
            <w:pPr>
              <w:spacing w:after="0"/>
              <w:rPr>
                <w:sz w:val="19"/>
                <w:szCs w:val="19"/>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2,333</w:t>
            </w:r>
          </w:p>
        </w:tc>
        <w:tc>
          <w:tcPr>
            <w:tcW w:w="220" w:type="dxa"/>
            <w:vAlign w:val="bottom"/>
            <w:shd w:val="clear" w:color="auto" w:fill="C0FFFF"/>
          </w:tcPr>
          <w:p>
            <w:pPr>
              <w:spacing w:after="0"/>
              <w:rPr>
                <w:sz w:val="19"/>
                <w:szCs w:val="19"/>
                <w:color w:val="auto"/>
              </w:rPr>
            </w:pPr>
          </w:p>
        </w:tc>
        <w:tc>
          <w:tcPr>
            <w:tcW w:w="240" w:type="dxa"/>
            <w:vAlign w:val="bottom"/>
            <w:shd w:val="clear" w:color="auto" w:fill="C0FFFF"/>
          </w:tcPr>
          <w:p>
            <w:pPr>
              <w:spacing w:after="0"/>
              <w:rPr>
                <w:sz w:val="19"/>
                <w:szCs w:val="19"/>
                <w:color w:val="auto"/>
              </w:rPr>
            </w:pP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4,190</w:t>
            </w:r>
          </w:p>
        </w:tc>
        <w:tc>
          <w:tcPr>
            <w:tcW w:w="120" w:type="dxa"/>
            <w:vAlign w:val="bottom"/>
            <w:shd w:val="clear" w:color="auto" w:fill="C0FFFF"/>
          </w:tcPr>
          <w:p>
            <w:pPr>
              <w:spacing w:after="0"/>
              <w:rPr>
                <w:sz w:val="19"/>
                <w:szCs w:val="19"/>
                <w:color w:val="auto"/>
              </w:rPr>
            </w:pPr>
          </w:p>
        </w:tc>
        <w:tc>
          <w:tcPr>
            <w:tcW w:w="12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2,636</w:t>
            </w:r>
          </w:p>
        </w:tc>
        <w:tc>
          <w:tcPr>
            <w:tcW w:w="220" w:type="dxa"/>
            <w:vAlign w:val="bottom"/>
            <w:shd w:val="clear" w:color="auto" w:fill="C0FFFF"/>
          </w:tcPr>
          <w:p>
            <w:pPr>
              <w:spacing w:after="0"/>
              <w:rPr>
                <w:sz w:val="19"/>
                <w:szCs w:val="19"/>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Borders>
              <w:top w:val="single" w:sz="8" w:color="C0FFFF"/>
            </w:tcBorders>
          </w:tcPr>
          <w:p>
            <w:pPr>
              <w:ind w:left="320"/>
              <w:spacing w:after="0" w:line="201" w:lineRule="exact"/>
              <w:rPr>
                <w:sz w:val="20"/>
                <w:szCs w:val="20"/>
                <w:color w:val="auto"/>
              </w:rPr>
            </w:pPr>
            <w:r>
              <w:rPr>
                <w:rFonts w:ascii="Arial" w:cs="Arial" w:eastAsia="Arial" w:hAnsi="Arial"/>
                <w:sz w:val="18"/>
                <w:szCs w:val="18"/>
                <w:color w:val="auto"/>
                <w:w w:val="96"/>
              </w:rPr>
              <w:t>Weighted-average shares used in computing diluted net income available to</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0FF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480"/>
              <w:spacing w:after="0"/>
              <w:rPr>
                <w:sz w:val="20"/>
                <w:szCs w:val="20"/>
                <w:color w:val="auto"/>
              </w:rPr>
            </w:pPr>
            <w:r>
              <w:rPr>
                <w:rFonts w:ascii="Arial" w:cs="Arial" w:eastAsia="Arial" w:hAnsi="Arial"/>
                <w:sz w:val="18"/>
                <w:szCs w:val="18"/>
                <w:color w:val="auto"/>
              </w:rPr>
              <w:t>common stockholders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51,787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33,131</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51,517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0.26</w:t>
            </w:r>
          </w:p>
        </w:tc>
        <w:tc>
          <w:tcPr>
            <w:tcW w:w="46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0FF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For the three and six months ended June 30, 2012 and 2011, the following securities were not included in the calculation of diluted shares outstanding, as the effect would have been anti-dilutive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600" w:type="dxa"/>
            <w:vAlign w:val="bottom"/>
            <w:gridSpan w:val="4"/>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0FFFF"/>
          </w:tcPr>
          <w:p>
            <w:pPr>
              <w:spacing w:after="0"/>
              <w:rPr>
                <w:sz w:val="20"/>
                <w:szCs w:val="20"/>
                <w:color w:val="auto"/>
              </w:rPr>
            </w:pPr>
            <w:r>
              <w:rPr>
                <w:rFonts w:ascii="Arial" w:cs="Arial" w:eastAsia="Arial" w:hAnsi="Arial"/>
                <w:sz w:val="18"/>
                <w:szCs w:val="18"/>
                <w:color w:val="auto"/>
              </w:rPr>
              <w:t>Weighted-average:</w:t>
            </w:r>
          </w:p>
        </w:tc>
        <w:tc>
          <w:tcPr>
            <w:tcW w:w="1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Shares of redeemable convertible preferred stock</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11,241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18,694</w:t>
            </w:r>
          </w:p>
        </w:tc>
      </w:tr>
      <w:tr>
        <w:trPr>
          <w:trHeight w:val="216"/>
        </w:trPr>
        <w:tc>
          <w:tcPr>
            <w:tcW w:w="20" w:type="dxa"/>
            <w:vAlign w:val="bottom"/>
          </w:tcPr>
          <w:p>
            <w:pPr>
              <w:spacing w:after="0"/>
              <w:rPr>
                <w:sz w:val="18"/>
                <w:szCs w:val="18"/>
                <w:color w:val="auto"/>
              </w:rPr>
            </w:pPr>
          </w:p>
        </w:tc>
        <w:tc>
          <w:tcPr>
            <w:tcW w:w="6060" w:type="dxa"/>
            <w:vAlign w:val="bottom"/>
            <w:shd w:val="clear" w:color="auto" w:fill="C0FFFF"/>
          </w:tcPr>
          <w:p>
            <w:pPr>
              <w:ind w:left="340"/>
              <w:spacing w:after="0"/>
              <w:rPr>
                <w:sz w:val="20"/>
                <w:szCs w:val="20"/>
                <w:color w:val="auto"/>
              </w:rPr>
            </w:pPr>
            <w:r>
              <w:rPr>
                <w:rFonts w:ascii="Arial" w:cs="Arial" w:eastAsia="Arial" w:hAnsi="Arial"/>
                <w:sz w:val="18"/>
                <w:szCs w:val="18"/>
                <w:color w:val="auto"/>
              </w:rPr>
              <w:t>Shares of common stock subject to repurchase</w:t>
            </w:r>
          </w:p>
        </w:tc>
        <w:tc>
          <w:tcPr>
            <w:tcW w:w="1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809</w:t>
            </w:r>
          </w:p>
        </w:tc>
        <w:tc>
          <w:tcPr>
            <w:tcW w:w="13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3,505</w:t>
            </w: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1,146</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3,741</w:t>
            </w: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Stock options outstanding</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1,557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0FFFF"/>
          </w:tcPr>
          <w:p>
            <w:pPr>
              <w:ind w:left="340"/>
              <w:spacing w:after="0"/>
              <w:rPr>
                <w:sz w:val="20"/>
                <w:szCs w:val="20"/>
                <w:color w:val="auto"/>
              </w:rPr>
            </w:pPr>
            <w:r>
              <w:rPr>
                <w:rFonts w:ascii="Arial" w:cs="Arial" w:eastAsia="Arial" w:hAnsi="Arial"/>
                <w:sz w:val="18"/>
                <w:szCs w:val="18"/>
                <w:color w:val="auto"/>
              </w:rPr>
              <w:t>Restricted stock units outstanding</w:t>
            </w:r>
          </w:p>
        </w:tc>
        <w:tc>
          <w:tcPr>
            <w:tcW w:w="1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146</w:t>
            </w:r>
          </w:p>
        </w:tc>
        <w:tc>
          <w:tcPr>
            <w:tcW w:w="11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123</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the financial assets measured at fair value on a recurring basis as of June 30, 2012 and December 31, 2011 (in thousands):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0"/>
              </w:rPr>
              <w:t>June 30, 2012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tcBorders>
              <w:top w:val="single" w:sz="8" w:color="auto"/>
            </w:tcBorders>
            <w:shd w:val="clear" w:color="auto" w:fill="C0FFFF"/>
          </w:tcPr>
          <w:p>
            <w:pPr>
              <w:spacing w:after="0"/>
              <w:rPr>
                <w:sz w:val="18"/>
                <w:szCs w:val="18"/>
                <w:color w:val="auto"/>
              </w:rPr>
            </w:pPr>
          </w:p>
        </w:tc>
        <w:tc>
          <w:tcPr>
            <w:tcW w:w="132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80" w:type="dxa"/>
            <w:vAlign w:val="bottom"/>
            <w:tcBorders>
              <w:top w:val="single" w:sz="8" w:color="auto"/>
            </w:tcBorders>
            <w:shd w:val="clear" w:color="auto" w:fill="C0FFFF"/>
          </w:tcPr>
          <w:p>
            <w:pPr>
              <w:spacing w:after="0"/>
              <w:rPr>
                <w:sz w:val="18"/>
                <w:szCs w:val="18"/>
                <w:color w:val="auto"/>
              </w:rPr>
            </w:pPr>
          </w:p>
        </w:tc>
        <w:tc>
          <w:tcPr>
            <w:tcW w:w="12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1,068</w:t>
            </w:r>
          </w:p>
        </w:tc>
        <w:tc>
          <w:tcPr>
            <w:tcW w:w="1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1,068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18,499</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380" w:type="dxa"/>
            <w:vAlign w:val="bottom"/>
            <w:shd w:val="clear" w:color="auto" w:fill="C0FFFF"/>
          </w:tcPr>
          <w:p>
            <w:pPr>
              <w:spacing w:after="0"/>
              <w:rPr>
                <w:sz w:val="22"/>
                <w:szCs w:val="22"/>
                <w:color w:val="auto"/>
              </w:rPr>
            </w:pP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21,616</w:t>
            </w:r>
          </w:p>
        </w:tc>
        <w:tc>
          <w:tcPr>
            <w:tcW w:w="26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1,068</w:t>
            </w:r>
          </w:p>
        </w:tc>
        <w:tc>
          <w:tcPr>
            <w:tcW w:w="38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20,548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4,496</w:t>
            </w:r>
          </w:p>
        </w:tc>
        <w:tc>
          <w:tcPr>
            <w:tcW w:w="1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122,174</w:t>
            </w: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16,999</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4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151,817</w:t>
            </w:r>
          </w:p>
        </w:tc>
        <w:tc>
          <w:tcPr>
            <w:tcW w:w="1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151,817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December 31, 2011</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0FFFF"/>
          </w:tcPr>
          <w:p>
            <w:pPr>
              <w:spacing w:after="0"/>
              <w:rPr>
                <w:sz w:val="18"/>
                <w:szCs w:val="18"/>
                <w:color w:val="auto"/>
              </w:rPr>
            </w:pPr>
          </w:p>
        </w:tc>
        <w:tc>
          <w:tcPr>
            <w:tcW w:w="128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260" w:type="dxa"/>
            <w:vAlign w:val="bottom"/>
            <w:tcBorders>
              <w:top w:val="single" w:sz="8" w:color="auto"/>
            </w:tcBorders>
            <w:shd w:val="clear" w:color="auto" w:fill="C0FFFF"/>
          </w:tcPr>
          <w:p>
            <w:pPr>
              <w:spacing w:after="0"/>
              <w:rPr>
                <w:sz w:val="18"/>
                <w:szCs w:val="18"/>
                <w:color w:val="auto"/>
              </w:rPr>
            </w:pPr>
          </w:p>
        </w:tc>
        <w:tc>
          <w:tcPr>
            <w:tcW w:w="120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80" w:type="dxa"/>
            <w:vAlign w:val="bottom"/>
            <w:tcBorders>
              <w:top w:val="single" w:sz="8" w:color="auto"/>
            </w:tcBorders>
            <w:shd w:val="clear" w:color="auto" w:fill="C0FFFF"/>
          </w:tcPr>
          <w:p>
            <w:pPr>
              <w:spacing w:after="0"/>
              <w:rPr>
                <w:sz w:val="18"/>
                <w:szCs w:val="18"/>
                <w:color w:val="auto"/>
              </w:rPr>
            </w:pPr>
          </w:p>
        </w:tc>
        <w:tc>
          <w:tcPr>
            <w:tcW w:w="12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21,504</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21,504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24,405</w:t>
            </w:r>
          </w:p>
        </w:tc>
        <w:tc>
          <w:tcPr>
            <w:tcW w:w="1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56,339</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21,504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34,835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65,675</w:t>
            </w:r>
          </w:p>
        </w:tc>
        <w:tc>
          <w:tcPr>
            <w:tcW w:w="1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C0FFFF"/>
          </w:tcPr>
          <w:p>
            <w:pPr>
              <w:spacing w:after="0"/>
              <w:rPr>
                <w:sz w:val="18"/>
                <w:szCs w:val="18"/>
                <w:color w:val="auto"/>
              </w:rPr>
            </w:pPr>
          </w:p>
        </w:tc>
        <w:tc>
          <w:tcPr>
            <w:tcW w:w="14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49,623</w:t>
            </w:r>
          </w:p>
        </w:tc>
        <w:tc>
          <w:tcPr>
            <w:tcW w:w="1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49,623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126,976</w:t>
            </w:r>
          </w:p>
        </w:tc>
        <w:tc>
          <w:tcPr>
            <w:tcW w:w="12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126,976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June 30, 2012 and December 31, 2011, the Company did not use level 3 inputs to measure financial assets or liabilities at fair value.</w:t>
      </w:r>
    </w:p>
    <w:p>
      <w:pPr>
        <w:spacing w:after="0" w:line="29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Short-term Investments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investments in available-for-sale securities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w w:val="90"/>
              </w:rPr>
              <w:t>June 30, 2012</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Unrealized</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Estimated Fair</w:t>
            </w: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Gains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Losses</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Commercial paper</w:t>
            </w:r>
          </w:p>
        </w:tc>
        <w:tc>
          <w:tcPr>
            <w:tcW w:w="620" w:type="dxa"/>
            <w:vAlign w:val="bottom"/>
            <w:gridSpan w:val="2"/>
            <w:shd w:val="clear" w:color="auto" w:fill="C0FF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4,495</w:t>
            </w:r>
          </w:p>
        </w:tc>
        <w:tc>
          <w:tcPr>
            <w:tcW w:w="1080" w:type="dxa"/>
            <w:vAlign w:val="bottom"/>
            <w:gridSpan w:val="2"/>
            <w:shd w:val="clear" w:color="auto" w:fill="C0FF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0FFFF"/>
          </w:tcPr>
          <w:p>
            <w:pPr>
              <w:jc w:val="right"/>
              <w:ind w:right="9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4,496</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122,189</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122,174</w:t>
            </w: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0FFFF"/>
          </w:tcPr>
          <w:p>
            <w:pPr>
              <w:spacing w:after="0"/>
              <w:rPr>
                <w:sz w:val="18"/>
                <w:szCs w:val="18"/>
                <w:color w:val="auto"/>
              </w:rPr>
            </w:pPr>
          </w:p>
        </w:tc>
        <w:tc>
          <w:tcPr>
            <w:tcW w:w="50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8,146</w:t>
            </w:r>
          </w:p>
        </w:tc>
        <w:tc>
          <w:tcPr>
            <w:tcW w:w="14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5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8,148</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17,009</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16,999</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500" w:type="dxa"/>
            <w:vAlign w:val="bottom"/>
            <w:shd w:val="clear" w:color="auto" w:fill="C0FF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151,839</w:t>
            </w:r>
          </w:p>
        </w:tc>
        <w:tc>
          <w:tcPr>
            <w:tcW w:w="1080" w:type="dxa"/>
            <w:vAlign w:val="bottom"/>
            <w:gridSpan w:val="2"/>
            <w:shd w:val="clear" w:color="auto" w:fill="C0FFFF"/>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0FFFF"/>
          </w:tcPr>
          <w:p>
            <w:pPr>
              <w:spacing w:after="0"/>
              <w:rPr>
                <w:sz w:val="20"/>
                <w:szCs w:val="20"/>
                <w:color w:val="auto"/>
              </w:rPr>
            </w:pPr>
          </w:p>
        </w:tc>
        <w:tc>
          <w:tcPr>
            <w:tcW w:w="1200" w:type="dxa"/>
            <w:vAlign w:val="bottom"/>
            <w:gridSpan w:val="2"/>
            <w:shd w:val="clear" w:color="auto" w:fill="C0FFFF"/>
          </w:tcPr>
          <w:p>
            <w:pPr>
              <w:jc w:val="right"/>
              <w:ind w:right="9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(42)</w:t>
            </w:r>
          </w:p>
        </w:tc>
        <w:tc>
          <w:tcPr>
            <w:tcW w:w="2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151,817</w:t>
            </w: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interest and other expense, net in the Company’s condensed consolidated statements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weighted-average remaining maturity of the Company’s investment portfolio was less than one year as of June 30, 2012 and December 31, 2011. As of June 30, 2012, no individual securities incurred continuous unrealized losses for greater than 12 months.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Patent Assets, Net</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Patent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acquired in</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Balance as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1"/>
              </w:rPr>
              <w:t>business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Balance 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December 31, 2011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combination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Sale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30, 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0FFFF"/>
          </w:tcPr>
          <w:p>
            <w:pPr>
              <w:spacing w:after="0"/>
              <w:rPr>
                <w:sz w:val="20"/>
                <w:szCs w:val="20"/>
                <w:color w:val="auto"/>
              </w:rPr>
            </w:pPr>
            <w:r>
              <w:rPr>
                <w:rFonts w:ascii="Arial" w:cs="Arial" w:eastAsia="Arial" w:hAnsi="Arial"/>
                <w:sz w:val="18"/>
                <w:szCs w:val="18"/>
                <w:color w:val="auto"/>
              </w:rPr>
              <w:t>Patent assets</w:t>
            </w:r>
          </w:p>
        </w:tc>
        <w:tc>
          <w:tcPr>
            <w:tcW w:w="7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287,555</w:t>
            </w:r>
          </w:p>
        </w:tc>
        <w:tc>
          <w:tcPr>
            <w:tcW w:w="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38,984</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27,850</w:t>
            </w:r>
          </w:p>
        </w:tc>
        <w:tc>
          <w:tcPr>
            <w:tcW w:w="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(50)</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354,339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(124,203)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(37,718)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(161,894)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440" w:type="dxa"/>
            <w:vAlign w:val="bottom"/>
            <w:shd w:val="clear" w:color="auto" w:fill="C0FFFF"/>
          </w:tcPr>
          <w:p>
            <w:pPr>
              <w:spacing w:after="0"/>
              <w:rPr>
                <w:sz w:val="20"/>
                <w:szCs w:val="20"/>
                <w:color w:val="auto"/>
              </w:rPr>
            </w:pPr>
            <w:r>
              <w:rPr>
                <w:rFonts w:ascii="Arial" w:cs="Arial" w:eastAsia="Arial" w:hAnsi="Arial"/>
                <w:sz w:val="18"/>
                <w:szCs w:val="18"/>
                <w:color w:val="auto"/>
              </w:rPr>
              <w:t>Patent assets, net</w:t>
            </w:r>
          </w:p>
        </w:tc>
        <w:tc>
          <w:tcPr>
            <w:tcW w:w="7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163,352</w:t>
            </w:r>
          </w:p>
        </w:tc>
        <w:tc>
          <w:tcPr>
            <w:tcW w:w="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1,266</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27,850</w:t>
            </w:r>
          </w:p>
        </w:tc>
        <w:tc>
          <w:tcPr>
            <w:tcW w:w="4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(23)</w:t>
            </w: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192,445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0FFFF"/>
            </w:tcBorders>
            <w:shd w:val="clear" w:color="auto" w:fill="C0FFFF"/>
          </w:tcPr>
          <w:p>
            <w:pPr>
              <w:spacing w:after="0" w:line="20" w:lineRule="exact"/>
              <w:rPr>
                <w:sz w:val="1"/>
                <w:szCs w:val="1"/>
                <w:color w:val="auto"/>
              </w:rPr>
            </w:pPr>
          </w:p>
        </w:tc>
        <w:tc>
          <w:tcPr>
            <w:tcW w:w="54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June 30, 2012 and December 31, 2011, the estimated useful lives of the Company’s patent assets generally ranged from 24 to 60 months. As of June 30, 2012, the weighted-average original estimated useful life was 49 months.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expected future annual amortization expense of patent assets as of June 30, 2012 (in thousands):</w:t>
      </w: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0FFFF"/>
          </w:tcPr>
          <w:p>
            <w:pPr>
              <w:spacing w:after="0"/>
              <w:rPr>
                <w:sz w:val="20"/>
                <w:szCs w:val="20"/>
                <w:color w:val="auto"/>
              </w:rPr>
            </w:pPr>
            <w:r>
              <w:rPr>
                <w:rFonts w:ascii="Arial" w:cs="Arial" w:eastAsia="Arial" w:hAnsi="Arial"/>
                <w:sz w:val="18"/>
                <w:szCs w:val="18"/>
                <w:color w:val="auto"/>
              </w:rPr>
              <w:t>2012 (remainder)</w:t>
            </w:r>
          </w:p>
        </w:tc>
        <w:tc>
          <w:tcPr>
            <w:tcW w:w="2520" w:type="dxa"/>
            <w:vAlign w:val="bottom"/>
            <w:gridSpan w:val="2"/>
            <w:shd w:val="clear" w:color="auto" w:fill="C0FF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39,608</w:t>
            </w:r>
          </w:p>
        </w:tc>
        <w:tc>
          <w:tcPr>
            <w:tcW w:w="12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2013</w:t>
            </w:r>
          </w:p>
        </w:tc>
        <w:tc>
          <w:tcPr>
            <w:tcW w:w="1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0FFFF"/>
          </w:tcPr>
          <w:p>
            <w:pPr>
              <w:spacing w:after="0"/>
              <w:rPr>
                <w:sz w:val="20"/>
                <w:szCs w:val="20"/>
                <w:color w:val="auto"/>
              </w:rPr>
            </w:pPr>
            <w:r>
              <w:rPr>
                <w:rFonts w:ascii="Arial" w:cs="Arial" w:eastAsia="Arial" w:hAnsi="Arial"/>
                <w:sz w:val="18"/>
                <w:szCs w:val="18"/>
                <w:color w:val="auto"/>
              </w:rPr>
              <w:t>2014</w:t>
            </w:r>
          </w:p>
        </w:tc>
        <w:tc>
          <w:tcPr>
            <w:tcW w:w="1900" w:type="dxa"/>
            <w:vAlign w:val="bottom"/>
            <w:shd w:val="clear" w:color="auto" w:fill="C0FFFF"/>
          </w:tcPr>
          <w:p>
            <w:pPr>
              <w:spacing w:after="0"/>
              <w:rPr>
                <w:sz w:val="18"/>
                <w:szCs w:val="18"/>
                <w:color w:val="auto"/>
              </w:rPr>
            </w:pPr>
          </w:p>
        </w:tc>
        <w:tc>
          <w:tcPr>
            <w:tcW w:w="62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40,374</w:t>
            </w:r>
          </w:p>
        </w:tc>
        <w:tc>
          <w:tcPr>
            <w:tcW w:w="12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2015</w:t>
            </w:r>
          </w:p>
        </w:tc>
        <w:tc>
          <w:tcPr>
            <w:tcW w:w="1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0FFFF"/>
          </w:tcPr>
          <w:p>
            <w:pPr>
              <w:spacing w:after="0"/>
              <w:rPr>
                <w:sz w:val="20"/>
                <w:szCs w:val="20"/>
                <w:color w:val="auto"/>
              </w:rPr>
            </w:pPr>
            <w:r>
              <w:rPr>
                <w:rFonts w:ascii="Arial" w:cs="Arial" w:eastAsia="Arial" w:hAnsi="Arial"/>
                <w:sz w:val="18"/>
                <w:szCs w:val="18"/>
                <w:color w:val="auto"/>
              </w:rPr>
              <w:t>2016</w:t>
            </w:r>
          </w:p>
        </w:tc>
        <w:tc>
          <w:tcPr>
            <w:tcW w:w="1900" w:type="dxa"/>
            <w:vAlign w:val="bottom"/>
            <w:shd w:val="clear" w:color="auto" w:fill="C0FFFF"/>
          </w:tcPr>
          <w:p>
            <w:pPr>
              <w:spacing w:after="0"/>
              <w:rPr>
                <w:sz w:val="18"/>
                <w:szCs w:val="18"/>
                <w:color w:val="auto"/>
              </w:rPr>
            </w:pPr>
          </w:p>
        </w:tc>
        <w:tc>
          <w:tcPr>
            <w:tcW w:w="62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17,406</w:t>
            </w:r>
          </w:p>
        </w:tc>
        <w:tc>
          <w:tcPr>
            <w:tcW w:w="12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19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380" w:type="dxa"/>
            <w:vAlign w:val="bottom"/>
            <w:tcBorders>
              <w:bottom w:val="single" w:sz="8" w:color="C0FFFF"/>
            </w:tcBorders>
            <w:shd w:val="clear" w:color="auto" w:fill="C0FFFF"/>
          </w:tcPr>
          <w:p>
            <w:pPr>
              <w:ind w:left="320"/>
              <w:spacing w:after="0"/>
              <w:rPr>
                <w:sz w:val="20"/>
                <w:szCs w:val="20"/>
                <w:color w:val="auto"/>
              </w:rPr>
            </w:pPr>
            <w:r>
              <w:rPr>
                <w:rFonts w:ascii="Arial" w:cs="Arial" w:eastAsia="Arial" w:hAnsi="Arial"/>
                <w:sz w:val="18"/>
                <w:szCs w:val="18"/>
                <w:color w:val="auto"/>
              </w:rPr>
              <w:t>Total estimated future amortization expense</w:t>
            </w:r>
          </w:p>
        </w:tc>
        <w:tc>
          <w:tcPr>
            <w:tcW w:w="1900" w:type="dxa"/>
            <w:vAlign w:val="bottom"/>
            <w:tcBorders>
              <w:bottom w:val="single" w:sz="8" w:color="C0FFFF"/>
            </w:tcBorders>
            <w:shd w:val="clear" w:color="auto" w:fill="C0FFFF"/>
          </w:tcPr>
          <w:p>
            <w:pPr>
              <w:spacing w:after="0"/>
              <w:rPr>
                <w:sz w:val="22"/>
                <w:szCs w:val="22"/>
                <w:color w:val="auto"/>
              </w:rPr>
            </w:pPr>
          </w:p>
        </w:tc>
        <w:tc>
          <w:tcPr>
            <w:tcW w:w="620" w:type="dxa"/>
            <w:vAlign w:val="bottom"/>
            <w:tcBorders>
              <w:bottom w:val="single" w:sz="8" w:color="auto"/>
            </w:tcBorders>
            <w:shd w:val="clear" w:color="auto" w:fill="C0FF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192,445</w:t>
            </w:r>
          </w:p>
        </w:tc>
        <w:tc>
          <w:tcPr>
            <w:tcW w:w="120" w:type="dxa"/>
            <w:vAlign w:val="bottom"/>
            <w:tcBorders>
              <w:bottom w:val="single" w:sz="8" w:color="C0FFFF"/>
            </w:tcBorders>
            <w:shd w:val="clear" w:color="auto" w:fill="C0FFFF"/>
          </w:tcPr>
          <w:p>
            <w:pPr>
              <w:spacing w:after="0"/>
              <w:rPr>
                <w:sz w:val="22"/>
                <w:szCs w:val="22"/>
                <w:color w:val="auto"/>
              </w:rPr>
            </w:pPr>
          </w:p>
        </w:tc>
      </w:tr>
    </w:tbl>
    <w:p>
      <w:pPr>
        <w:spacing w:after="0" w:line="256"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Amortization expense was $20.1 million and $ 14.3 million for the three months ended June 30, 2012 and 2011, respectively, and $37.7 million and $27.8 million for the six months ended June 30, 2012 and 2011,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40" w:type="dxa"/>
            <w:vAlign w:val="bottom"/>
            <w:gridSpan w:val="2"/>
          </w:tcPr>
          <w:p>
            <w:pPr>
              <w:spacing w:after="0"/>
              <w:rPr>
                <w:sz w:val="20"/>
                <w:szCs w:val="20"/>
                <w:color w:val="auto"/>
              </w:rPr>
            </w:pPr>
            <w:r>
              <w:rPr>
                <w:rFonts w:ascii="Arial" w:cs="Arial" w:eastAsia="Arial" w:hAnsi="Arial"/>
                <w:sz w:val="22"/>
                <w:szCs w:val="22"/>
                <w:b w:val="1"/>
                <w:bCs w:val="1"/>
                <w:color w:val="auto"/>
              </w:rPr>
              <w:t>7.</w:t>
            </w:r>
          </w:p>
        </w:tc>
        <w:tc>
          <w:tcPr>
            <w:tcW w:w="7780" w:type="dxa"/>
            <w:vAlign w:val="bottom"/>
          </w:tcPr>
          <w:p>
            <w:pPr>
              <w:ind w:left="320"/>
              <w:spacing w:after="0"/>
              <w:rPr>
                <w:sz w:val="20"/>
                <w:szCs w:val="20"/>
                <w:color w:val="auto"/>
              </w:rPr>
            </w:pPr>
            <w:r>
              <w:rPr>
                <w:rFonts w:ascii="Arial" w:cs="Arial" w:eastAsia="Arial" w:hAnsi="Arial"/>
                <w:sz w:val="22"/>
                <w:szCs w:val="22"/>
                <w:b w:val="1"/>
                <w:bCs w:val="1"/>
                <w:color w:val="auto"/>
              </w:rPr>
              <w:t>Property and Equipment, Net</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0FFFF"/>
          </w:tcPr>
          <w:p>
            <w:pPr>
              <w:spacing w:after="0"/>
              <w:rPr>
                <w:sz w:val="18"/>
                <w:szCs w:val="18"/>
                <w:color w:val="auto"/>
              </w:rPr>
            </w:pPr>
          </w:p>
        </w:tc>
        <w:tc>
          <w:tcPr>
            <w:tcW w:w="2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Internal-use software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0FFFF"/>
          </w:tcPr>
          <w:p>
            <w:pPr>
              <w:spacing w:after="0"/>
              <w:rPr>
                <w:sz w:val="18"/>
                <w:szCs w:val="18"/>
                <w:color w:val="auto"/>
              </w:rPr>
            </w:pPr>
          </w:p>
        </w:tc>
        <w:tc>
          <w:tcPr>
            <w:tcW w:w="12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gridSpan w:val="2"/>
            <w:shd w:val="clear" w:color="auto" w:fill="C0FFFF"/>
          </w:tcPr>
          <w:p>
            <w:pPr>
              <w:spacing w:after="0"/>
              <w:rPr>
                <w:sz w:val="20"/>
                <w:szCs w:val="20"/>
                <w:color w:val="auto"/>
              </w:rPr>
            </w:pPr>
            <w:r>
              <w:rPr>
                <w:rFonts w:ascii="Arial" w:cs="Arial" w:eastAsia="Arial" w:hAnsi="Arial"/>
                <w:sz w:val="18"/>
                <w:szCs w:val="18"/>
                <w:color w:val="auto"/>
              </w:rPr>
              <w:t>Work-in-progress</w:t>
            </w:r>
          </w:p>
        </w:tc>
        <w:tc>
          <w:tcPr>
            <w:tcW w:w="260" w:type="dxa"/>
            <w:vAlign w:val="bottom"/>
            <w:tcBorders>
              <w:bottom w:val="single" w:sz="8" w:color="auto"/>
            </w:tcBorders>
            <w:shd w:val="clear" w:color="auto" w:fill="C0FFFF"/>
          </w:tcPr>
          <w:p>
            <w:pPr>
              <w:spacing w:after="0"/>
              <w:rPr>
                <w:sz w:val="19"/>
                <w:szCs w:val="19"/>
                <w:color w:val="auto"/>
              </w:rPr>
            </w:pPr>
          </w:p>
        </w:tc>
        <w:tc>
          <w:tcPr>
            <w:tcW w:w="12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bottom w:val="single" w:sz="8" w:color="auto"/>
            </w:tcBorders>
            <w:shd w:val="clear" w:color="auto" w:fill="C0FFFF"/>
          </w:tcPr>
          <w:p>
            <w:pPr>
              <w:spacing w:after="0"/>
              <w:rPr>
                <w:sz w:val="19"/>
                <w:szCs w:val="19"/>
                <w:color w:val="auto"/>
              </w:rPr>
            </w:pPr>
          </w:p>
        </w:tc>
        <w:tc>
          <w:tcPr>
            <w:tcW w:w="13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Total property and equipment, gross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0FFFF"/>
          </w:tcPr>
          <w:p>
            <w:pPr>
              <w:spacing w:after="0"/>
              <w:rPr>
                <w:sz w:val="18"/>
                <w:szCs w:val="18"/>
                <w:color w:val="auto"/>
              </w:rPr>
            </w:pPr>
          </w:p>
        </w:tc>
        <w:tc>
          <w:tcPr>
            <w:tcW w:w="13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shd w:val="clear" w:color="auto" w:fill="C0FFFF"/>
          </w:tcPr>
          <w:p>
            <w:pPr>
              <w:spacing w:after="0"/>
              <w:rPr>
                <w:sz w:val="2"/>
                <w:szCs w:val="2"/>
                <w:color w:val="auto"/>
              </w:rPr>
            </w:pPr>
          </w:p>
        </w:tc>
        <w:tc>
          <w:tcPr>
            <w:tcW w:w="778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3,437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Depreciation and amortization expense was $0.3 million and $0.1 million for the three months ended June 30, 2012 and 2011, respectively, and $0.5 and $0.1 million for the six months ending June 30, 2012 and 2011, respectively. Stock-based compensation capitalized as part of the cost of internal-use software was $0.1 million and less than $0.1 million for the three months ended June 30, 2012 and 2011, respectively, and $0.2 million and less than $0.1 million for the six months ended June 2012 and 2011,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Business Combinations</w:t>
      </w:r>
    </w:p>
    <w:p>
      <w:pPr>
        <w:spacing w:after="0" w:line="2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On March 30 2012, the Company entered into a number of agreements with Digitude Innovations, LLC (“Digitude”), Preservation Technologies LLC (“Preservation”), and Robert and Susan Kramer (collectively the “Agreements”). The Agreements were subject to closing conditions that were satisfied on April 19, 2012. Pursuant to the Agreements, the Company paid $45.8 million and acquired among other things (i) certain patents, patent rights and a covenant not so sue and (ii) all of the issued and outstanding membership interests in Altitude Capital Management LLC (“ACM”).</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the estimated fair values of the components of identifiable intangible assets acquired and liabilities assumed as of the date of acquisition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shd w:val="clear" w:color="auto" w:fill="C0FFFF"/>
          </w:tcPr>
          <w:p>
            <w:pPr>
              <w:spacing w:after="0"/>
              <w:rPr>
                <w:sz w:val="20"/>
                <w:szCs w:val="20"/>
                <w:color w:val="auto"/>
              </w:rPr>
            </w:pPr>
            <w:r>
              <w:rPr>
                <w:rFonts w:ascii="Arial" w:cs="Arial" w:eastAsia="Arial" w:hAnsi="Arial"/>
                <w:sz w:val="18"/>
                <w:szCs w:val="18"/>
                <w:color w:val="auto"/>
              </w:rPr>
              <w:t>Patent assets</w:t>
            </w:r>
          </w:p>
        </w:tc>
        <w:tc>
          <w:tcPr>
            <w:tcW w:w="540" w:type="dxa"/>
            <w:vAlign w:val="bottom"/>
            <w:shd w:val="clear" w:color="auto" w:fill="C0FF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27,850</w:t>
            </w:r>
          </w:p>
        </w:tc>
        <w:tc>
          <w:tcPr>
            <w:tcW w:w="120" w:type="dxa"/>
            <w:vAlign w:val="bottom"/>
            <w:shd w:val="clear" w:color="auto" w:fill="C0FF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Proprietary data and models</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r>
      <w:tr>
        <w:trPr>
          <w:trHeight w:val="216"/>
        </w:trPr>
        <w:tc>
          <w:tcPr>
            <w:tcW w:w="7540" w:type="dxa"/>
            <w:vAlign w:val="bottom"/>
            <w:shd w:val="clear" w:color="auto" w:fill="C0FFFF"/>
          </w:tcPr>
          <w:p>
            <w:pPr>
              <w:spacing w:after="0"/>
              <w:rPr>
                <w:sz w:val="20"/>
                <w:szCs w:val="20"/>
                <w:color w:val="auto"/>
              </w:rPr>
            </w:pPr>
            <w:r>
              <w:rPr>
                <w:rFonts w:ascii="Arial" w:cs="Arial" w:eastAsia="Arial" w:hAnsi="Arial"/>
                <w:sz w:val="18"/>
                <w:szCs w:val="18"/>
                <w:color w:val="auto"/>
              </w:rPr>
              <w:t>Trademark</w:t>
            </w:r>
          </w:p>
        </w:tc>
        <w:tc>
          <w:tcPr>
            <w:tcW w:w="5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0FF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Covenant not to compete</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r>
      <w:tr>
        <w:trPr>
          <w:trHeight w:val="216"/>
        </w:trPr>
        <w:tc>
          <w:tcPr>
            <w:tcW w:w="7540" w:type="dxa"/>
            <w:vAlign w:val="bottom"/>
            <w:shd w:val="clear" w:color="auto" w:fill="C0FFFF"/>
          </w:tcPr>
          <w:p>
            <w:pPr>
              <w:spacing w:after="0"/>
              <w:rPr>
                <w:sz w:val="20"/>
                <w:szCs w:val="20"/>
                <w:color w:val="auto"/>
              </w:rPr>
            </w:pPr>
            <w:r>
              <w:rPr>
                <w:rFonts w:ascii="Arial" w:cs="Arial" w:eastAsia="Arial" w:hAnsi="Arial"/>
                <w:sz w:val="18"/>
                <w:szCs w:val="18"/>
                <w:color w:val="auto"/>
              </w:rPr>
              <w:t>Deferred tax asset</w:t>
            </w:r>
          </w:p>
        </w:tc>
        <w:tc>
          <w:tcPr>
            <w:tcW w:w="54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8,373</w:t>
            </w:r>
          </w:p>
        </w:tc>
        <w:tc>
          <w:tcPr>
            <w:tcW w:w="120" w:type="dxa"/>
            <w:vAlign w:val="bottom"/>
            <w:shd w:val="clear" w:color="auto" w:fill="C0FF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(8,143)</w:t>
            </w:r>
          </w:p>
        </w:tc>
      </w:tr>
      <w:tr>
        <w:trPr>
          <w:trHeight w:val="223"/>
        </w:trPr>
        <w:tc>
          <w:tcPr>
            <w:tcW w:w="75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shd w:val="clear" w:color="auto" w:fill="C0FFFF"/>
          </w:tcPr>
          <w:p>
            <w:pPr>
              <w:spacing w:after="0"/>
              <w:rPr>
                <w:sz w:val="19"/>
                <w:szCs w:val="19"/>
                <w:color w:val="auto"/>
              </w:rPr>
            </w:pPr>
          </w:p>
        </w:tc>
        <w:tc>
          <w:tcPr>
            <w:tcW w:w="9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14,785</w:t>
            </w:r>
          </w:p>
        </w:tc>
        <w:tc>
          <w:tcPr>
            <w:tcW w:w="120" w:type="dxa"/>
            <w:vAlign w:val="bottom"/>
            <w:tcBorders>
              <w:bottom w:val="single" w:sz="8" w:color="C0FFFF"/>
            </w:tcBorders>
            <w:shd w:val="clear" w:color="auto" w:fill="C0FFFF"/>
          </w:tcPr>
          <w:p>
            <w:pPr>
              <w:spacing w:after="0"/>
              <w:rPr>
                <w:sz w:val="19"/>
                <w:szCs w:val="19"/>
                <w:color w:val="auto"/>
              </w:rPr>
            </w:pPr>
          </w:p>
        </w:tc>
      </w:tr>
      <w:tr>
        <w:trPr>
          <w:trHeight w:val="216"/>
        </w:trPr>
        <w:tc>
          <w:tcPr>
            <w:tcW w:w="7540" w:type="dxa"/>
            <w:vAlign w:val="bottom"/>
          </w:tcPr>
          <w:p>
            <w:pPr>
              <w:ind w:left="28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45,765</w:t>
            </w:r>
          </w:p>
        </w:tc>
        <w:tc>
          <w:tcPr>
            <w:tcW w:w="120" w:type="dxa"/>
            <w:vAlign w:val="bottom"/>
          </w:tcPr>
          <w:p>
            <w:pPr>
              <w:spacing w:after="0"/>
              <w:rPr>
                <w:sz w:val="18"/>
                <w:szCs w:val="18"/>
                <w:color w:val="auto"/>
              </w:rPr>
            </w:pPr>
          </w:p>
        </w:tc>
      </w:tr>
      <w:tr>
        <w:trPr>
          <w:trHeight w:val="21"/>
        </w:trPr>
        <w:tc>
          <w:tcPr>
            <w:tcW w:w="7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fair values assigned to identifiable intangible assets acquired and liabilities assumed are based on management’s estimates and assumptions. The excess of purchase consideration over the fair value of identifiable intangible assets acquired and liabilities assumed was recorded as goodwill. Patent assets represent the ownership or rights to more than 500 U.S. (and more than 50 non-U.S.) patents that were held by Digitude, certain sub-license rights to patents licensed exclusively by Preservation and a covenant not to sue entered into with Robert Kramer. The patent assets have an estimated weighted-average life of 55 months. The portfolios acquired cover a broad range of technologies including Mobile Handsets, TVs, Cameras, PCs, Media Players, Content Delivery, Video-on-Demand, Internet Streaming, and Enterprise Networks and have increased the Company’s total portfolio of patent assets by more than 30%. Proprietary data and models primarily consist of specialized data and processes related to patent analysis and valuation methodologies. These assets have an estimated weighted-average useful life of 48 months. Trademark represents the value of the Altitude Capital trademark with an estimated useful life of 48 months. The covenant not to compete represents certain restrictive covenants pursuant to which Robert Kramer has agreed to refrain from competing against any of the Company’s lines of business for a period of 21 months. Goodwill recorded as a result of this acquisition is primarily related to enhancing the Company’s position as a market leader capable of executing highly complex structured acquisitions. The value of goodwill is deductible for tax purposes.</w:t>
      </w:r>
    </w:p>
    <w:p>
      <w:pPr>
        <w:spacing w:after="0" w:line="2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ASC 805-10, acquisition-related costs are not included as a component of consideration transferred but are required to be expensed as incurred. Acquisition-related costs were $0.4 million and $0.5 million for the three and six months ended June 30, 2012 and are included in selling, general and administrative expenses. Pro forma results of operations reflecting the acquisition have not been presented because the effect of the acquisition is not material to the company's results of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20" w:type="dxa"/>
            <w:vAlign w:val="bottom"/>
            <w:gridSpan w:val="2"/>
          </w:tcPr>
          <w:p>
            <w:pPr>
              <w:spacing w:after="0"/>
              <w:rPr>
                <w:sz w:val="20"/>
                <w:szCs w:val="20"/>
                <w:color w:val="auto"/>
              </w:rPr>
            </w:pPr>
            <w:r>
              <w:rPr>
                <w:rFonts w:ascii="Arial" w:cs="Arial" w:eastAsia="Arial" w:hAnsi="Arial"/>
                <w:sz w:val="22"/>
                <w:szCs w:val="22"/>
                <w:b w:val="1"/>
                <w:bCs w:val="1"/>
                <w:color w:val="auto"/>
              </w:rPr>
              <w:t>9.</w:t>
            </w:r>
          </w:p>
        </w:tc>
        <w:tc>
          <w:tcPr>
            <w:tcW w:w="5660" w:type="dxa"/>
            <w:vAlign w:val="bottom"/>
          </w:tcPr>
          <w:p>
            <w:pPr>
              <w:ind w:left="440"/>
              <w:spacing w:after="0"/>
              <w:rPr>
                <w:sz w:val="20"/>
                <w:szCs w:val="20"/>
                <w:color w:val="auto"/>
              </w:rPr>
            </w:pPr>
            <w:r>
              <w:rPr>
                <w:rFonts w:ascii="Arial" w:cs="Arial" w:eastAsia="Arial" w:hAnsi="Arial"/>
                <w:sz w:val="22"/>
                <w:szCs w:val="22"/>
                <w:b w:val="1"/>
                <w:bCs w:val="1"/>
                <w:color w:val="auto"/>
              </w:rPr>
              <w:t>Goodwill</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280"/>
              <w:spacing w:after="0"/>
              <w:rPr>
                <w:sz w:val="20"/>
                <w:szCs w:val="20"/>
                <w:color w:val="auto"/>
              </w:rPr>
            </w:pPr>
            <w:r>
              <w:rPr>
                <w:rFonts w:ascii="Arial" w:cs="Arial" w:eastAsia="Arial" w:hAnsi="Arial"/>
                <w:sz w:val="18"/>
                <w:szCs w:val="18"/>
                <w:color w:val="auto"/>
              </w:rPr>
              <w:t>Goodwill consisted of the following (in thousands):</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Balance as of December 31, 2011</w:t>
            </w:r>
          </w:p>
        </w:tc>
        <w:tc>
          <w:tcPr>
            <w:tcW w:w="19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60" w:type="dxa"/>
            <w:vAlign w:val="bottom"/>
          </w:tcPr>
          <w:p>
            <w:pPr>
              <w:ind w:left="60"/>
              <w:spacing w:after="0"/>
              <w:rPr>
                <w:sz w:val="20"/>
                <w:szCs w:val="20"/>
                <w:color w:val="auto"/>
              </w:rPr>
            </w:pPr>
            <w:r>
              <w:rPr>
                <w:rFonts w:ascii="Arial" w:cs="Arial" w:eastAsia="Arial" w:hAnsi="Arial"/>
                <w:sz w:val="18"/>
                <w:szCs w:val="18"/>
                <w:color w:val="auto"/>
              </w:rPr>
              <w:t>Acquisition of Altitude Capital</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Balance as of June 30, 2012</w:t>
            </w:r>
          </w:p>
        </w:tc>
        <w:tc>
          <w:tcPr>
            <w:tcW w:w="19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16,460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5660" w:type="dxa"/>
            <w:vAlign w:val="bottom"/>
            <w:tcBorders>
              <w:top w:val="single" w:sz="8" w:color="C0FFFF"/>
            </w:tcBorders>
            <w:shd w:val="clear" w:color="auto" w:fill="C0FFFF"/>
          </w:tcPr>
          <w:p>
            <w:pPr>
              <w:spacing w:after="0" w:line="20" w:lineRule="exact"/>
              <w:rPr>
                <w:sz w:val="1"/>
                <w:szCs w:val="1"/>
                <w:color w:val="auto"/>
              </w:rPr>
            </w:pPr>
          </w:p>
        </w:tc>
        <w:tc>
          <w:tcPr>
            <w:tcW w:w="166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Intangible Assets, Net</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as of June 30, 2012 and December 31, 2011 consisted of the following (in thousands):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0"/>
              </w:rPr>
              <w:t>June 30, 2012</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2011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Carrying</w:t>
            </w:r>
          </w:p>
        </w:tc>
        <w:tc>
          <w:tcPr>
            <w:tcW w:w="240" w:type="dxa"/>
            <w:vAlign w:val="bottom"/>
          </w:tcPr>
          <w:p>
            <w:pPr>
              <w:spacing w:after="0"/>
              <w:rPr>
                <w:sz w:val="17"/>
                <w:szCs w:val="17"/>
                <w:color w:val="auto"/>
              </w:rPr>
            </w:pPr>
          </w:p>
        </w:tc>
        <w:tc>
          <w:tcPr>
            <w:tcW w:w="138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4"/>
              </w:rPr>
              <w:t>Net Carrying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Carrying</w:t>
            </w:r>
          </w:p>
        </w:tc>
        <w:tc>
          <w:tcPr>
            <w:tcW w:w="180" w:type="dxa"/>
            <w:vAlign w:val="bottom"/>
          </w:tcPr>
          <w:p>
            <w:pPr>
              <w:spacing w:after="0"/>
              <w:rPr>
                <w:sz w:val="17"/>
                <w:szCs w:val="17"/>
                <w:color w:val="auto"/>
              </w:rPr>
            </w:pPr>
          </w:p>
        </w:tc>
        <w:tc>
          <w:tcPr>
            <w:tcW w:w="136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Net Carrying</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1,890</w:t>
            </w:r>
          </w:p>
        </w:tc>
        <w:tc>
          <w:tcPr>
            <w:tcW w:w="620" w:type="dxa"/>
            <w:vAlign w:val="bottom"/>
            <w:gridSpan w:val="2"/>
            <w:shd w:val="clear" w:color="auto" w:fill="C0FF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1,526</w:t>
            </w:r>
          </w:p>
        </w:tc>
        <w:tc>
          <w:tcPr>
            <w:tcW w:w="26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890</w:t>
            </w:r>
          </w:p>
        </w:tc>
        <w:tc>
          <w:tcPr>
            <w:tcW w:w="560" w:type="dxa"/>
            <w:vAlign w:val="bottom"/>
            <w:gridSpan w:val="2"/>
            <w:shd w:val="clear" w:color="auto" w:fill="C0FF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0FFFF"/>
            </w:tcBorders>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725</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Proprietary data and models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812</w:t>
            </w:r>
          </w:p>
        </w:tc>
        <w:tc>
          <w:tcPr>
            <w:tcW w:w="24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2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980" w:type="dxa"/>
            <w:vAlign w:val="bottom"/>
            <w:tcBorders>
              <w:right w:val="single" w:sz="8" w:color="C0FFFF"/>
            </w:tcBorders>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Covenant not to compete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color w:val="auto"/>
              </w:rPr>
              <w:t>Customer relationship</w:t>
            </w:r>
          </w:p>
        </w:tc>
        <w:tc>
          <w:tcPr>
            <w:tcW w:w="14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2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980" w:type="dxa"/>
            <w:vAlign w:val="bottom"/>
            <w:tcBorders>
              <w:right w:val="single" w:sz="8" w:color="C0FFFF"/>
            </w:tcBorders>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(1,229)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color w:val="auto"/>
              </w:rPr>
              <w:t>Intangible assets in-progress</w:t>
            </w:r>
          </w:p>
        </w:tc>
        <w:tc>
          <w:tcPr>
            <w:tcW w:w="14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7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2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0FFFF"/>
          </w:tcPr>
          <w:p>
            <w:pPr>
              <w:spacing w:after="0"/>
              <w:rPr>
                <w:sz w:val="18"/>
                <w:szCs w:val="18"/>
                <w:color w:val="auto"/>
              </w:rPr>
            </w:pPr>
          </w:p>
        </w:tc>
        <w:tc>
          <w:tcPr>
            <w:tcW w:w="380" w:type="dxa"/>
            <w:vAlign w:val="bottom"/>
            <w:shd w:val="clear" w:color="auto" w:fill="C0FFFF"/>
          </w:tcPr>
          <w:p>
            <w:pPr>
              <w:spacing w:after="0"/>
              <w:rPr>
                <w:sz w:val="18"/>
                <w:szCs w:val="18"/>
                <w:color w:val="auto"/>
              </w:rPr>
            </w:pPr>
          </w:p>
        </w:tc>
        <w:tc>
          <w:tcPr>
            <w:tcW w:w="980" w:type="dxa"/>
            <w:vAlign w:val="bottom"/>
            <w:tcBorders>
              <w:right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95</w:t>
            </w:r>
          </w:p>
        </w:tc>
      </w:tr>
      <w:tr>
        <w:trPr>
          <w:trHeight w:val="27"/>
        </w:trPr>
        <w:tc>
          <w:tcPr>
            <w:tcW w:w="20" w:type="dxa"/>
            <w:vAlign w:val="bottom"/>
          </w:tcPr>
          <w:p>
            <w:pPr>
              <w:spacing w:after="0"/>
              <w:rPr>
                <w:sz w:val="2"/>
                <w:szCs w:val="2"/>
                <w:color w:val="auto"/>
              </w:rPr>
            </w:pPr>
          </w:p>
        </w:tc>
        <w:tc>
          <w:tcPr>
            <w:tcW w:w="332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0FFFF"/>
            </w:tcBorders>
            <w:shd w:val="clear" w:color="auto" w:fill="000000"/>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right w:val="single" w:sz="8" w:color="C0FFFF"/>
            </w:tcBorders>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6,382</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3,430</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(1,593)</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1,837</w:t>
            </w: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future amortization expenses for intangible assets (excluding intangible assets in-progress) are summarized below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shd w:val="clear" w:color="auto" w:fill="C0FFFF"/>
          </w:tcPr>
          <w:p>
            <w:pPr>
              <w:spacing w:after="0"/>
              <w:rPr>
                <w:sz w:val="20"/>
                <w:szCs w:val="20"/>
                <w:color w:val="auto"/>
              </w:rPr>
            </w:pPr>
            <w:r>
              <w:rPr>
                <w:rFonts w:ascii="Arial" w:cs="Arial" w:eastAsia="Arial" w:hAnsi="Arial"/>
                <w:sz w:val="18"/>
                <w:szCs w:val="18"/>
                <w:color w:val="auto"/>
              </w:rPr>
              <w:t>2012 (remainder)</w:t>
            </w:r>
          </w:p>
        </w:tc>
        <w:tc>
          <w:tcPr>
            <w:tcW w:w="580" w:type="dxa"/>
            <w:vAlign w:val="bottom"/>
            <w:shd w:val="clear" w:color="auto" w:fill="C0FF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0FFFF"/>
          </w:tcPr>
          <w:p>
            <w:pPr>
              <w:spacing w:after="0"/>
              <w:rPr>
                <w:sz w:val="20"/>
                <w:szCs w:val="20"/>
                <w:color w:val="auto"/>
              </w:rPr>
            </w:pPr>
            <w:r>
              <w:rPr>
                <w:rFonts w:ascii="Arial" w:cs="Arial" w:eastAsia="Arial" w:hAnsi="Arial"/>
                <w:sz w:val="18"/>
                <w:szCs w:val="18"/>
                <w:color w:val="auto"/>
              </w:rPr>
              <w:t>2014</w:t>
            </w:r>
          </w:p>
        </w:tc>
        <w:tc>
          <w:tcPr>
            <w:tcW w:w="58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2015</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2016</w:t>
            </w:r>
          </w:p>
        </w:tc>
        <w:tc>
          <w:tcPr>
            <w:tcW w:w="58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estimated future amortization expense</w:t>
            </w:r>
          </w:p>
        </w:tc>
        <w:tc>
          <w:tcPr>
            <w:tcW w:w="580" w:type="dxa"/>
            <w:vAlign w:val="bottom"/>
            <w:tcBorders>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Amortization expense was $0.4 million and $0.1 million for the three months ended June 30, 2012 and 2011, respectively, and $0.7 million and $0.2 million for the six months ended June 30, 2012 and 2011,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60" w:type="dxa"/>
            <w:vAlign w:val="bottom"/>
            <w:gridSpan w:val="2"/>
          </w:tcPr>
          <w:p>
            <w:pPr>
              <w:spacing w:after="0"/>
              <w:rPr>
                <w:sz w:val="20"/>
                <w:szCs w:val="20"/>
                <w:color w:val="auto"/>
              </w:rPr>
            </w:pPr>
            <w:r>
              <w:rPr>
                <w:rFonts w:ascii="Arial" w:cs="Arial" w:eastAsia="Arial" w:hAnsi="Arial"/>
                <w:sz w:val="22"/>
                <w:szCs w:val="22"/>
                <w:b w:val="1"/>
                <w:bCs w:val="1"/>
                <w:color w:val="auto"/>
              </w:rPr>
              <w:t>11.</w:t>
            </w:r>
          </w:p>
        </w:tc>
        <w:tc>
          <w:tcPr>
            <w:tcW w:w="5720" w:type="dxa"/>
            <w:vAlign w:val="bottom"/>
          </w:tcPr>
          <w:p>
            <w:pPr>
              <w:ind w:left="180"/>
              <w:spacing w:after="0"/>
              <w:rPr>
                <w:sz w:val="20"/>
                <w:szCs w:val="20"/>
                <w:color w:val="auto"/>
              </w:rPr>
            </w:pPr>
            <w:r>
              <w:rPr>
                <w:rFonts w:ascii="Arial" w:cs="Arial" w:eastAsia="Arial" w:hAnsi="Arial"/>
                <w:sz w:val="22"/>
                <w:szCs w:val="22"/>
                <w:b w:val="1"/>
                <w:bCs w:val="1"/>
                <w:color w:val="auto"/>
              </w:rPr>
              <w:t>Accrued and Other Current Liabilities</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4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ind w:left="40"/>
              <w:spacing w:after="0"/>
              <w:rPr>
                <w:sz w:val="20"/>
                <w:szCs w:val="20"/>
                <w:color w:val="auto"/>
              </w:rPr>
            </w:pPr>
            <w:r>
              <w:rPr>
                <w:rFonts w:ascii="Arial" w:cs="Arial" w:eastAsia="Arial" w:hAnsi="Arial"/>
                <w:sz w:val="18"/>
                <w:szCs w:val="18"/>
                <w:color w:val="auto"/>
                <w:w w:val="92"/>
              </w:rPr>
              <w:t>Accrued and other current liabilities consisted of the following (in thousands):</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40" w:type="dxa"/>
            <w:vAlign w:val="bottom"/>
            <w:gridSpan w:val="3"/>
          </w:tcPr>
          <w:p>
            <w:pPr>
              <w:ind w:left="3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2011</w:t>
            </w:r>
          </w:p>
        </w:tc>
        <w:tc>
          <w:tcPr>
            <w:tcW w:w="5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Accrued payroll-related expenses</w:t>
            </w:r>
          </w:p>
        </w:tc>
        <w:tc>
          <w:tcPr>
            <w:tcW w:w="1280" w:type="dxa"/>
            <w:vAlign w:val="bottom"/>
            <w:shd w:val="clear" w:color="auto" w:fill="C0FFFF"/>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3,948</w:t>
            </w:r>
          </w:p>
        </w:tc>
        <w:tc>
          <w:tcPr>
            <w:tcW w:w="1080" w:type="dxa"/>
            <w:vAlign w:val="bottom"/>
            <w:shd w:val="clear" w:color="auto" w:fill="C0FFFF"/>
          </w:tcPr>
          <w:p>
            <w:pPr>
              <w:spacing w:after="0"/>
              <w:rPr>
                <w:sz w:val="18"/>
                <w:szCs w:val="18"/>
                <w:color w:val="auto"/>
              </w:rPr>
            </w:pPr>
          </w:p>
        </w:tc>
        <w:tc>
          <w:tcPr>
            <w:tcW w:w="6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0FFFF"/>
          </w:tcPr>
          <w:p>
            <w:pPr>
              <w:jc w:val="right"/>
              <w:ind w:right="540"/>
              <w:spacing w:after="0"/>
              <w:rPr>
                <w:sz w:val="20"/>
                <w:szCs w:val="20"/>
                <w:color w:val="auto"/>
              </w:rPr>
            </w:pPr>
            <w:r>
              <w:rPr>
                <w:rFonts w:ascii="Arial" w:cs="Arial" w:eastAsia="Arial" w:hAnsi="Arial"/>
                <w:sz w:val="18"/>
                <w:szCs w:val="18"/>
                <w:color w:val="auto"/>
              </w:rPr>
              <w:t>7,160</w:t>
            </w: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Patent and other assets purchased but not paid</w:t>
            </w:r>
          </w:p>
        </w:tc>
        <w:tc>
          <w:tcPr>
            <w:tcW w:w="1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4,880</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r>
      <w:tr>
        <w:trPr>
          <w:trHeight w:val="223"/>
        </w:trPr>
        <w:tc>
          <w:tcPr>
            <w:tcW w:w="20" w:type="dxa"/>
            <w:vAlign w:val="bottom"/>
          </w:tcPr>
          <w:p>
            <w:pPr>
              <w:spacing w:after="0"/>
              <w:rPr>
                <w:sz w:val="19"/>
                <w:szCs w:val="19"/>
                <w:color w:val="auto"/>
              </w:rPr>
            </w:pPr>
          </w:p>
        </w:tc>
        <w:tc>
          <w:tcPr>
            <w:tcW w:w="4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w w:val="93"/>
              </w:rPr>
              <w:t>Other</w:t>
            </w:r>
          </w:p>
        </w:tc>
        <w:tc>
          <w:tcPr>
            <w:tcW w:w="5720" w:type="dxa"/>
            <w:vAlign w:val="bottom"/>
            <w:tcBorders>
              <w:bottom w:val="single" w:sz="8" w:color="C0FFFF"/>
            </w:tcBorders>
            <w:shd w:val="clear" w:color="auto" w:fill="C0FFFF"/>
          </w:tcPr>
          <w:p>
            <w:pPr>
              <w:spacing w:after="0"/>
              <w:rPr>
                <w:sz w:val="19"/>
                <w:szCs w:val="19"/>
                <w:color w:val="auto"/>
              </w:rPr>
            </w:pPr>
          </w:p>
        </w:tc>
        <w:tc>
          <w:tcPr>
            <w:tcW w:w="1280" w:type="dxa"/>
            <w:vAlign w:val="bottom"/>
            <w:tcBorders>
              <w:bottom w:val="single" w:sz="8" w:color="auto"/>
            </w:tcBorders>
            <w:shd w:val="clear" w:color="auto" w:fill="C0FFFF"/>
          </w:tcPr>
          <w:p>
            <w:pPr>
              <w:spacing w:after="0"/>
              <w:rPr>
                <w:sz w:val="19"/>
                <w:szCs w:val="19"/>
                <w:color w:val="auto"/>
              </w:rPr>
            </w:pPr>
          </w:p>
        </w:tc>
        <w:tc>
          <w:tcPr>
            <w:tcW w:w="5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1,829</w:t>
            </w:r>
          </w:p>
        </w:tc>
        <w:tc>
          <w:tcPr>
            <w:tcW w:w="1080" w:type="dxa"/>
            <w:vAlign w:val="bottom"/>
            <w:tcBorders>
              <w:bottom w:val="single" w:sz="8" w:color="C0FFFF"/>
            </w:tcBorders>
            <w:shd w:val="clear" w:color="auto" w:fill="C0FFFF"/>
          </w:tcPr>
          <w:p>
            <w:pPr>
              <w:spacing w:after="0"/>
              <w:rPr>
                <w:sz w:val="19"/>
                <w:szCs w:val="19"/>
                <w:color w:val="auto"/>
              </w:rPr>
            </w:pPr>
          </w:p>
        </w:tc>
        <w:tc>
          <w:tcPr>
            <w:tcW w:w="660" w:type="dxa"/>
            <w:vAlign w:val="bottom"/>
            <w:tcBorders>
              <w:bottom w:val="single" w:sz="8" w:color="auto"/>
            </w:tcBorders>
            <w:shd w:val="clear" w:color="auto" w:fill="C0FFFF"/>
          </w:tcPr>
          <w:p>
            <w:pPr>
              <w:spacing w:after="0"/>
              <w:rPr>
                <w:sz w:val="19"/>
                <w:szCs w:val="19"/>
                <w:color w:val="auto"/>
              </w:rPr>
            </w:pPr>
          </w:p>
        </w:tc>
        <w:tc>
          <w:tcPr>
            <w:tcW w:w="11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2,534</w:t>
            </w:r>
          </w:p>
        </w:tc>
        <w:tc>
          <w:tcPr>
            <w:tcW w:w="54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Total accrued and other current liabilities</w:t>
            </w:r>
          </w:p>
        </w:tc>
        <w:tc>
          <w:tcPr>
            <w:tcW w:w="12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10,657</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9,944</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Deferred Payment Obligations</w:t>
      </w:r>
    </w:p>
    <w:p>
      <w:pPr>
        <w:spacing w:after="0" w:line="287"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On July 6, 2009, the Company entered into an agreement to purchase certain patent assets for a total of $4.4 million. Under the terms of the agreements, the Company paid $1.1 million in cash at signing, with a remaining non-interest bearing contract obligation of $3.3 million due in three equal installments in July of each of 2010, 2011 and 2012. The contract obligation was recorded at fair value utilizing the imputed interest rate method. Interest was imputed using a rate of 10.2% per annum, which represented the Company’s estimated market borrowing rate as of the initial transaction date. As of June 30, 2012 and December 31, 2011, the remaining unpaid principal balance associated with the obligation was $1.1 million, which was paid in July 2012.</w:t>
      </w:r>
    </w:p>
    <w:p>
      <w:pPr>
        <w:spacing w:after="0" w:line="212"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On January 26, 2009, the Company entered into an agreement to acquire certain patent assets for a total of $12.0 million. Under the terms of the agreement, the Company paid $3.0 million upfront, with a remaining non-interest bearing contract obligation of $9.0 million due in three equal installments in January of each of 2010, 2011 and 2012. The contract obligation was recorded at fair value utilizing the imputed interest rate method. Interest was imputed using a rate of 13.9% per annum, which represented the Company’s estimated market borrowing rate as of the date of the transaction. As of June 30, 2012 and December 31, 2011, the remaining unpaid principal balance associated with the obligation was nil and $3.0 million, respectively.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279"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Company leases its facilities under non-cancelable lease agreements. Operating lease obligations have increased from those as of December 31, 2011 as a result of the agreement described below was entered into during the six months ended June 30, 2012.</w:t>
      </w:r>
    </w:p>
    <w:p>
      <w:pPr>
        <w:spacing w:after="0" w:line="22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March 2012, the Company entered into an amended lease agreement to increase its San Francisco, California office space to approximately 67,000 total square feet from May 2013 through October 2019. The monthly base rent payments pursuant to this lease will initially be approximately $0.3 million per month, increasing to approximately $0.4 million per month. Total future non-cancelable minimum lease payments from May 2013 through October 2019 will be $26.1 million.</w:t>
      </w:r>
    </w:p>
    <w:p>
      <w:pPr>
        <w:spacing w:after="0" w:line="241"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Rent expense related to non-cancelable operating leases was $0.6 million and $0.4 million for the three months ended June 30, 2012 and 2011, respectively, and $1.2 million and $0.7 million for the six months ended June 30, 2012 and 2011, respectively.</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2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had been recorded as of June 30, 2012 or December 31, 2011.</w:t>
      </w:r>
    </w:p>
    <w:p>
      <w:pPr>
        <w:spacing w:after="0" w:line="24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March 2012, Cascades Computer Innovations LLC filed a lawsuit in U.S. District Court for the Northern District of California against the Company and five of its clients (collectively the “Defendants”). The lawsuit alleges that the Defendants violated federal antitrust law, California antitrust law and California unfair competition law. The lawsuit claims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Because the case is at a very early stage, the Company is not currently able to determine whether there is a reasonable possibility that a loss has been incurred nor can it estimate the range of the potential loss that may result from this litigation.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7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June 30, 2012 or December 31, 2011. The Company has no reason to believe that there is any material liability related to such indemnification provisions. The Company does not indemnify its clients for patent infringement.</w:t>
      </w:r>
    </w:p>
    <w:p>
      <w:pPr>
        <w:spacing w:after="0" w:line="23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204"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Plans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Company’s activity under its equity award plans and related information is as follows (in thousands, except per share data):</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8"/>
                <w:szCs w:val="18"/>
                <w:b w:val="1"/>
                <w:bCs w:val="1"/>
                <w:color w:val="auto"/>
              </w:rPr>
              <w:t>Options Outstanding</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Aggregate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 Grant</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 Years</w:t>
            </w:r>
          </w:p>
        </w:tc>
        <w:tc>
          <w:tcPr>
            <w:tcW w:w="240" w:type="dxa"/>
            <w:vAlign w:val="bottom"/>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Intrinsic Value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0FFFF"/>
          </w:tcPr>
          <w:p>
            <w:pPr>
              <w:spacing w:after="0"/>
              <w:rPr>
                <w:sz w:val="20"/>
                <w:szCs w:val="20"/>
                <w:color w:val="auto"/>
              </w:rPr>
            </w:pPr>
            <w:r>
              <w:rPr>
                <w:rFonts w:ascii="Arial" w:cs="Arial" w:eastAsia="Arial" w:hAnsi="Arial"/>
                <w:sz w:val="18"/>
                <w:szCs w:val="18"/>
                <w:color w:val="auto"/>
              </w:rPr>
              <w:t>Balance - December 31, 2011</w:t>
            </w:r>
          </w:p>
        </w:tc>
        <w:tc>
          <w:tcPr>
            <w:tcW w:w="13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1,004</w:t>
            </w:r>
          </w:p>
        </w:tc>
        <w:tc>
          <w:tcPr>
            <w:tcW w:w="1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7,503</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6.82</w:t>
            </w:r>
          </w:p>
        </w:tc>
        <w:tc>
          <w:tcPr>
            <w:tcW w:w="1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Options authorized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2,457</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0FFFF"/>
          </w:tcPr>
          <w:p>
            <w:pPr>
              <w:ind w:left="220"/>
              <w:spacing w:after="0"/>
              <w:rPr>
                <w:sz w:val="20"/>
                <w:szCs w:val="20"/>
                <w:color w:val="auto"/>
              </w:rPr>
            </w:pPr>
            <w:r>
              <w:rPr>
                <w:rFonts w:ascii="Arial" w:cs="Arial" w:eastAsia="Arial" w:hAnsi="Arial"/>
                <w:sz w:val="18"/>
                <w:szCs w:val="18"/>
                <w:color w:val="auto"/>
              </w:rPr>
              <w:t>Options granted</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(664)</w:t>
            </w:r>
          </w:p>
        </w:tc>
        <w:tc>
          <w:tcPr>
            <w:tcW w:w="1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16.16</w:t>
            </w:r>
          </w:p>
        </w:tc>
        <w:tc>
          <w:tcPr>
            <w:tcW w:w="1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0FFFF"/>
          </w:tcPr>
          <w:p>
            <w:pPr>
              <w:ind w:left="220"/>
              <w:spacing w:after="0"/>
              <w:rPr>
                <w:sz w:val="20"/>
                <w:szCs w:val="20"/>
                <w:color w:val="auto"/>
              </w:rPr>
            </w:pPr>
            <w:r>
              <w:rPr>
                <w:rFonts w:ascii="Arial" w:cs="Arial" w:eastAsia="Arial" w:hAnsi="Arial"/>
                <w:sz w:val="18"/>
                <w:szCs w:val="18"/>
                <w:color w:val="auto"/>
              </w:rPr>
              <w:t>Options forfeited</w:t>
            </w:r>
          </w:p>
        </w:tc>
        <w:tc>
          <w:tcPr>
            <w:tcW w:w="13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126</w:t>
            </w:r>
          </w:p>
        </w:tc>
        <w:tc>
          <w:tcPr>
            <w:tcW w:w="14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19.20</w:t>
            </w:r>
          </w:p>
        </w:tc>
        <w:tc>
          <w:tcPr>
            <w:tcW w:w="1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Options expired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15.25</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0FFFF"/>
          </w:tcPr>
          <w:p>
            <w:pPr>
              <w:ind w:left="220"/>
              <w:spacing w:after="0"/>
              <w:rPr>
                <w:sz w:val="20"/>
                <w:szCs w:val="20"/>
                <w:color w:val="auto"/>
              </w:rPr>
            </w:pPr>
            <w:r>
              <w:rPr>
                <w:rFonts w:ascii="Arial" w:cs="Arial" w:eastAsia="Arial" w:hAnsi="Arial"/>
                <w:sz w:val="18"/>
                <w:szCs w:val="18"/>
                <w:color w:val="auto"/>
              </w:rPr>
              <w:t>Restricted stock units granted</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(453)</w:t>
            </w: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Restricted stock units 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0FFFF"/>
          </w:tcPr>
          <w:p>
            <w:pPr>
              <w:spacing w:after="0"/>
              <w:rPr>
                <w:sz w:val="20"/>
                <w:szCs w:val="20"/>
                <w:color w:val="auto"/>
              </w:rPr>
            </w:pPr>
            <w:r>
              <w:rPr>
                <w:rFonts w:ascii="Arial" w:cs="Arial" w:eastAsia="Arial" w:hAnsi="Arial"/>
                <w:sz w:val="18"/>
                <w:szCs w:val="18"/>
                <w:color w:val="auto"/>
              </w:rPr>
              <w:t>Balance - June 30, 2012</w:t>
            </w:r>
          </w:p>
        </w:tc>
        <w:tc>
          <w:tcPr>
            <w:tcW w:w="13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2,507</w:t>
            </w:r>
          </w:p>
        </w:tc>
        <w:tc>
          <w:tcPr>
            <w:tcW w:w="1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6,746</w:t>
            </w:r>
          </w:p>
        </w:tc>
        <w:tc>
          <w:tcPr>
            <w:tcW w:w="120" w:type="dxa"/>
            <w:vAlign w:val="bottom"/>
            <w:shd w:val="clear" w:color="auto" w:fill="C0FFFF"/>
          </w:tcPr>
          <w:p>
            <w:pPr>
              <w:spacing w:after="0"/>
              <w:rPr>
                <w:sz w:val="22"/>
                <w:szCs w:val="22"/>
                <w:color w:val="auto"/>
              </w:rPr>
            </w:pPr>
          </w:p>
        </w:tc>
        <w:tc>
          <w:tcPr>
            <w:tcW w:w="12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8.43</w:t>
            </w:r>
          </w:p>
        </w:tc>
        <w:tc>
          <w:tcPr>
            <w:tcW w:w="1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0FF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45,454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0FF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2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16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2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20" w:type="dxa"/>
            <w:vAlign w:val="bottom"/>
            <w:shd w:val="clear" w:color="auto" w:fill="C0FFFF"/>
          </w:tcPr>
          <w:p>
            <w:pPr>
              <w:spacing w:after="0"/>
              <w:rPr>
                <w:sz w:val="20"/>
                <w:szCs w:val="20"/>
                <w:color w:val="auto"/>
              </w:rPr>
            </w:pPr>
            <w:r>
              <w:rPr>
                <w:rFonts w:ascii="Arial" w:cs="Arial" w:eastAsia="Arial" w:hAnsi="Arial"/>
                <w:sz w:val="18"/>
                <w:szCs w:val="18"/>
                <w:color w:val="auto"/>
              </w:rPr>
              <w:t>Vested and exercisable - June 30, 2012</w:t>
            </w:r>
          </w:p>
        </w:tc>
        <w:tc>
          <w:tcPr>
            <w:tcW w:w="1140" w:type="dxa"/>
            <w:vAlign w:val="bottom"/>
            <w:shd w:val="clear" w:color="auto" w:fill="C0FFFF"/>
          </w:tcPr>
          <w:p>
            <w:pPr>
              <w:spacing w:after="0"/>
              <w:rPr>
                <w:sz w:val="22"/>
                <w:szCs w:val="22"/>
                <w:color w:val="auto"/>
              </w:rPr>
            </w:pPr>
          </w:p>
        </w:tc>
        <w:tc>
          <w:tcPr>
            <w:tcW w:w="240" w:type="dxa"/>
            <w:vAlign w:val="bottom"/>
            <w:shd w:val="clear" w:color="auto" w:fill="C0FFFF"/>
          </w:tcPr>
          <w:p>
            <w:pPr>
              <w:spacing w:after="0"/>
              <w:rPr>
                <w:sz w:val="22"/>
                <w:szCs w:val="22"/>
                <w:color w:val="auto"/>
              </w:rPr>
            </w:pPr>
          </w:p>
        </w:tc>
        <w:tc>
          <w:tcPr>
            <w:tcW w:w="1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0FFFF"/>
          </w:tcPr>
          <w:p>
            <w:pPr>
              <w:spacing w:after="0"/>
              <w:rPr>
                <w:sz w:val="22"/>
                <w:szCs w:val="22"/>
                <w:color w:val="auto"/>
              </w:rPr>
            </w:pPr>
          </w:p>
        </w:tc>
        <w:tc>
          <w:tcPr>
            <w:tcW w:w="126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6.24</w:t>
            </w:r>
          </w:p>
        </w:tc>
        <w:tc>
          <w:tcPr>
            <w:tcW w:w="1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0FFFF"/>
          </w:tcPr>
          <w:p>
            <w:pPr>
              <w:spacing w:after="0"/>
              <w:rPr>
                <w:sz w:val="22"/>
                <w:szCs w:val="22"/>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2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16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102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Vested and expected to vest - June 30, 2012</w:t>
            </w:r>
          </w:p>
        </w:tc>
        <w:tc>
          <w:tcPr>
            <w:tcW w:w="1140" w:type="dxa"/>
            <w:vAlign w:val="bottom"/>
            <w:tcBorders>
              <w:bottom w:val="single" w:sz="8" w:color="C0FFFF"/>
            </w:tcBorders>
            <w:shd w:val="clear" w:color="auto" w:fill="C0FFFF"/>
          </w:tcPr>
          <w:p>
            <w:pPr>
              <w:spacing w:after="0"/>
              <w:rPr>
                <w:sz w:val="22"/>
                <w:szCs w:val="22"/>
                <w:color w:val="auto"/>
              </w:rPr>
            </w:pPr>
          </w:p>
        </w:tc>
        <w:tc>
          <w:tcPr>
            <w:tcW w:w="240" w:type="dxa"/>
            <w:vAlign w:val="bottom"/>
            <w:tcBorders>
              <w:bottom w:val="single" w:sz="8" w:color="C0FFFF"/>
            </w:tcBorders>
            <w:shd w:val="clear" w:color="auto" w:fill="C0FFFF"/>
          </w:tcPr>
          <w:p>
            <w:pPr>
              <w:spacing w:after="0"/>
              <w:rPr>
                <w:sz w:val="22"/>
                <w:szCs w:val="22"/>
                <w:color w:val="auto"/>
              </w:rPr>
            </w:pPr>
          </w:p>
        </w:tc>
        <w:tc>
          <w:tcPr>
            <w:tcW w:w="11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5,975</w:t>
            </w:r>
          </w:p>
        </w:tc>
        <w:tc>
          <w:tcPr>
            <w:tcW w:w="240" w:type="dxa"/>
            <w:vAlign w:val="bottom"/>
            <w:tcBorders>
              <w:bottom w:val="single" w:sz="8" w:color="C0FFFF"/>
            </w:tcBorders>
            <w:shd w:val="clear" w:color="auto" w:fill="C0FFFF"/>
          </w:tcPr>
          <w:p>
            <w:pPr>
              <w:spacing w:after="0"/>
              <w:rPr>
                <w:sz w:val="22"/>
                <w:szCs w:val="22"/>
                <w:color w:val="auto"/>
              </w:rPr>
            </w:pPr>
          </w:p>
        </w:tc>
        <w:tc>
          <w:tcPr>
            <w:tcW w:w="120" w:type="dxa"/>
            <w:vAlign w:val="bottom"/>
            <w:tcBorders>
              <w:bottom w:val="single" w:sz="8" w:color="C0FFFF"/>
            </w:tcBorders>
            <w:shd w:val="clear" w:color="auto" w:fill="C0FFFF"/>
          </w:tcPr>
          <w:p>
            <w:pPr>
              <w:spacing w:after="0"/>
              <w:rPr>
                <w:sz w:val="22"/>
                <w:szCs w:val="22"/>
                <w:color w:val="auto"/>
              </w:rPr>
            </w:pPr>
          </w:p>
        </w:tc>
        <w:tc>
          <w:tcPr>
            <w:tcW w:w="1260" w:type="dxa"/>
            <w:vAlign w:val="bottom"/>
            <w:tcBorders>
              <w:bottom w:val="single" w:sz="8" w:color="C0FFFF"/>
            </w:tcBorders>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8.31</w:t>
            </w:r>
          </w:p>
        </w:tc>
        <w:tc>
          <w:tcPr>
            <w:tcW w:w="1400" w:type="dxa"/>
            <w:vAlign w:val="bottom"/>
            <w:tcBorders>
              <w:bottom w:val="single" w:sz="8" w:color="C0FFFF"/>
            </w:tcBorders>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0FFFF"/>
            </w:tcBorders>
            <w:shd w:val="clear" w:color="auto" w:fill="C0FFFF"/>
          </w:tcPr>
          <w:p>
            <w:pPr>
              <w:spacing w:after="0"/>
              <w:rPr>
                <w:sz w:val="22"/>
                <w:szCs w:val="22"/>
                <w:color w:val="auto"/>
              </w:rPr>
            </w:pPr>
          </w:p>
        </w:tc>
        <w:tc>
          <w:tcPr>
            <w:tcW w:w="1160" w:type="dxa"/>
            <w:vAlign w:val="bottom"/>
            <w:tcBorders>
              <w:bottom w:val="single" w:sz="8" w:color="C0FFFF"/>
            </w:tcBorders>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41,146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The total intrinsic value was $4.5 million and $4.2 million for options exercised during the three months ended June 30, 2012 and 2011, respectively, and $18.7 million and $6.7 million for options exercised during the six months ended June 30, 2012 and 2011,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Restricted Stock Units</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6620" w:type="dxa"/>
            <w:vAlign w:val="bottom"/>
          </w:tcPr>
          <w:p>
            <w:pPr>
              <w:ind w:left="480"/>
              <w:spacing w:after="0"/>
              <w:rPr>
                <w:sz w:val="20"/>
                <w:szCs w:val="20"/>
                <w:color w:val="auto"/>
              </w:rPr>
            </w:pPr>
            <w:r>
              <w:rPr>
                <w:rFonts w:ascii="Arial" w:cs="Arial" w:eastAsia="Arial" w:hAnsi="Arial"/>
                <w:sz w:val="18"/>
                <w:szCs w:val="18"/>
                <w:color w:val="auto"/>
              </w:rPr>
              <w:t>The summary of restricted stock unit activity is as follows: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24"/>
                <w:szCs w:val="2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 Fair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spacing w:after="0"/>
              <w:rPr>
                <w:sz w:val="20"/>
                <w:szCs w:val="20"/>
                <w:color w:val="auto"/>
              </w:rPr>
            </w:pPr>
            <w:r>
              <w:rPr>
                <w:rFonts w:ascii="Arial" w:cs="Arial" w:eastAsia="Arial" w:hAnsi="Arial"/>
                <w:sz w:val="18"/>
                <w:szCs w:val="18"/>
                <w:color w:val="auto"/>
              </w:rPr>
              <w:t>Non-vested units - December 31, 2011</w:t>
            </w:r>
          </w:p>
        </w:tc>
        <w:tc>
          <w:tcPr>
            <w:tcW w:w="17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25.15</w:t>
            </w:r>
          </w:p>
        </w:tc>
        <w:tc>
          <w:tcPr>
            <w:tcW w:w="14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16.06</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0FFFF"/>
          </w:tcPr>
          <w:p>
            <w:pPr>
              <w:ind w:left="22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24.71</w:t>
            </w:r>
          </w:p>
        </w:tc>
        <w:tc>
          <w:tcPr>
            <w:tcW w:w="140" w:type="dxa"/>
            <w:vAlign w:val="bottom"/>
            <w:shd w:val="clear" w:color="auto" w:fill="C0FFFF"/>
          </w:tcPr>
          <w:p>
            <w:pPr>
              <w:spacing w:after="0"/>
              <w:rPr>
                <w:sz w:val="18"/>
                <w:szCs w:val="18"/>
                <w:color w:val="auto"/>
              </w:rPr>
            </w:pPr>
          </w:p>
        </w:tc>
        <w:tc>
          <w:tcPr>
            <w:tcW w:w="13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Non-vested units - June 30, 2012</w:t>
            </w:r>
          </w:p>
        </w:tc>
        <w:tc>
          <w:tcPr>
            <w:tcW w:w="150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Borders>
              <w:bottom w:val="single" w:sz="8" w:color="C0FFFF"/>
            </w:tcBorders>
            <w:shd w:val="clear" w:color="auto" w:fill="C0FFFF"/>
          </w:tcPr>
          <w:p>
            <w:pPr>
              <w:spacing w:after="0"/>
              <w:rPr>
                <w:sz w:val="22"/>
                <w:szCs w:val="22"/>
                <w:color w:val="auto"/>
              </w:rPr>
            </w:pPr>
          </w:p>
        </w:tc>
        <w:tc>
          <w:tcPr>
            <w:tcW w:w="100" w:type="dxa"/>
            <w:vAlign w:val="bottom"/>
            <w:tcBorders>
              <w:bottom w:val="single" w:sz="8" w:color="C0FFFF"/>
            </w:tcBorders>
            <w:shd w:val="clear" w:color="auto" w:fill="C0FFFF"/>
          </w:tcPr>
          <w:p>
            <w:pPr>
              <w:spacing w:after="0"/>
              <w:rPr>
                <w:sz w:val="22"/>
                <w:szCs w:val="22"/>
                <w:color w:val="auto"/>
              </w:rPr>
            </w:pPr>
          </w:p>
        </w:tc>
        <w:tc>
          <w:tcPr>
            <w:tcW w:w="1480" w:type="dxa"/>
            <w:vAlign w:val="bottom"/>
            <w:tcBorders>
              <w:bottom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17.96</w:t>
            </w:r>
          </w:p>
        </w:tc>
        <w:tc>
          <w:tcPr>
            <w:tcW w:w="140" w:type="dxa"/>
            <w:vAlign w:val="bottom"/>
            <w:tcBorders>
              <w:bottom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9,628</w:t>
            </w:r>
          </w:p>
        </w:tc>
        <w:tc>
          <w:tcPr>
            <w:tcW w:w="20" w:type="dxa"/>
            <w:vAlign w:val="bottom"/>
          </w:tcPr>
          <w:p>
            <w:pPr>
              <w:spacing w:after="0"/>
              <w:rPr>
                <w:sz w:val="22"/>
                <w:szCs w:val="22"/>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Non-Employee Directors</w:t>
      </w:r>
    </w:p>
    <w:p>
      <w:pPr>
        <w:spacing w:after="0" w:line="27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Stock-based compensation expense for employees and non-employee directors is based on the fair value of the award on the date of grant and is recognized on a straight-line basis over the requisite service period of the award. The Company estimates the fair value of stock options using the Black-Scholes option pricing model. Option valuation models, including the Black-Scholes option pricing model, require the input of various assumptions, including stock price volatility. Changes in the assumptions can materially affect the fair value and ultimately how much stock-based compensation expense is recognized. The weighted-average assumptions used to estimate the per share fair value of stock options granted and the resulting fair values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C0FFFF"/>
          </w:tcPr>
          <w:p>
            <w:pPr>
              <w:spacing w:after="0"/>
              <w:rPr>
                <w:sz w:val="18"/>
                <w:szCs w:val="18"/>
                <w:color w:val="auto"/>
              </w:rPr>
            </w:pPr>
          </w:p>
        </w:tc>
        <w:tc>
          <w:tcPr>
            <w:tcW w:w="7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Risk-free rate</w:t>
            </w: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0.91%</w:t>
            </w:r>
          </w:p>
        </w:tc>
        <w:tc>
          <w:tcPr>
            <w:tcW w:w="10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shd w:val="clear" w:color="auto" w:fill="C0FFFF"/>
          </w:tcPr>
          <w:p>
            <w:pPr>
              <w:spacing w:after="0"/>
              <w:rPr>
                <w:sz w:val="18"/>
                <w:szCs w:val="18"/>
                <w:color w:val="auto"/>
              </w:rPr>
            </w:pPr>
          </w:p>
        </w:tc>
        <w:tc>
          <w:tcPr>
            <w:tcW w:w="7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62%</w:t>
            </w:r>
          </w:p>
        </w:tc>
        <w:tc>
          <w:tcPr>
            <w:tcW w:w="10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4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Expected term - in years</w:t>
            </w:r>
          </w:p>
        </w:tc>
        <w:tc>
          <w:tcPr>
            <w:tcW w:w="10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10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Grant date fair value</w:t>
            </w:r>
          </w:p>
        </w:tc>
        <w:tc>
          <w:tcPr>
            <w:tcW w:w="1020" w:type="dxa"/>
            <w:vAlign w:val="bottom"/>
          </w:tcPr>
          <w:p>
            <w:pPr>
              <w:jc w:val="right"/>
              <w:ind w:right="85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8.74</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11.26</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9.02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The fair value of restricted stock units granted to employees and non-employee directors is measured by reference to the fair value of the underlying shares on the date of grant. Changes in the fair value of the Company’s common stock can materially affect the fair value of restricted stock units and ultimately how much stock-based compensation expense is recognized.</w:t>
      </w:r>
    </w:p>
    <w:p>
      <w:pPr>
        <w:spacing w:after="0" w:line="23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Stock-based compensation expense related to stock options granted to employees and non-employee directors was $1.9 million and $1.2 million for the three months ended June 30, 2012 and 2011, respectively, and $3.9 million and $2.1 million for the six months ended June 30, 2012 and 2011, respectively. Stock-based compensation expense related to restricted stock units granted to employees and non-employee directors was $0.6 million and less than $0.1 million for the three months ended June 30, 2012 and 2011, respectively, and $0.9 million and less than $0.1 million the six months ended June 30, 2012 and 2011, respectively.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of June 30, 2012, there was $27.2 million and $8.8 million of unrecognized compensation cost related to stock options and restricted stock units, respectively, which was expected to be recognized over a weighted-average period of 3.2 years and 3.4 years, respectively. Future grants of equity awards will increase the amount of stock-based compensation expense to be recorded.</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27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Company periodically grants equity awards to non-employees in exchange for goods and services. No awards were granted to non-employees in exchange for goods and services during the three or six months ended June 30, 2012. During the three and six months ended June 30, 2011, the Company issued nil and 10,000 shares of common stock, respectively, and options to purchase 30,000 and 35,000 shares of common stock, respectively, to non-employees in exchange for services.</w:t>
      </w:r>
    </w:p>
    <w:p>
      <w:pPr>
        <w:spacing w:after="0" w:line="24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options or restricted stock units is revalued until the awards vest on the measurement date.</w:t>
      </w:r>
    </w:p>
    <w:p>
      <w:pPr>
        <w:spacing w:after="0" w:line="24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Non-employee stock-based compensation expense related to stock options was $0.1 million and $0.6 million for the three months ended June 30, 2012 and 2011, respectively, and $0.2 million and $0.7 million for the six months ended June 30, 2012 and 2011, respectively. Non-employee stock-based compensation expense related to restricted stock units was $0.1 million and nil for the three months ended June 30, 2012 and 2011, respectively, and $0.2 million and nil for the six months ended June 30, 2012 and 2011, respectively.</w:t>
      </w:r>
    </w:p>
    <w:p>
      <w:pPr>
        <w:spacing w:after="0" w:line="20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246"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discreet benefit items, was 38% and 40% for the three months ended June 30, 2012 and 2011, respectively, and 37% and 43% for the six months ended June 30, 2012 and 2011, respectively. The decrease in our effective tax rate in 2012 was primarily attributable to the use of a single sales factor for California state income tax apportionment. The difference between the consolidated effective income tax rate and the U.S. federal statutory rate is primarily attributable to the effect of certain permanent differences and state income taxes.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During the first quarter of 2012, the Internal Revenue Service (“IRS”) completed its examination of the Company’s employment taxes for the 2010 and 2009 tax years and federal income tax returns for the 2009 and 2008 tax years. In addition, during the fourth quarter of 2011, the IRS issued a Notice of Proposed Adjustments (“NOPA”) for the 2008 and 2009 tax years with proposed adjustments and no assessment. The Company has agreed to the adjustments which have been approved by the IRS. The adjustments did not have a material impact on the Company's consolidated financial statements. The Company’s 2009 and 2008 tax years are currently under examination by the State of California Franchise Tax Board. The Company does not expect a material impact on its consolidated financial statements as a result of this examination. The 2008 through 2011 tax periods remain open to examination by federal and most state tax authorities. For the Company's foreign jurisdictions, the 2009 through 2011 tax years remain open to examination by their respective tax authorities.</w:t>
      </w:r>
    </w:p>
    <w:p>
      <w:pPr>
        <w:spacing w:after="0" w:line="24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Related-Party Transactions</w:t>
      </w:r>
    </w:p>
    <w:p>
      <w:pPr>
        <w:spacing w:after="0" w:line="28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During the three and six months ended June 30, 2012, two members of the Company’s board of directors also served on the boards of directors of RPX clients. The Company recognized subscription fee revenue of $0.9 million and $1.6 million related to these clients for the three and six months ended June 30, 2012, respectively. During the three and six months ended June 30, 2011, one member of the Company’s board of directors also served on the board of directors of a RPX client. For the three and six months ended June 30, 2011, the Company recognized subscription fee revenue of $0.7 million and $1.3 million, respectively, related to this client. As of June 30, 2012 and December 31, 2011, there were no receivables due from these clients.</w:t>
      </w:r>
    </w:p>
    <w:p>
      <w:pPr>
        <w:spacing w:after="0" w:line="21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In April 2011, the Company sold an aggregate of 105,708 shares of its common stock at a price of $14.19 per share to two members of its board of directors.</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Segment Reporting</w:t>
      </w:r>
    </w:p>
    <w:p>
      <w:pPr>
        <w:spacing w:after="0" w:line="287"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224"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the periods presented below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Three Months Ended June 30,</w:t>
            </w:r>
          </w:p>
        </w:tc>
        <w:tc>
          <w:tcPr>
            <w:tcW w:w="6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8"/>
                <w:szCs w:val="18"/>
                <w:b w:val="1"/>
                <w:bCs w:val="1"/>
                <w:color w:val="auto"/>
                <w:w w:val="91"/>
              </w:rPr>
              <w:t>Six Months Ended June 30,</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6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0FFFF"/>
          </w:tcPr>
          <w:p>
            <w:pPr>
              <w:spacing w:after="0"/>
              <w:rPr>
                <w:sz w:val="20"/>
                <w:szCs w:val="20"/>
                <w:color w:val="auto"/>
              </w:rPr>
            </w:pPr>
            <w:r>
              <w:rPr>
                <w:rFonts w:ascii="Arial" w:cs="Arial" w:eastAsia="Arial" w:hAnsi="Arial"/>
                <w:sz w:val="18"/>
                <w:szCs w:val="18"/>
                <w:color w:val="auto"/>
              </w:rPr>
              <w:t>United States</w:t>
            </w:r>
          </w:p>
        </w:tc>
        <w:tc>
          <w:tcPr>
            <w:tcW w:w="120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30,671</w:t>
            </w:r>
          </w:p>
        </w:tc>
        <w:tc>
          <w:tcPr>
            <w:tcW w:w="9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24,799</w:t>
            </w:r>
          </w:p>
        </w:tc>
        <w:tc>
          <w:tcPr>
            <w:tcW w:w="9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0FFFF"/>
          </w:tcPr>
          <w:p>
            <w:pPr>
              <w:jc w:val="right"/>
              <w:ind w:right="130"/>
              <w:spacing w:after="0"/>
              <w:rPr>
                <w:sz w:val="20"/>
                <w:szCs w:val="20"/>
                <w:color w:val="auto"/>
              </w:rPr>
            </w:pPr>
            <w:r>
              <w:rPr>
                <w:rFonts w:ascii="Arial" w:cs="Arial" w:eastAsia="Arial" w:hAnsi="Arial"/>
                <w:sz w:val="18"/>
                <w:szCs w:val="18"/>
                <w:color w:val="auto"/>
              </w:rPr>
              <w:t>55,092</w:t>
            </w:r>
          </w:p>
        </w:tc>
        <w:tc>
          <w:tcPr>
            <w:tcW w:w="94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45,771</w:t>
            </w:r>
          </w:p>
        </w:tc>
        <w:tc>
          <w:tcPr>
            <w:tcW w:w="22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Japan</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9,765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6,013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19,374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11,549</w:t>
            </w: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2300" w:type="dxa"/>
            <w:vAlign w:val="bottom"/>
            <w:shd w:val="clear" w:color="auto" w:fill="C0FFFF"/>
          </w:tcPr>
          <w:p>
            <w:pPr>
              <w:spacing w:after="0"/>
              <w:rPr>
                <w:sz w:val="20"/>
                <w:szCs w:val="20"/>
                <w:color w:val="auto"/>
              </w:rPr>
            </w:pPr>
            <w:r>
              <w:rPr>
                <w:rFonts w:ascii="Arial" w:cs="Arial" w:eastAsia="Arial" w:hAnsi="Arial"/>
                <w:sz w:val="18"/>
                <w:szCs w:val="18"/>
                <w:color w:val="auto"/>
              </w:rPr>
              <w:t>Taiwan</w:t>
            </w:r>
          </w:p>
        </w:tc>
        <w:tc>
          <w:tcPr>
            <w:tcW w:w="9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8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7,429</w:t>
            </w:r>
          </w:p>
        </w:tc>
        <w:tc>
          <w:tcPr>
            <w:tcW w:w="9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2,556</w:t>
            </w:r>
          </w:p>
        </w:tc>
        <w:tc>
          <w:tcPr>
            <w:tcW w:w="94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0FFFF"/>
          </w:tcPr>
          <w:p>
            <w:pPr>
              <w:spacing w:after="0"/>
              <w:rPr>
                <w:sz w:val="18"/>
                <w:szCs w:val="18"/>
                <w:color w:val="auto"/>
              </w:rPr>
            </w:pPr>
          </w:p>
        </w:tc>
        <w:tc>
          <w:tcPr>
            <w:tcW w:w="880" w:type="dxa"/>
            <w:vAlign w:val="bottom"/>
            <w:gridSpan w:val="2"/>
            <w:shd w:val="clear" w:color="auto" w:fill="C0FFFF"/>
          </w:tcPr>
          <w:p>
            <w:pPr>
              <w:jc w:val="right"/>
              <w:ind w:right="130"/>
              <w:spacing w:after="0"/>
              <w:rPr>
                <w:sz w:val="20"/>
                <w:szCs w:val="20"/>
                <w:color w:val="auto"/>
              </w:rPr>
            </w:pPr>
            <w:r>
              <w:rPr>
                <w:rFonts w:ascii="Arial" w:cs="Arial" w:eastAsia="Arial" w:hAnsi="Arial"/>
                <w:sz w:val="18"/>
                <w:szCs w:val="18"/>
                <w:color w:val="auto"/>
              </w:rPr>
              <w:t>9,959</w:t>
            </w:r>
          </w:p>
        </w:tc>
        <w:tc>
          <w:tcPr>
            <w:tcW w:w="940" w:type="dxa"/>
            <w:vAlign w:val="bottom"/>
            <w:tcBorders>
              <w:right w:val="single" w:sz="8" w:color="C0FFFF"/>
            </w:tcBorders>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0FFFF"/>
          </w:tcPr>
          <w:p>
            <w:pPr>
              <w:spacing w:after="0"/>
              <w:rPr>
                <w:sz w:val="18"/>
                <w:szCs w:val="18"/>
                <w:color w:val="auto"/>
              </w:rPr>
            </w:pPr>
          </w:p>
        </w:tc>
        <w:tc>
          <w:tcPr>
            <w:tcW w:w="8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5,134</w:t>
            </w:r>
          </w:p>
        </w:tc>
        <w:tc>
          <w:tcPr>
            <w:tcW w:w="22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7,373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5,482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14,662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10,786</w:t>
            </w: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300" w:type="dxa"/>
            <w:vAlign w:val="bottom"/>
            <w:shd w:val="clear" w:color="auto" w:fill="C0FFFF"/>
          </w:tcPr>
          <w:p>
            <w:pPr>
              <w:ind w:left="38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0FFFF"/>
          </w:tcPr>
          <w:p>
            <w:pPr>
              <w:spacing w:after="0"/>
              <w:rPr>
                <w:sz w:val="20"/>
                <w:szCs w:val="20"/>
                <w:color w:val="auto"/>
              </w:rPr>
            </w:pP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55,238</w:t>
            </w:r>
          </w:p>
        </w:tc>
        <w:tc>
          <w:tcPr>
            <w:tcW w:w="9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38,850</w:t>
            </w:r>
          </w:p>
        </w:tc>
        <w:tc>
          <w:tcPr>
            <w:tcW w:w="9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0FFFF"/>
          </w:tcPr>
          <w:p>
            <w:pPr>
              <w:jc w:val="right"/>
              <w:ind w:right="130"/>
              <w:spacing w:after="0"/>
              <w:rPr>
                <w:sz w:val="20"/>
                <w:szCs w:val="20"/>
                <w:color w:val="auto"/>
              </w:rPr>
            </w:pPr>
            <w:r>
              <w:rPr>
                <w:rFonts w:ascii="Arial" w:cs="Arial" w:eastAsia="Arial" w:hAnsi="Arial"/>
                <w:sz w:val="18"/>
                <w:szCs w:val="18"/>
                <w:color w:val="auto"/>
              </w:rPr>
              <w:t>99,087</w:t>
            </w:r>
          </w:p>
        </w:tc>
        <w:tc>
          <w:tcPr>
            <w:tcW w:w="94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73,240</w:t>
            </w:r>
          </w:p>
        </w:tc>
        <w:tc>
          <w:tcPr>
            <w:tcW w:w="220" w:type="dxa"/>
            <w:vAlign w:val="bottom"/>
            <w:shd w:val="clear" w:color="auto" w:fill="C0FFFF"/>
          </w:tcPr>
          <w:p>
            <w:pPr>
              <w:spacing w:after="0"/>
              <w:rPr>
                <w:sz w:val="20"/>
                <w:szCs w:val="20"/>
                <w:color w:val="auto"/>
              </w:rPr>
            </w:pPr>
          </w:p>
        </w:tc>
        <w:tc>
          <w:tcPr>
            <w:tcW w:w="6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0FFFF"/>
            </w:tcBorders>
            <w:shd w:val="clear" w:color="auto" w:fill="C0FFFF"/>
          </w:tcPr>
          <w:p>
            <w:pPr>
              <w:spacing w:after="0" w:line="20" w:lineRule="exact"/>
              <w:rPr>
                <w:sz w:val="1"/>
                <w:szCs w:val="1"/>
                <w:color w:val="auto"/>
              </w:rPr>
            </w:pPr>
          </w:p>
        </w:tc>
        <w:tc>
          <w:tcPr>
            <w:tcW w:w="94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0FFFF"/>
          </w:tcPr>
          <w:p>
            <w:pPr>
              <w:spacing w:after="0"/>
              <w:rPr>
                <w:sz w:val="20"/>
                <w:szCs w:val="20"/>
                <w:color w:val="auto"/>
              </w:rPr>
            </w:pPr>
            <w:r>
              <w:rPr>
                <w:rFonts w:ascii="Arial" w:cs="Arial" w:eastAsia="Arial" w:hAnsi="Arial"/>
                <w:sz w:val="18"/>
                <w:szCs w:val="18"/>
                <w:color w:val="auto"/>
              </w:rPr>
              <w:t>United States</w:t>
            </w:r>
          </w:p>
        </w:tc>
        <w:tc>
          <w:tcPr>
            <w:tcW w:w="3100" w:type="dxa"/>
            <w:vAlign w:val="bottom"/>
            <w:gridSpan w:val="3"/>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216,391</w:t>
            </w:r>
          </w:p>
        </w:tc>
        <w:tc>
          <w:tcPr>
            <w:tcW w:w="28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169,132</w:t>
            </w: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Japan</w:t>
            </w: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3120" w:type="dxa"/>
            <w:vAlign w:val="bottom"/>
            <w:shd w:val="clear" w:color="auto" w:fill="C0FFFF"/>
          </w:tcPr>
          <w:p>
            <w:pPr>
              <w:ind w:left="180"/>
              <w:spacing w:after="0"/>
              <w:rPr>
                <w:sz w:val="20"/>
                <w:szCs w:val="20"/>
                <w:color w:val="auto"/>
              </w:rPr>
            </w:pPr>
            <w:r>
              <w:rPr>
                <w:rFonts w:ascii="Arial" w:cs="Arial" w:eastAsia="Arial" w:hAnsi="Arial"/>
                <w:sz w:val="18"/>
                <w:szCs w:val="18"/>
                <w:color w:val="auto"/>
              </w:rPr>
              <w:t>Total long-lived assets</w:t>
            </w:r>
          </w:p>
        </w:tc>
        <w:tc>
          <w:tcPr>
            <w:tcW w:w="3100" w:type="dxa"/>
            <w:vAlign w:val="bottom"/>
            <w:gridSpan w:val="3"/>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216,433</w:t>
            </w:r>
          </w:p>
        </w:tc>
        <w:tc>
          <w:tcPr>
            <w:tcW w:w="280" w:type="dxa"/>
            <w:vAlign w:val="bottom"/>
            <w:gridSpan w:val="3"/>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169,181</w:t>
            </w:r>
          </w:p>
        </w:tc>
        <w:tc>
          <w:tcPr>
            <w:tcW w:w="100" w:type="dxa"/>
            <w:vAlign w:val="bottom"/>
            <w:shd w:val="clear" w:color="auto" w:fill="C0FFFF"/>
          </w:tcPr>
          <w:p>
            <w:pPr>
              <w:spacing w:after="0"/>
              <w:rPr>
                <w:sz w:val="22"/>
                <w:szCs w:val="22"/>
                <w:color w:val="auto"/>
              </w:rPr>
            </w:pPr>
          </w:p>
        </w:tc>
        <w:tc>
          <w:tcPr>
            <w:tcW w:w="1140" w:type="dxa"/>
            <w:vAlign w:val="bottom"/>
          </w:tcPr>
          <w:p>
            <w:pPr>
              <w:spacing w:after="0"/>
              <w:rPr>
                <w:sz w:val="22"/>
                <w:szCs w:val="22"/>
                <w:color w:val="auto"/>
              </w:rPr>
            </w:pPr>
          </w:p>
        </w:tc>
      </w:tr>
      <w:tr>
        <w:trPr>
          <w:trHeight w:val="655"/>
        </w:trPr>
        <w:tc>
          <w:tcPr>
            <w:tcW w:w="1160" w:type="dxa"/>
            <w:vAlign w:val="bottom"/>
          </w:tcPr>
          <w:p>
            <w:pPr>
              <w:spacing w:after="0"/>
              <w:rPr>
                <w:sz w:val="24"/>
                <w:szCs w:val="24"/>
                <w:color w:val="auto"/>
              </w:rPr>
            </w:pPr>
          </w:p>
        </w:tc>
        <w:tc>
          <w:tcPr>
            <w:tcW w:w="3120" w:type="dxa"/>
            <w:vAlign w:val="bottom"/>
            <w:tcBorders>
              <w:top w:val="single" w:sz="8" w:color="C0FFFF"/>
            </w:tcBorders>
          </w:tcPr>
          <w:p>
            <w:pPr>
              <w:spacing w:after="0"/>
              <w:rPr>
                <w:sz w:val="24"/>
                <w:szCs w:val="24"/>
                <w:color w:val="auto"/>
              </w:rPr>
            </w:pPr>
          </w:p>
        </w:tc>
        <w:tc>
          <w:tcPr>
            <w:tcW w:w="2800" w:type="dxa"/>
            <w:vAlign w:val="bottom"/>
            <w:tcBorders>
              <w:top w:val="single" w:sz="8" w:color="C0FFFF"/>
            </w:tcBorders>
          </w:tcPr>
          <w:p>
            <w:pPr>
              <w:jc w:val="right"/>
              <w:ind w:right="1190"/>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0FF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on March 26, 2012.</w:t>
      </w:r>
    </w:p>
    <w:p>
      <w:pPr>
        <w:spacing w:after="0" w:line="235"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Securities and Exchange Commission on March 26, 2012.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 As of June 30, 2012, we had a client network of 120 companies.</w:t>
      </w:r>
    </w:p>
    <w:p>
      <w:pPr>
        <w:spacing w:after="0" w:line="235"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23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core of our solution is defensive patent aggregation, in which we acquire patents or licenses to patents that are being or may be asserted against our current or prospective clients. We also have begun to enter into agreements to acquire covenants not to sue in order to further mitigate our client’s litigation risk. The acquired patents, licenses to patents and agreements for covenants not to sue are collectively referred as “patent assets.” We then provide our clients with licenses to substantially all of these patent assets to protect them from potential patent infringement assertions. We also provide our clients access to our proprietary patent market intelligence and data.</w:t>
      </w:r>
    </w:p>
    <w:p>
      <w:pPr>
        <w:spacing w:after="0" w:line="24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May 2011, we completed our initial public offering,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 In September 2011, we completed a follow-on offering in which we sold and issued 1,400,000 shares of common stock. The shares were sold by the underwriters at a price of $20.49 per share and we received proceeds of $27.4 million after deducting underwriting discounts and commissions. We incurred offering costs of $0.5 million.</w:t>
      </w:r>
    </w:p>
    <w:p>
      <w:pPr>
        <w:spacing w:after="0" w:line="24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Revenue grew to $55.2 million and $99.1 million for the three and six months ended June 30, 2012, respectively, as our total client network increased to 120 clients, up from 112 as of December 31, 2011. We ended the quarter with deferred revenue of $106.0 million.</w:t>
      </w:r>
    </w:p>
    <w:p>
      <w:pPr>
        <w:spacing w:after="0" w:line="22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believe that the amount that we spend to acquire patent assets is a key driver of the value that we create for our clients. We measure patent asset acquisition spend on both a “gross” and a “net” basis, whereby the “gross spend” represents the aggregate amount spent including amounts contributed by our clients in syndicated and structured acquisitions above and beyond their subscription fees and the “net spend” represents only the net incremental investment of our own capital. During the three and six months ended June 30, 2012, we completed 8 and 15 acquisitions of patent assets, respectively. For the three months ended June 30, 2012, our gross and net acquisition spend totaled $107.7 million and $53.5 million, respectively. For the six months ended June 30, 2012, our gross and net acquisition spend totaled $121.1 million and $66.8 million, respectively. Over the trailing four quarters ended June 30, 2012, our gross and net acquisition spend totaled $183.7 million and $124.9 million, respectively. From our inception through June 30, 2012, we have completed 105 acquisitions of patent assets with gross and net acquisition spend of $492.8 million and $356.8 million, respectively.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ind w:firstLine="486"/>
        <w:spacing w:after="0" w:line="269" w:lineRule="auto"/>
        <w:rPr>
          <w:sz w:val="20"/>
          <w:szCs w:val="20"/>
          <w:color w:val="auto"/>
        </w:rPr>
      </w:pPr>
      <w:r>
        <w:rPr>
          <w:rFonts w:ascii="Arial" w:cs="Arial" w:eastAsia="Arial" w:hAnsi="Arial"/>
          <w:sz w:val="17"/>
          <w:szCs w:val="17"/>
          <w:color w:val="auto"/>
        </w:rPr>
        <w:t>On March 30, 2012, we entered into a number of agreements with Digitude Innovations, LLC, or Digitude, Preservation Technologies LLC, or Preservation, and Robert and Susan Kramer, collectively, the Agreements. The Agreements were subject to closing conditions that were satisfied on April 19, 2012. Pursuant to the Agreements, we paid $45.8 million and acquired among other things (i) certain patents, patent rights and covenant not to sue and (ii) all of the issued and outstanding membership interests in Altitude Capital Management LLC, or ACM. Eleven of our clients participated in the transaction, making it our largest syndicated transaction to date. We entered into the Agreements to significantly increase our portfolio of patent assets and remove the potential exposure that Digitude, Preservation and ACM, present to our clients. We acquired ownership of or rights to more than 500 U.S. (and more than 50 non-U.S.) patents that were held by Digitude and certain sub-license rights to patents licensed exclusively by Preservation. The portfolios acquired cover a broad range of technologies including Mobile Handsets, TVs, Cameras, PCs, Media Players, Content Delivery, Video-on-Demand, Internet Streaming, and Enterprise Networks and have increased the Company’s total portfolio of patent assets by more than 30%. In addition, we obtained proprietary data and models related to patent analysis and valuation methodologies. We believe this transaction will enhance our market intelligence and patent risk management capabilities. We also obtained certain restrictive covenants pursuant to which Robert Kramer agreed to refrain from competing against any of our lines of business for an extended period of time.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Historically, substantially all of our revenue has consisted of fees paid by our clients under subscription agreements. We expect that subscription fee revenue will increase with the growth of our client network. Subscription revenue will be positively or negatively impacted by the financial performance of our clients since their subscription fees are typically reset yearly based upon their most recently reported annual financial results. From time to time, we also recognize revenue from the sale of licenses and fee income in connection with structured acquisitions. In the future, we may receive other revenue and fee income from newly introduced products and services. While we expect to continue to experience revenue growth, we do not believe that our rate of growth since inception is representative of anticipated future revenue growth.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9" w:lineRule="exact"/>
        <w:rPr>
          <w:sz w:val="20"/>
          <w:szCs w:val="20"/>
          <w:color w:val="auto"/>
        </w:rPr>
      </w:pPr>
    </w:p>
    <w:p>
      <w:pPr>
        <w:ind w:right="280" w:firstLine="486"/>
        <w:spacing w:after="0" w:line="302" w:lineRule="auto"/>
        <w:rPr>
          <w:sz w:val="20"/>
          <w:szCs w:val="20"/>
          <w:color w:val="auto"/>
        </w:rPr>
      </w:pPr>
      <w:r>
        <w:rPr>
          <w:rFonts w:ascii="Arial" w:cs="Arial" w:eastAsia="Arial" w:hAnsi="Arial"/>
          <w:sz w:val="16"/>
          <w:szCs w:val="16"/>
          <w:color w:val="auto"/>
        </w:rPr>
        <w:t>Cost of revenue primarily consists of amortization expenses related to acquired patent assets. Acquired patent assets are capitalized and amortized ratably over their estimated useful lives or the remaining statutory life. Also included in the cost of revenue are the expenses incurred to maintain and prosecute patents and patent applications and amortization expense for acquired intangible assets and internally developed software. We expect our cost of revenue to increase in the future as we add additional patent assets to our existing portfolio to support our existing and future clients.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79"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expenses, costs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7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bases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likely that our deferred tax assets will be fully realized. Accordingly, we have not applied a valuation allowance against our net deferred tax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w:t>
      </w:r>
    </w:p>
    <w:p>
      <w:pPr>
        <w:spacing w:after="0" w:line="178"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With the exception of the below paragraph which describes our accounting for business combinations, there were no material changes to our critical accounting policies and estimates as compared to those described in our Annual Report on Form 10-K filed with the SEC on March 26, 2012.</w:t>
      </w:r>
    </w:p>
    <w:p>
      <w:pPr>
        <w:spacing w:after="0" w:line="20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We apply the provisions of Financial Accounting Standards Board (“FASB”) issued Accounting Standards Update (“ASU”)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in the accounting for our business acquisitions. ASC 805 requires companies to separately recognize goodwill from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and liabilities assumed, which are at their acquisition date fair values. Goodwill as of the acquisition date represents the excess of the purchase price over the fair values of the assets acquired and the liabilities assumed.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 w:name="page19"/>
    <w:bookmarkEnd w:id="18"/>
    <w:p>
      <w:pPr>
        <w:ind w:right="140" w:firstLine="486"/>
        <w:spacing w:after="0" w:line="297" w:lineRule="auto"/>
        <w:rPr>
          <w:sz w:val="20"/>
          <w:szCs w:val="20"/>
          <w:color w:val="auto"/>
        </w:rPr>
      </w:pPr>
      <w:r>
        <w:rPr>
          <w:rFonts w:ascii="Arial" w:cs="Arial" w:eastAsia="Arial" w:hAnsi="Arial"/>
          <w:sz w:val="16"/>
          <w:szCs w:val="16"/>
          <w:color w:val="auto"/>
        </w:rPr>
        <w:t>We use significant estimates and assumptions, including fair value estimates, to determine fair value of assets acquired and liabilities assumed and when applicable the related useful lives of the acquired assets, as of the business combination date. When those estimates are provisional, we refine them as necessary during the measurement period. The measurement period is the period after the acquisition date, not to exceed one year, in which we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36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0FFFF"/>
          </w:tcPr>
          <w:p>
            <w:pPr>
              <w:jc w:val="right"/>
              <w:ind w:right="79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0"/>
              </w:rPr>
              <w:t>55,238</w:t>
            </w:r>
          </w:p>
        </w:tc>
        <w:tc>
          <w:tcPr>
            <w:tcW w:w="160" w:type="dxa"/>
            <w:vAlign w:val="bottom"/>
            <w:shd w:val="clear" w:color="auto" w:fill="C0FFFF"/>
          </w:tcPr>
          <w:p>
            <w:pPr>
              <w:spacing w:after="0"/>
              <w:rPr>
                <w:sz w:val="18"/>
                <w:szCs w:val="18"/>
                <w:color w:val="auto"/>
              </w:rPr>
            </w:pPr>
          </w:p>
        </w:tc>
        <w:tc>
          <w:tcPr>
            <w:tcW w:w="42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38,850</w:t>
            </w:r>
          </w:p>
        </w:tc>
        <w:tc>
          <w:tcPr>
            <w:tcW w:w="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99,087</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20,511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14,528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38,528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shd w:val="clear" w:color="auto" w:fill="C0FFFF"/>
          </w:tcPr>
          <w:p>
            <w:pPr>
              <w:spacing w:after="0"/>
              <w:rPr>
                <w:sz w:val="18"/>
                <w:szCs w:val="18"/>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0"/>
              </w:rPr>
              <w:t>13,533</w:t>
            </w: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11,286</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26,756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19,396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(Gain) on sale of patent assets, net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Operating income</w:t>
            </w:r>
          </w:p>
        </w:tc>
        <w:tc>
          <w:tcPr>
            <w:tcW w:w="960" w:type="dxa"/>
            <w:vAlign w:val="bottom"/>
            <w:shd w:val="clear" w:color="auto" w:fill="C0FFFF"/>
          </w:tcPr>
          <w:p>
            <w:pPr>
              <w:spacing w:after="0"/>
              <w:rPr>
                <w:sz w:val="18"/>
                <w:szCs w:val="18"/>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0"/>
              </w:rPr>
              <w:t>21,194</w:t>
            </w: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13,036</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33,980</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Interest and other expense, net</w:t>
            </w:r>
          </w:p>
        </w:tc>
        <w:tc>
          <w:tcPr>
            <w:tcW w:w="96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Borders>
              <w:right w:val="single" w:sz="8" w:color="C0FFFF"/>
            </w:tcBorders>
            <w:shd w:val="clear" w:color="auto" w:fill="C0FF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21,241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34,007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0FFFF"/>
            </w:tcBorders>
            <w:shd w:val="clear" w:color="auto" w:fill="C0FF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0FFFF"/>
          </w:tcPr>
          <w:p>
            <w:pPr>
              <w:spacing w:after="0"/>
              <w:rPr>
                <w:sz w:val="18"/>
                <w:szCs w:val="18"/>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8,053</w:t>
            </w:r>
          </w:p>
        </w:tc>
        <w:tc>
          <w:tcPr>
            <w:tcW w:w="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5,177</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12,738</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10,724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Borders>
              <w:right w:val="single" w:sz="8" w:color="C0FFFF"/>
            </w:tcBorders>
            <w:shd w:val="clear" w:color="auto" w:fill="C0FF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13,188</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7,666</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21,269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100%</w:t>
            </w:r>
          </w:p>
        </w:tc>
        <w:tc>
          <w:tcPr>
            <w:tcW w:w="17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24</w:t>
            </w:r>
          </w:p>
        </w:tc>
        <w:tc>
          <w:tcPr>
            <w:tcW w:w="110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29</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(Gain) on sale of patent assets, net</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C0FFFF"/>
          </w:tcPr>
          <w:p>
            <w:pPr>
              <w:spacing w:after="0"/>
              <w:rPr>
                <w:sz w:val="18"/>
                <w:szCs w:val="18"/>
                <w:color w:val="auto"/>
              </w:rPr>
            </w:pPr>
          </w:p>
        </w:tc>
        <w:tc>
          <w:tcPr>
            <w:tcW w:w="4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34</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Interest and other expense, net</w:t>
            </w:r>
          </w:p>
        </w:tc>
        <w:tc>
          <w:tcPr>
            <w:tcW w:w="1040" w:type="dxa"/>
            <w:vAlign w:val="bottom"/>
            <w:shd w:val="clear" w:color="auto" w:fill="C0FFFF"/>
          </w:tcPr>
          <w:p>
            <w:pPr>
              <w:spacing w:after="0"/>
              <w:rPr>
                <w:sz w:val="18"/>
                <w:szCs w:val="18"/>
                <w:color w:val="auto"/>
              </w:rPr>
            </w:pPr>
          </w:p>
        </w:tc>
        <w:tc>
          <w:tcPr>
            <w:tcW w:w="4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0FF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0FFFF"/>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C0FF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0FFFF"/>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0FFFF"/>
          </w:tcPr>
          <w:p>
            <w:pPr>
              <w:spacing w:after="0"/>
              <w:rPr>
                <w:sz w:val="18"/>
                <w:szCs w:val="18"/>
                <w:color w:val="auto"/>
              </w:rPr>
            </w:pPr>
          </w:p>
        </w:tc>
        <w:tc>
          <w:tcPr>
            <w:tcW w:w="4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280"/>
              <w:spacing w:after="0"/>
              <w:rPr>
                <w:sz w:val="20"/>
                <w:szCs w:val="20"/>
                <w:color w:val="auto"/>
              </w:rPr>
            </w:pPr>
            <w:r>
              <w:rPr>
                <w:rFonts w:ascii="Arial" w:cs="Arial" w:eastAsia="Arial" w:hAnsi="Arial"/>
                <w:sz w:val="18"/>
                <w:szCs w:val="18"/>
                <w:color w:val="auto"/>
              </w:rPr>
              <w:t>13</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0FF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0FFFF"/>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C0FF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revenue for the three months ended June 30, 2012 was $55.2 million compared to $38.9 million during the same period a year ago, an increase of $16.4 million, or 42%. Revenue for the six months ended June 30, 2012 was $99.1 million compared to $73.2 million during the same period a year ago, an increase of $25.9 million, or 35%. The increases for both the three and six months ended June 30, 2012 were primarily due to the growth in our client network and the resulting recognition of revenue from clients that joined both during the current period and prior to the start of the current period and an increase in revenue from the sale of perpetual licenses. Our client count increased by 4 and 8 clients, during the three and six months ended June 30, 2012, respectively, and 15 and 24 clients during the three and six months ended June 30, 2011, respectively. As of June 30, 2012 we had a total client network of 120 companies. Revenue for the three and six months ended June 30, 2012 included $9.4 million from the sale of perpetual licenses as compared to $3.3 million in the same periods in 2011.</w:t>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9"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Our cost of revenue for the three months ended June 30, 2012 was $20.5 million compared to $14.5 million during the same period a year ago, an increase of $6.0 million, or 41%. The increase was primarily a result of additional amortization expense attributable to the increase in our patent assets. Amortization expense related to our patent assets was $20.1 million and $14.3 million for the three months ended June 30, 2012 and 2011, respectively. The expenses incurred to maintain patents and prosecute patent applications included in our portfolio were approximately $0.3 million and $0.2 million for the three months ended June 30, 2012 and 2011, respectively.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 w:name="page20"/>
    <w:bookmarkEnd w:id="19"/>
    <w:p>
      <w:pPr>
        <w:ind w:right="20" w:firstLine="486"/>
        <w:spacing w:after="0" w:line="257" w:lineRule="auto"/>
        <w:rPr>
          <w:sz w:val="20"/>
          <w:szCs w:val="20"/>
          <w:color w:val="auto"/>
        </w:rPr>
      </w:pPr>
      <w:r>
        <w:rPr>
          <w:rFonts w:ascii="Arial" w:cs="Arial" w:eastAsia="Arial" w:hAnsi="Arial"/>
          <w:sz w:val="18"/>
          <w:szCs w:val="18"/>
          <w:color w:val="auto"/>
        </w:rPr>
        <w:t>Our cost of revenue for the six months ended June 30, 2012 was $38.5 million compared to $28.2 million during the same period a year ago, an increase of $10.3 million, or 37%. The increase was primarily a result of additional amortization expense attributable to the increase in our patent assets. Amortization expense related to our patent assets was $37.7 million and $27.8 million for the six months ended June 30, 2012 and 2011, respectively. The expenses incurred to maintain patents and prosecute patent applications included in our portfolio were approximately $0.5 million and $0.3 million for the six months ended June 30, 2012 and 2011, respectively.</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79"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Our selling, general and administrative expenses for the three months ended June 30, 2012 were $13.5 million compared to $11.3 million during the same period a year ago, an increase of $2.2 million or 20%. The increase was primarily due to a $1.2 million increase in personnel-related costs, including stock-based compensation, attributable to increasing our headcount to 126 employees as of June 30, 2012, compared to 81 employees at June 30, 2011, and a $1.1 million increase in our facility-related costs, depreciation and other corporate expenses due to the leasing of additional office space, and higher depreciation expenses due to increases in property and equipment balances.</w:t>
      </w:r>
    </w:p>
    <w:p>
      <w:pPr>
        <w:spacing w:after="0" w:line="22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selling, general and administrative expenses for the six months ended June 30, 2012 were $26.8 million compared to $19.4 million during the same period a year ago, an increase of $7.4 million, or 38%. The increase was primarily due to a $4.7 million increase in personnel-related costs, including stock-based compensation, attributable to increasing our headcount to 126 employees as of June 30, 2012, compared to 81 employees at June 30, 2011, a $1.5 million increase in our facility-related costs, depreciation and other corporate expenses due to the leasing of additional office space, and higher depreciation expenses due to increases in property and equipment balances and a $0.9 million increase in professional fees due to increased infrastructure costs associated with the growth of our business and costs associated with being a public company.</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income for the three months ended June 30, 2012 was $72,000 compared to $42,000 during the same period a year ago, an increase of $30,000,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71%. Interest income for the six months ended June 30, 2012 was $123,000 compared to $68,000 during the same period a year ago,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$55,000, or 81%. The increases for both the three and six months ended June 30, 2012 were due to interest earned on larger cash balances attributable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initial public offering and follow-on offering of common stock in 2011.</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for the three months ended June 30, 2012 was $25,000 compared to $235,000 during the same period a year ago, a decrease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$210,000, or 89%. Interest expense for the six months ended June 30, 2012 was $96,000 compared to $634,000 during the same period a year ago, a decrease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$538,000, or 85%. The decreases for both the three and six months ended June 30, 2012 were primarily due to a reduction in outstanding debt balances.</w:t>
      </w:r>
    </w:p>
    <w:p>
      <w:pPr>
        <w:spacing w:after="0" w:line="2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79" w:lineRule="exact"/>
        <w:rPr>
          <w:sz w:val="20"/>
          <w:szCs w:val="20"/>
          <w:color w:val="auto"/>
        </w:rPr>
      </w:pPr>
    </w:p>
    <w:p>
      <w:pPr>
        <w:jc w:val="both"/>
        <w:ind w:right="60" w:firstLine="486"/>
        <w:spacing w:after="0" w:line="279" w:lineRule="auto"/>
        <w:rPr>
          <w:sz w:val="20"/>
          <w:szCs w:val="20"/>
          <w:color w:val="auto"/>
        </w:rPr>
      </w:pPr>
      <w:r>
        <w:rPr>
          <w:rFonts w:ascii="Arial" w:cs="Arial" w:eastAsia="Arial" w:hAnsi="Arial"/>
          <w:sz w:val="17"/>
          <w:szCs w:val="17"/>
          <w:color w:val="auto"/>
        </w:rPr>
        <w:t>Our effective tax rate for the three and six months ended June 30, 2012 was 38% and 37%, respectively, including the impact of discreet benefit items, compared to 40% and 43% for the three and six months ended June 30, 2011, respectively. The decrease in our effective tax rate was primarily attributable to the use of a single sales factor for California state income tax apportionment. The difference between the consolidated effective income tax rate and the U.S. federal statutory rate is primarily attributable to the effect of certain permanent differences and state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As of June 30, 2012, we had $68.1 million of cash and cash equivalents and $151.8 million in short-term investments. In September 2011, we completed a follow-on offering of our common stock, in which we sold and issued 1,400,000 shares of common stock. The shares were sold by the underwriters at a price of $20.49 per share, and we received proceeds of $27.4 million after deducting underwriting discounts and commissions. In connection with this offering, we incurred offering costs of $0.5 million. In May 2011, we completed our initial public offering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 Prior to the initial public offering, substantially all of our operations and patent asset acquisitions had been financed through the private sale of equity securities, subscription fees collected from our clients and patent-seller financing.</w:t>
      </w:r>
    </w:p>
    <w:p>
      <w:pPr>
        <w:spacing w:after="0" w:line="233"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0" w:name="page21"/>
    <w:bookmarkEnd w:id="20"/>
    <w:p>
      <w:pPr>
        <w:ind w:right="340" w:firstLine="486"/>
        <w:spacing w:after="0" w:line="279" w:lineRule="auto"/>
        <w:rPr>
          <w:sz w:val="20"/>
          <w:szCs w:val="20"/>
          <w:color w:val="auto"/>
        </w:rPr>
      </w:pPr>
      <w:r>
        <w:rPr>
          <w:rFonts w:ascii="Arial" w:cs="Arial" w:eastAsia="Arial" w:hAnsi="Arial"/>
          <w:sz w:val="17"/>
          <w:szCs w:val="17"/>
          <w:color w:val="auto"/>
        </w:rPr>
        <w:t>As a public company, we incur costs that we had not previously incurred prior to our initial public offering, including, but not limited to, costs and expenses increased directors and officers insurance, investor relations fees, expenses for compliance with the Sarbanes-Oxley Act of 2002 and rules implemented by the SEC and The Nasdaq Global Market, on which our common stock is listed, and various other costs. The Sarbanes-Oxley Act of 2002 requires that we maintain effective disclosure controls and procedures and internal control over financial reporting.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0FF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62,562</w:t>
            </w:r>
          </w:p>
        </w:tc>
        <w:tc>
          <w:tcPr>
            <w:tcW w:w="34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55,087</w:t>
            </w: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(105,145)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(86,002)</w:t>
            </w: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0FFFF"/>
          </w:tcPr>
          <w:p>
            <w:pPr>
              <w:spacing w:after="0"/>
              <w:rPr>
                <w:sz w:val="19"/>
                <w:szCs w:val="19"/>
                <w:color w:val="auto"/>
              </w:rPr>
            </w:pPr>
          </w:p>
        </w:tc>
        <w:tc>
          <w:tcPr>
            <w:tcW w:w="10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Borders>
              <w:bottom w:val="single" w:sz="8" w:color="C0FFFF"/>
            </w:tcBorders>
            <w:shd w:val="clear" w:color="auto" w:fill="C0FFFF"/>
          </w:tcPr>
          <w:p>
            <w:pPr>
              <w:spacing w:after="0"/>
              <w:rPr>
                <w:sz w:val="19"/>
                <w:szCs w:val="19"/>
                <w:color w:val="auto"/>
              </w:rPr>
            </w:pPr>
          </w:p>
        </w:tc>
        <w:tc>
          <w:tcPr>
            <w:tcW w:w="60" w:type="dxa"/>
            <w:vAlign w:val="bottom"/>
            <w:tcBorders>
              <w:bottom w:val="single" w:sz="8" w:color="C0FFFF"/>
            </w:tcBorders>
            <w:shd w:val="clear" w:color="auto" w:fill="C0FFFF"/>
          </w:tcPr>
          <w:p>
            <w:pPr>
              <w:spacing w:after="0"/>
              <w:rPr>
                <w:sz w:val="19"/>
                <w:szCs w:val="19"/>
                <w:color w:val="auto"/>
              </w:rPr>
            </w:pPr>
          </w:p>
        </w:tc>
        <w:tc>
          <w:tcPr>
            <w:tcW w:w="280" w:type="dxa"/>
            <w:vAlign w:val="bottom"/>
            <w:tcBorders>
              <w:bottom w:val="single" w:sz="8" w:color="auto"/>
            </w:tcBorders>
            <w:shd w:val="clear" w:color="auto" w:fill="C0FFFF"/>
          </w:tcPr>
          <w:p>
            <w:pPr>
              <w:spacing w:after="0"/>
              <w:rPr>
                <w:sz w:val="19"/>
                <w:szCs w:val="19"/>
                <w:color w:val="auto"/>
              </w:rPr>
            </w:pPr>
          </w:p>
        </w:tc>
        <w:tc>
          <w:tcPr>
            <w:tcW w:w="10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143,652</w:t>
            </w:r>
          </w:p>
        </w:tc>
        <w:tc>
          <w:tcPr>
            <w:tcW w:w="8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(38,690)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112,737</w:t>
            </w: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Cash provided by operating activities for the six months ended June 30, 2012 was $62.6 million, consisting of net income of $21.3 million; adjustments for non-cash items of $41.5 million primarily due to $38.9 million of depreciation and amortization, $5.0 million of stock-based compensation, $2.5 million of amortization of premium on investments and reduction of $5.4 million due to excess tax benefit from stock-based compensation; and changes in working capital and non-current assets and liabilities totaling $0.2 million primarily from a $2.6 million decrease in accounts receivable due to collections from our clients, a $3.7 million decrease in prepaid expenses and other assets, which were partially offset by a $4.0 million decrease in accrued liabilities and a $2.3 million decrease in deferred revenue. The decrease in deferred revenue is due to revenue and other adjustments recognized during the period exceeding</w:t>
      </w:r>
    </w:p>
    <w:p>
      <w:pPr>
        <w:spacing w:after="0" w:line="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our revenue billings to new and existing clients. The amount of deferred revenue in any given period varies with the addition of new clients, the mix of payment terms that we offer and the timing of invoicing existing clients.</w:t>
      </w:r>
    </w:p>
    <w:p>
      <w:pPr>
        <w:spacing w:after="0" w:line="23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Cash provided by operating activities for the six months ended June 30, 2011 was $55.1 million, consisting of net income of $14.4 million, adjustments for non-cash items of $31.6 million and changes in working capital and non-current assets and liabilities totaling $9.2 million. The change in working capital resulted primarily from a decrease in accounts receivable of $6.4 million and an increase in deferred revenue of $5.0 million. The increase in deferred revenue for the six months ended June 30, 2011 is primarily attributable to $78.2 million of subscription billings for the period offset by $73.2 million of revenue recognized during the period. The increase in deferred revenue is due to annual subscription billings and the growth in our membership to 96 clients as of June 30, 2011 from 72 clients as of December 31, 2010. The amount of deferred revenue in any given period varies with the addition of new clients, the mix of payment terms that we offer and the timing of invoicing existing clients.</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Cash used in investing activities for the six months ended June 30, 2012 was $105.1 million, of which $45.8 million represented our business acquisition of Altitude Capital, $36.7 million represented our acquisitions of patent assets and $22.0 million represented our net purchases of short-term marketable securities. We expect our cash used in investing activities to increase in the future as we acquire additional patents.</w:t>
      </w:r>
    </w:p>
    <w:p>
      <w:pPr>
        <w:spacing w:after="0" w:line="220"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Cash used in investing activities for the six months ended June 30, 2011 was $86.0 million, of which $43.2 million represented our acquisitions of patent assets and $39.1 million represented our net purchases of short-term marketable securities. On June 1, 2011, we acquired substantially all of the assets of a patent research and intellectual property news provider for $3.0 million.</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Net cash provided by financing activities for the six months ended June 30, 2012 was $3.9 million. Net cash provided by financing activities during the six months ended June 30, 2012 was due to $5.4 million excess tax benefit from stock-based compensation, $2.5 million proceeds from exercise of stock options, partially offset by $4.1 million of payments for our deferred payment obligations.</w:t>
      </w:r>
    </w:p>
    <w:p>
      <w:pPr>
        <w:spacing w:after="0" w:line="235"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Net cash provided by financing activities during the six months ended June 30, 2011 was $143.7 million. Net cash provided by financing activities during the six months ended June 30, 2011 was due primarily to proceeds from our initial public offering, net of issuance costs, of approximately $157.8 million, offset by the repayment of $16.4 million of debt and other deferred payment obligations.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generally do not enter into long-term minimum purchase commitments. Our principal commitments consist of obligations under operating leases for office space. Commitments to settle contractual obligations in cash under operating leases and other obligations have not changed significantly from the “Commitments and Contingencies” table included in our Annual Report on Form 10-K for the fiscal year ended December 31, 2011, except for the following agreement entered into during the six months ended June 30, 2012.</w:t>
      </w:r>
    </w:p>
    <w:p>
      <w:pPr>
        <w:spacing w:after="0" w:line="24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March 2012, we entered into an amended lease agreement to increase our San Francisco, California office space to approximately 67,000 total square feet from May 2013 through October 2019. The monthly base rent payments pursuant to this lease will initially be approximately $0.3 million per month, increasing to approximately $0.4 million per month. Total future non-cancelable minimum lease payments from May 2013 through October 2019 will be $26.1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8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There were no substantial changes to our guarantee and indemnification obligations or other off balance sheet arrangements during the six months ended June 30, 2012.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 xml:space="preserve">In June 2011, the Financial Accounting Standards Board issued Accounting Standards Update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(“ASU 2011-05”), which requires companies to present the components of net income and other comprehensive income either in a single continuous statement or in two separate but consecutive statements. ASU 2011-05 eliminates the option to present components of other comprehensive income as part of the statement of changes in stockholders' equity. ASU 2011-05 does not change the items which must be reported in other comprehensive income, how such items are measured or when they must be reclassified to net income. Additionally, ASU 2011-05 does not affect the calculation or reporting of earnings per share. On January 1, 2012, we adopted this ASU and elected to the two-statement presentation option. Other than the change in presentation, the adoption of this ASU had no impact on our financial position or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79"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offices are located. Our results of operations and cash flows are therefore subject to fluctuations due to changes in foreign currency exchange rates, particularly changes in the Japanese Yen relative to the U.S. Dollar. To date, we have not entered into any foreign currency hedging contracts.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79"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We had cash, cash equivalents and short-term investments of $219.9 million as of June 30, 2012. Our cash balances deposited in U.S. banks are non-interest bearing and insured up to the FDIC limits. Cash equivalents consist of institutional money market funds, U.S. Government and agency securities, municipal bonds and commercial paper denominated primarily in U.S. Dollars. Interest rate fluctuations affect the returns on our invested funds. Unrestricted cash and cash equivalents are held for working capital purposes and restricted cash amounts are held as security against various lease obligations.</w:t>
      </w:r>
    </w:p>
    <w:p>
      <w:pPr>
        <w:spacing w:after="0" w:line="20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June 30, 2012, our short-term investments of $151.8 million were primarily invested in U.S. Government and Agency securities, commercial paper and corporate and municipal bonds maturing between 90 days and 12 months. As of June 30, 2012, our investments were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June 30, 2012, we had not recorded an impairment related to our investments in the consolidated statement of operations.</w:t>
      </w:r>
    </w:p>
    <w:p>
      <w:pPr>
        <w:spacing w:after="0" w:line="24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If overall interest rates had changed by 10% during the three and six months ended June 30, 2012, the fair value of our investments would not have been materially affected.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2" w:name="page23"/>
    <w:bookmarkEnd w:id="22"/>
    <w:p>
      <w:pPr>
        <w:ind w:left="50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believe that inflation has not had a material impact on our consolidated results of operations for the three and six months ended June 30,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consolidated results of operations or financial condition.</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7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221" w:lineRule="exact"/>
        <w:rPr>
          <w:sz w:val="20"/>
          <w:szCs w:val="20"/>
          <w:color w:val="auto"/>
        </w:rPr>
      </w:pPr>
    </w:p>
    <w:p>
      <w:pPr>
        <w:ind w:right="220" w:firstLine="486"/>
        <w:spacing w:after="0" w:line="308" w:lineRule="auto"/>
        <w:rPr>
          <w:sz w:val="20"/>
          <w:szCs w:val="20"/>
          <w:color w:val="auto"/>
        </w:rPr>
      </w:pPr>
      <w:r>
        <w:rPr>
          <w:rFonts w:ascii="Arial" w:cs="Arial" w:eastAsia="Arial" w:hAnsi="Arial"/>
          <w:sz w:val="17"/>
          <w:szCs w:val="17"/>
          <w:color w:val="auto"/>
        </w:rPr>
        <w:t>Based on the evaluation of our disclosure controls and procedures as of June 30, 2012, our Chief Executive Officer and Chief Financial Officer have concluded that, as of such date, our disclosure controls and procedures were effective at the reasonable assurance level.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Our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of our control issues and instances of fraud, if any, have been detected.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that has materially affected, or is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13 to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6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 The risks described below are not the only risks facing us. Risks and uncertainties not currently known to us or that we currently deem to be immaterial also may materially adversely affect our business, financial condition and operating results. When making your investment decision, you should also refer to the other information set forth in this Form 10-Q, including our consolidated financial statements and the related notes, and our Annual Report on Form 10-K filed with the SEC on March 26, 2012.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8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in the future of our business model. If companies do not continue to subscribe to our solution, our business and operating results will be adversely affected.</w:t>
      </w:r>
    </w:p>
    <w:p>
      <w:pPr>
        <w:spacing w:after="0" w:line="23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were incorporated in July 2008. We acquired our first patent assets in September 2008 and sold our first membership in October 2008. Therefore, we have not only a very limited operating history, but also a very limited track record in executing our business model. Our future success depends on acceptance of our solution by companies we target to become clients. Our efforts to sell our solution to new and existing clients may not continue to be successful. In particular, because we are a relatively new company with a limited operating history, companies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2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makes our future operating results difficult to predict and could cause our operating results to fall below expectations.</w:t>
      </w:r>
    </w:p>
    <w:p>
      <w:pPr>
        <w:spacing w:after="0" w:line="224"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other factors that may affect our operating results include:</w:t>
      </w:r>
    </w:p>
    <w:p>
      <w:pPr>
        <w:spacing w:after="0" w:line="279" w:lineRule="exact"/>
        <w:rPr>
          <w:sz w:val="20"/>
          <w:szCs w:val="20"/>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23" w:lineRule="exact"/>
        <w:rPr>
          <w:rFonts w:ascii="Arial" w:cs="Arial" w:eastAsia="Arial" w:hAnsi="Arial"/>
          <w:sz w:val="18"/>
          <w:szCs w:val="18"/>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operating expenses attributable to the formation and management of our risk retention group;</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policies or those of our competitors;</w:t>
      </w:r>
    </w:p>
    <w:p>
      <w:pPr>
        <w:spacing w:after="0" w:line="9" w:lineRule="exact"/>
        <w:rPr>
          <w:rFonts w:ascii="Arial" w:cs="Arial" w:eastAsia="Arial" w:hAnsi="Arial"/>
          <w:sz w:val="18"/>
          <w:szCs w:val="18"/>
          <w:color w:val="auto"/>
        </w:rPr>
      </w:pPr>
    </w:p>
    <w:p>
      <w:pPr>
        <w:ind w:left="840" w:right="200" w:hanging="346"/>
        <w:spacing w:after="0" w:line="250"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ind w:left="840" w:right="80" w:hanging="346"/>
        <w:spacing w:after="0" w:line="250"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ind w:left="840" w:hanging="346"/>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20" w:lineRule="exact"/>
        <w:rPr>
          <w:rFonts w:ascii="Arial" w:cs="Arial" w:eastAsia="Arial" w:hAnsi="Arial"/>
          <w:sz w:val="17"/>
          <w:szCs w:val="17"/>
          <w:color w:val="auto"/>
        </w:rPr>
      </w:pPr>
    </w:p>
    <w:p>
      <w:pPr>
        <w:ind w:left="840" w:right="140" w:hanging="346"/>
        <w:spacing w:after="0" w:line="250"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ind w:left="840" w:hanging="346"/>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lower subscription fees from clients where the annual subscription fee decreases due to declining operating income or revenue of such clients;</w:t>
      </w:r>
    </w:p>
    <w:p>
      <w:pPr>
        <w:spacing w:after="0" w:line="32" w:lineRule="exact"/>
        <w:rPr>
          <w:rFonts w:ascii="Arial" w:cs="Arial" w:eastAsia="Arial" w:hAnsi="Arial"/>
          <w:sz w:val="16"/>
          <w:szCs w:val="16"/>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4" w:name="page25"/>
    <w:bookmarkEnd w:id="24"/>
    <w:p>
      <w:pPr>
        <w:ind w:left="840" w:right="500" w:hanging="346"/>
        <w:spacing w:after="0" w:line="258"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1" w:lineRule="exact"/>
        <w:rPr>
          <w:rFonts w:ascii="Arial" w:cs="Arial" w:eastAsia="Arial" w:hAnsi="Arial"/>
          <w:sz w:val="18"/>
          <w:szCs w:val="18"/>
          <w:color w:val="auto"/>
        </w:rPr>
      </w:pPr>
    </w:p>
    <w:p>
      <w:pPr>
        <w:ind w:left="840" w:right="100" w:hanging="346"/>
        <w:spacing w:after="0" w:line="281"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 w:lineRule="exact"/>
        <w:rPr>
          <w:rFonts w:ascii="Arial" w:cs="Arial" w:eastAsia="Arial" w:hAnsi="Arial"/>
          <w:sz w:val="16"/>
          <w:szCs w:val="16"/>
          <w:color w:val="auto"/>
        </w:rPr>
      </w:pPr>
    </w:p>
    <w:p>
      <w:pPr>
        <w:ind w:left="840" w:right="140" w:hanging="346"/>
        <w:spacing w:after="0" w:line="261"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238"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2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immature, and if our solution is not widely accepted or is accepted more slowly than we expect, our operating results will be adversely affected.</w:t>
      </w:r>
    </w:p>
    <w:p>
      <w:pPr>
        <w:spacing w:after="0" w:line="22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new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232" w:lineRule="exact"/>
        <w:rPr>
          <w:sz w:val="20"/>
          <w:szCs w:val="20"/>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23" w:lineRule="exact"/>
        <w:rPr>
          <w:rFonts w:ascii="Arial" w:cs="Arial" w:eastAsia="Arial" w:hAnsi="Arial"/>
          <w:sz w:val="18"/>
          <w:szCs w:val="18"/>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32" w:lineRule="exact"/>
        <w:rPr>
          <w:rFonts w:ascii="Arial" w:cs="Arial" w:eastAsia="Arial" w:hAnsi="Arial"/>
          <w:sz w:val="16"/>
          <w:szCs w:val="16"/>
          <w:color w:val="auto"/>
        </w:rPr>
      </w:pPr>
    </w:p>
    <w:p>
      <w:pPr>
        <w:ind w:left="840" w:right="60" w:hanging="346"/>
        <w:spacing w:after="0" w:line="250"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 perpetual licenses in all patent assets that they believe are materially relevant to their businesses;</w:t>
      </w: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sufficient interest by mid- and small-sized companies in our solution;</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224"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We have limited experience with respect to determining the appropriate metrics for establishing the annual subscription fees for our patent risk management solution. If the market for our solution fails to develop or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which could harm our operating results. If we introduce a higher fee schedule in the future, it may be more difficult for us to attract new clients. In order to attract clients, in certain cases we have previously offered, and may in the future offer, discounts or other contractual incentives to clients who execute multi-year subscription agreements or who make client referrals.</w:t>
      </w:r>
    </w:p>
    <w:p>
      <w:pPr>
        <w:spacing w:after="0" w:line="2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4"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Under our subscription agreements, our annual subscription fee is based on a published fee schedule applicable to all of our clients that join our network while that fee schedule is in effect. Clients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5" w:name="page26"/>
    <w:bookmarkEnd w:id="25"/>
    <w:p>
      <w:pPr>
        <w:ind w:right="280"/>
        <w:spacing w:after="0" w:line="381"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5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2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success of our business will increasingly depend on clients renewing their subscription agreements, but we do not have an adequate operating history to predict the rate of membership renewals. Any significant decline in our membership renewals could harm our operating results.</w:t>
      </w:r>
    </w:p>
    <w:p>
      <w:pPr>
        <w:spacing w:after="0" w:line="17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June 30, 2012 was 2.8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23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24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subscription agreements generally provide our clients with a right to terminate their membership if we fail to meet certain conditions. If we fail to meet those conditions and clients elect to terminate their subscription agreements, our operating results will be harmed.</w:t>
      </w:r>
    </w:p>
    <w:p>
      <w:pPr>
        <w:spacing w:after="0" w:line="20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Until recently, our form of subscription agreement provided that we will use commercially reasonable efforts to spend at least a specified minimum amount each year to acquire patent assets related broadly to information technology. If we fail to meet this standard, the clients whose agreements contain this provision have the right to terminate their memberships. If we fail to meet these provisions and clients elect to terminate their memberships, our operating results will be harmed.</w:t>
      </w:r>
    </w:p>
    <w:p>
      <w:pPr>
        <w:spacing w:after="0" w:line="24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7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ind w:right="30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4"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Each client’s subscription fee is reset yearly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220"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Our fee schedule is capped for each of our clients. As a result, if one of our clients acquires another client, our future revenue would be reduced as a result of our fee schedule being applied to the combined entity rather than to each entity separately. Any reduction in subscription fees could harm our business and operating results.</w:t>
      </w:r>
    </w:p>
    <w:p>
      <w:pPr>
        <w:spacing w:after="0" w:line="2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the number of defendants that can be joined in a single patent litigation action,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2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23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242"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20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we deploy to acquire patent assets, they may choose not to renew their subscriptions. These risks are greater if we elect to invest a significant amount of our capital in only a few acquisitions of patent assets.</w:t>
      </w: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24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addition to competing for new clients, we also compete to acquire patent assets. Our primary competitors in the market for patent assets include other entities that seek to accumulate patent assets, including NPEs such as Acacia Research, Coller IP, Intellectual Ventures, Millennium Partners and Rembrandt IP Management, along with patent-buying consortiums such as Allied Security Trust.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7" w:name="page28"/>
    <w:bookmarkEnd w:id="27"/>
    <w:p>
      <w:pPr>
        <w:ind w:right="240" w:firstLine="48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23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patent assets are time consuming, complex and costly, which could adversely affect our operating results.</w:t>
      </w:r>
    </w:p>
    <w:p>
      <w:pPr>
        <w:spacing w:after="0" w:line="279"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acquisitions of patent assets are time consuming, complex and costly to consummate. We utilize many different transaction structures in our acquisitions and the terms of the acquisition agreements tend to be very heavily negotiated. As a result, we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23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with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are complex and can be large and high profile. We may incur significant costs to organize and negotiate a structured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224"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have to spend considerable time and expense defending our position and we may be unable to successfully defend our accounting or tax treatment, any of which could adversely affect our business and operating results.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31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expect to significantly increase future expenditures to develop and expand our business, including making substantial expenditures to acquire patent assets and develop new solutions. To further one of those new solutions, we formed a risk retention group which will issue insurance policies to cover the costs of NPE patent claims. Developing and offering this new solution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242"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We also plan to incur additional operating expenses as we hire new personnel, including employees for client relations, patent research and analysis, development of reporting systems and general and administrative functions. From January 1 through June 30, 2012, our headcount grew from 110 to 126 employees. Because we intend to continue to hire aggressively, we expect our operating expenses to increase substantially. In addition, as a public company, we incur significant legal, accounting and other expenses that we did not incur as a private company. If we are not successful in generating additional revenue that is sufficient to offset these operating expense increases, our operating results may be harmed.</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mid- and small-size companies, we may not be able to maintain our growth and our business and results of operations may be harmed.</w:t>
      </w:r>
    </w:p>
    <w:p>
      <w:pPr>
        <w:spacing w:after="0" w:line="224"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so in order for us to continue our growth, we need to expand our membership base to include mid- and small-size companies. There is no guarantee that we will be successful in those efforts. Those companies often have more limited budgets available for solutions of the type we offer compared to larger companies. Those companies may also request solutions that we do not currently offer. They may also have concerns that we will focus our patent acquisition efforts on patent assets that are of more benefit to our larger clients who pay us higher subscription fees. If we are unable to successfully expand our membership base to include more mid- and small-size companies, our growth may slow, and our business may be harmed.</w:t>
      </w:r>
    </w:p>
    <w:p>
      <w:pPr>
        <w:spacing w:after="0" w:line="23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4"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We receive a significant amount of our revenue from a limited number of clients. For example, during the six months ended June 30, 2012, our 10 highest revenue generating clients accounted for approximately 34% of our total revenue. We expect that a significant portion of our revenue will continue to come from a relatively small number of clients for the foreseeable future. If any of these clients chooses not to renew its membership, or if our subscription fees from a client decline, our revenue may correspondingly decrease and our operating results may be adversely affected.</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4"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We are currently developing programs to facilitate joint defense agreements and cross-licensing arrangements among clients that pay us additional fees to participate in those arrangements.</w:t>
      </w:r>
    </w:p>
    <w:p>
      <w:pPr>
        <w:spacing w:after="0" w:line="242"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232"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We are investing significant management time and resources into developing products designed to provide insurance against NPE patent claims. We do not have prior experience in designing or providing insurance products. If we are not successful in launching and selling these insurance products, we will not realize the anticipated benefit of these investments, which could have an adverse effect on our growth prospects and our business may be harmed.</w:t>
      </w:r>
    </w:p>
    <w:p>
      <w:pPr>
        <w:spacing w:after="0" w:line="18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are investing a significant amount of management time and financial resources in the development of products designed to provide insurance against NPE patent claims. We have provided capital to develop and initially operate this business. We do not have prior experience in designing insurance products, forming or operating an insurance business, attracting policyholders or establishing the pricing or terms of insurance policies. We cannot assure you that our patent insurance products will appeal to a significant number of our existing clients or attract new clients. If we are unsuccessful in implementing this business, we may not realize the anticipated benefits of our investments of capital and management attention, which could have an adverse effect on our financial performance and growth prospects and our business may be harmed.</w:t>
      </w:r>
    </w:p>
    <w:p>
      <w:pPr>
        <w:spacing w:after="0" w:line="2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Following the launch of insurance products for NPE patent claims, we now face the risks associated with operating an insurance business. If we fail to manage these risks, our results of operations and financial condition may be adversely affected.</w:t>
      </w:r>
    </w:p>
    <w:p>
      <w:pPr>
        <w:spacing w:after="0" w:line="224"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We recently started to offer insurance products for NPE patent claims, and therefore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If we do not estimate our underwriting risks and set our premiums successfully, we may incur larger losses on our policies than we expect, which could have an adverse effect on our results of operations and financial condition.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2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have experienced rapid growth in recent periods, and 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23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substantially expanded our overall business, headcount and operations in recent periods. We plan to expand our operations and headcount in the future in order to support our efforts to increase our membership base, continue to acquire valuable patent assets and develop additional solutions. Further, increases in our membership base could challenge our ability to provide satisfactory service and support to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626" w:gutter="0" w:footer="0" w:header="0"/>
        </w:sectPr>
      </w:pPr>
    </w:p>
    <w:bookmarkStart w:id="29" w:name="page30"/>
    <w:bookmarkEnd w:id="29"/>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4"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288"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For example, on March 7, 2012, a lawsuit was filed against the Company and some of its clients (the “Defendants”). The complaint alleges that the Defendants violated federal antitrust law, California antitrust law and California unfair competition law. The plaintiff seeks unspecified monetary damages and injunctive relief. Because the case is at a very early stage, the Company is not currently able to determine whether there is a reasonable possibility that a loss will be incurred nor can it estimate the range of the potential loss that may result from this litigation. We may incur significant costs in defending this claim and the result may not be favorable. An unfavorable outcome of this claim could result in proliferation of similar claims against us. The expense and disclosure associated with our involvement in litigation could have an adverse effect on our business, prospects, financial condition and operating results.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279"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233"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4" w:lineRule="exact"/>
        <w:rPr>
          <w:sz w:val="20"/>
          <w:szCs w:val="20"/>
          <w:color w:val="auto"/>
        </w:rPr>
      </w:pPr>
    </w:p>
    <w:p>
      <w:pPr>
        <w:ind w:right="260" w:firstLine="48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spend significant time and resources to maintain the effectiveness of those assets by paying maintenance fees and making filings with the United States Patent and Trademark Office. In some cases, the patent assets we acquire include patent applications which require us to spend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30" w:name="page31"/>
    <w:bookmarkEnd w:id="30"/>
    <w:p>
      <w:pPr>
        <w:jc w:val="both"/>
        <w:ind w:right="600"/>
        <w:spacing w:after="0" w:line="312"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0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30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2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279"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grow our revenue is dependent on our ability to hire personnel that can identify and acquire valuable patent assets and sign up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224"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2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client offerings, enhance our technical capabilities or otherwise offer growth opportunities. The pursuit of potential acquisitions may divert the attention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management and cause us to incur various expenses in identifying, investigating and pursuing suitable acquisitions, whether or not they 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consummated. We may not be able to integrate the acquired personnel, operations and technologies successfully or effectively manage the combined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the completion of the acquisition.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1" w:name="page32"/>
    <w:bookmarkEnd w:id="31"/>
    <w:p>
      <w:pPr>
        <w:ind w:left="50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279" w:lineRule="exact"/>
        <w:rPr>
          <w:sz w:val="20"/>
          <w:szCs w:val="20"/>
          <w:color w:val="auto"/>
        </w:rPr>
      </w:pPr>
    </w:p>
    <w:p>
      <w:pPr>
        <w:ind w:left="840" w:hanging="346"/>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23" w:lineRule="exact"/>
        <w:rPr>
          <w:rFonts w:ascii="Arial" w:cs="Arial" w:eastAsia="Arial" w:hAnsi="Arial"/>
          <w:sz w:val="18"/>
          <w:szCs w:val="18"/>
          <w:color w:val="auto"/>
        </w:rPr>
      </w:pPr>
    </w:p>
    <w:p>
      <w:pPr>
        <w:ind w:left="840" w:hanging="346"/>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32" w:lineRule="exact"/>
        <w:rPr>
          <w:rFonts w:ascii="Arial" w:cs="Arial" w:eastAsia="Arial" w:hAnsi="Arial"/>
          <w:sz w:val="16"/>
          <w:szCs w:val="16"/>
          <w:color w:val="auto"/>
        </w:rPr>
      </w:pPr>
    </w:p>
    <w:p>
      <w:pPr>
        <w:ind w:left="840" w:hanging="346"/>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65"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incurred significant increased costs as a result of operating as a public company, and our management will be required to devote substantial time to compliance efforts.</w:t>
      </w:r>
    </w:p>
    <w:p>
      <w:pPr>
        <w:spacing w:after="0" w:line="224"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As a public company, we have incurred significant legal, accounting, investor relations and other expenses that we did not incur as a private company, including costs associated with public company reporting requirements. The Sarbanes-Oxley Act and the Dodd-Frank Wall Street Reform and Consumer Protection Act, as well as rules subsequently implemented by the SEC and The Nasdaq Stock Market, impose additional requirements on public companies, including enhanced corporate governance practices. For example, the listing requirements for The Nasdaq Stock Market provide that listed companies must satisfy, among other things, certain corporate governance requirements relating to independent directors, audit committees, distribution of annual and interim reports, stockholder meetings, stockholder approvals, solicitation of proxies, conflicts of interest, stockholder voting rights and codes of business conduct. Our management and other personnel devote a substantial amount of time to satisfying these requirements. Moreover, these rules and regulations have increased our legal and financial compliance costs and have made some activities more time consuming and costly.</w:t>
      </w:r>
    </w:p>
    <w:p>
      <w:pPr>
        <w:spacing w:after="0" w:line="2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4"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of December 31, 2012,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need to hire additional accounting and financial staff, improve our existing controls and implement new processes. We cannot be certain that our actions to improve our internal controls over financial reporting will be sufficient, or that we will be able to implement our planned processes and procedures in a timely manner. Moreover, if we are not able to comply with the requirements of Section 404 in a timely manner, or if we or our independent registered public accounting firm identify deficiencies in our internal control over financial reporting that are deemed to be material weaknesses, investors could lose confidence in the reliability of our financial statements, which could cause the market price of our common stock to decline. In addition, a delay in compliance with Section 404 could subject us to sanctions or investigations by The Nasdaq Stock Market, the SEC or other regulatory authorities, make us ineligible for short form registrations or result in the inability of registered broker-dealers to make a market in our common stock, any of which could further reduce our stock price and could harm our business.</w:t>
      </w:r>
    </w:p>
    <w:p>
      <w:pPr>
        <w:spacing w:after="0" w:line="232"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Furthermore, implementing any appropriate changes to our internal control over financial reporting may entail substantial costs in order to modify our existing accounting systems, may take a significant period of time to complete and may distract our officers, directors and employees from the operation of our business. These changes, however, may not be effective in maintaining the adequacy of our internal control over financial reporting, and any failure to maintain that adequacy, or consequent inability to produce accurate financial statements on a timely basis, could increase our operating costs and could materially impair our ability to operate our business. In addition, investors’ perceptions that our internal control over financial reporting is inadequate or that we are unable to produce accurate financial statements may adversely affect our stock price.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2" w:name="page33"/>
    <w:bookmarkEnd w:id="32"/>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may have an effect on our reported results of operations.</w:t>
      </w:r>
    </w:p>
    <w:p>
      <w:pPr>
        <w:spacing w:after="0" w:line="22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 change in accounting standards or practices could have a significant effect on our reported results and may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279"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4"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4"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Since our initial public offering in May 2011, our stock price has traded as high as $31.41 per share and as low as $9.54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225" w:lineRule="exact"/>
        <w:rPr>
          <w:sz w:val="20"/>
          <w:szCs w:val="20"/>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23" w:lineRule="exact"/>
        <w:rPr>
          <w:rFonts w:ascii="Arial" w:cs="Arial" w:eastAsia="Arial" w:hAnsi="Arial"/>
          <w:sz w:val="18"/>
          <w:szCs w:val="18"/>
          <w:color w:val="auto"/>
        </w:rPr>
      </w:pPr>
    </w:p>
    <w:p>
      <w:pPr>
        <w:ind w:left="840" w:right="800" w:hanging="346"/>
        <w:spacing w:after="0" w:line="250"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ind w:left="840" w:right="60" w:hanging="346"/>
        <w:spacing w:after="0" w:line="250"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32" w:lineRule="exact"/>
        <w:rPr>
          <w:rFonts w:ascii="Arial" w:cs="Arial" w:eastAsia="Arial" w:hAnsi="Arial"/>
          <w:sz w:val="16"/>
          <w:szCs w:val="16"/>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65"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3" w:name="page34"/>
    <w:bookmarkEnd w:id="33"/>
    <w:p>
      <w:pPr>
        <w:ind w:right="140"/>
        <w:spacing w:after="0" w:line="264"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53% of our outstanding common stock and will be able to exercise substantial control over all matters requiring stockholder approval. This concentration of ownership limits your ability to influence corporate matters.</w:t>
      </w:r>
    </w:p>
    <w:p>
      <w:pPr>
        <w:spacing w:after="0" w:line="23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June 30, 2012, affiliates of Index Ventures, affiliates of Charles River Ventures and KPCB Holdings, Inc. each beneficially own approximately 10%, 14% and 13%, respectively, of our outstanding common stock, and our directors and executive officers and their affiliates, in the aggregate, beneficially own an additional 16% of our outstanding common stock. As a result, these stockholders will be able to exercise substantial control over all matters requiring stockholder approval, including the election of directors and approval of significant corporate transactions, such as a merger or other sale of our company or its assets. This concentration of ownership will limit your ability to influence corporate matters and may have the effect of delaying or preventing a third party from acquiring control over us. In addition, each of Index Ventures, Charles River Ventures and KPCB Holdings, Inc. currently has a representative on our Board of Directors.</w:t>
      </w:r>
    </w:p>
    <w:p>
      <w:pPr>
        <w:spacing w:after="0" w:line="2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224"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4"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If our existing stockholders, particularly our directors and executive officers and the venture capital funds affiliated with our current directors, sell substantial amounts of our common stock in the public market, or are perceived by the public market as intending to sell substantial amounts of our common stock, the trading price of our common stock could decline.</w:t>
      </w:r>
    </w:p>
    <w:p>
      <w:pPr>
        <w:spacing w:after="0" w:line="23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As of June 30, 2012, some of our existing stockholders have demand and piggyback rights to require us to register with the SEC approximately 26,300,000 shares of our common stock. If we register these shares of common stock, the stockholders would be able to sell those shares freely in the public market.</w:t>
      </w:r>
    </w:p>
    <w:p>
      <w:pPr>
        <w:spacing w:after="0" w:line="235" w:lineRule="exact"/>
        <w:rPr>
          <w:sz w:val="20"/>
          <w:szCs w:val="20"/>
          <w:color w:val="auto"/>
        </w:rPr>
      </w:pPr>
    </w:p>
    <w:p>
      <w:pPr>
        <w:ind w:right="420" w:firstLine="48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20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2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23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w:t>
      </w:r>
    </w:p>
    <w:p>
      <w:pPr>
        <w:spacing w:after="0" w:line="2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4"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227" w:lineRule="exact"/>
        <w:rPr>
          <w:sz w:val="20"/>
          <w:szCs w:val="20"/>
          <w:color w:val="auto"/>
        </w:rPr>
      </w:pPr>
    </w:p>
    <w:p>
      <w:pPr>
        <w:jc w:val="center"/>
        <w:ind w:left="5620" w:right="1120" w:hanging="5126"/>
        <w:spacing w:after="0" w:line="763"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4" w:name="page35"/>
    <w:bookmarkEnd w:id="34"/>
    <w:p>
      <w:pPr>
        <w:ind w:left="840" w:hanging="346"/>
        <w:spacing w:after="0" w:line="258"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 w:lineRule="exact"/>
        <w:rPr>
          <w:rFonts w:ascii="Arial" w:cs="Arial" w:eastAsia="Arial" w:hAnsi="Arial"/>
          <w:sz w:val="18"/>
          <w:szCs w:val="18"/>
          <w:color w:val="auto"/>
        </w:rPr>
      </w:pPr>
    </w:p>
    <w:p>
      <w:pPr>
        <w:ind w:left="840" w:hanging="346"/>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9" w:lineRule="exact"/>
        <w:rPr>
          <w:rFonts w:ascii="Arial" w:cs="Arial" w:eastAsia="Arial" w:hAnsi="Arial"/>
          <w:sz w:val="18"/>
          <w:szCs w:val="18"/>
          <w:color w:val="auto"/>
        </w:rPr>
      </w:pPr>
    </w:p>
    <w:p>
      <w:pPr>
        <w:ind w:left="840" w:right="80" w:hanging="346"/>
        <w:spacing w:after="0" w:line="250"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ind w:left="840" w:hanging="346"/>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9" w:lineRule="exact"/>
        <w:rPr>
          <w:rFonts w:ascii="Arial" w:cs="Arial" w:eastAsia="Arial" w:hAnsi="Arial"/>
          <w:sz w:val="18"/>
          <w:szCs w:val="18"/>
          <w:color w:val="auto"/>
        </w:rPr>
      </w:pPr>
    </w:p>
    <w:p>
      <w:pPr>
        <w:ind w:left="840" w:hanging="346"/>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9" w:lineRule="exact"/>
        <w:rPr>
          <w:rFonts w:ascii="Arial" w:cs="Arial" w:eastAsia="Arial" w:hAnsi="Arial"/>
          <w:sz w:val="18"/>
          <w:szCs w:val="18"/>
          <w:color w:val="auto"/>
        </w:rPr>
      </w:pPr>
    </w:p>
    <w:p>
      <w:pPr>
        <w:ind w:left="840" w:right="140" w:hanging="346"/>
        <w:spacing w:after="0" w:line="250"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ind w:left="840" w:hanging="346"/>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4"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The following exhibits are filed herewith:</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Incorporated by Reference</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8"/>
        </w:trPr>
        <w:tc>
          <w:tcPr>
            <w:tcW w:w="82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Exhibit</w:t>
            </w: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Filing</w:t>
            </w: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Provided</w:t>
            </w:r>
          </w:p>
        </w:tc>
      </w:tr>
      <w:tr>
        <w:trPr>
          <w:trHeight w:val="241"/>
        </w:trPr>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538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Exhibit Title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6"/>
              </w:rPr>
              <w:t>Amended and Restated Certificate of Incorporation of RPX Corporation</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333-171817</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1/21/11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Amended and Restated Bylaws of RPX Corporation</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333-171817</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6"/>
              </w:rPr>
              <w:t>Certification of Chief Executive Officer Pursuant to Rule 13-14(a) of the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5"/>
              </w:rPr>
              <w:t>Securities Exchange Act of 1934 as Adopted Pursuant to Section 302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7"/>
              </w:rPr>
              <w:t>Certification of Chief Financial Officer Pursuant to Rule 13-14(a) of the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5"/>
              </w:rPr>
              <w:t>Securities Exchange Act of 1934 as Adopted Pursuant to Section 302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9"/>
              </w:rPr>
              <w:t>Certification of Chief Executive Officer Pursuant to 18 U.S.C. Section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5"/>
              </w:rPr>
              <w:t>1350, as Adopted Pursuant to Section 906 of the Sarbanes-Oxley Act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5"/>
              </w:rPr>
              <w:t>1350, as Adopted Pursuant to Section 906 of the Sarbanes-Oxley Act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5"/>
              </w:rPr>
              <w:t>101.SCH+</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9"/>
              </w:rPr>
              <w:t>101.CAL+</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8"/>
              </w:rPr>
              <w:t>101.DEF+</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6"/>
              </w:rPr>
              <w:t>101.PRE+</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bl>
    <w:p>
      <w:pPr>
        <w:spacing w:after="0" w:line="256" w:lineRule="exact"/>
        <w:rPr>
          <w:sz w:val="20"/>
          <w:szCs w:val="20"/>
          <w:color w:val="auto"/>
        </w:rPr>
      </w:pPr>
    </w:p>
    <w:p>
      <w:pPr>
        <w:ind w:left="240" w:right="120" w:hanging="232"/>
        <w:spacing w:after="0" w:line="264"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80"/>
          </w:cols>
          <w:pgMar w:left="240" w:top="513"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DATE: August 14, 2012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August 14,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14605</wp:posOffset>
            </wp:positionV>
            <wp:extent cx="355028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A. Amster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14605</wp:posOffset>
            </wp:positionV>
            <wp:extent cx="355028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Adam C. Spiegel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Senior Vice President, Finance</w:t>
      </w:r>
    </w:p>
    <w:p>
      <w:pPr>
        <w:spacing w:after="0" w:line="200" w:lineRule="exact"/>
        <w:rPr>
          <w:sz w:val="20"/>
          <w:szCs w:val="20"/>
          <w:color w:val="auto"/>
        </w:rPr>
      </w:pPr>
    </w:p>
    <w:p>
      <w:pPr>
        <w:sectPr>
          <w:pgSz w:w="11900" w:h="16838" w:orient="portrait"/>
          <w:cols w:equalWidth="0" w:num="2">
            <w:col w:w="4740" w:space="720"/>
            <w:col w:w="5320"/>
          </w:cols>
          <w:pgMar w:left="240" w:top="513" w:right="879" w:bottom="1440" w:gutter="0" w:footer="0" w:header="0"/>
          <w:type w:val="continuous"/>
        </w:sectPr>
      </w:pP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13" w:right="87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ind w:left="4080"/>
              <w:spacing w:after="0"/>
              <w:rPr>
                <w:sz w:val="20"/>
                <w:szCs w:val="20"/>
                <w:color w:val="auto"/>
              </w:rPr>
            </w:pPr>
            <w:r>
              <w:rPr>
                <w:rFonts w:ascii="Arial" w:cs="Arial" w:eastAsia="Arial" w:hAnsi="Arial"/>
                <w:sz w:val="18"/>
                <w:szCs w:val="18"/>
                <w:b w:val="1"/>
                <w:bCs w:val="1"/>
                <w:color w:val="auto"/>
              </w:rPr>
              <w:t>EXHIBIT INDEX</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93"/>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Incorporated by Reference</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8"/>
        </w:trPr>
        <w:tc>
          <w:tcPr>
            <w:tcW w:w="82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Exhibit</w:t>
            </w: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Filing</w:t>
            </w: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Provided</w:t>
            </w:r>
          </w:p>
        </w:tc>
      </w:tr>
      <w:tr>
        <w:trPr>
          <w:trHeight w:val="241"/>
        </w:trPr>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538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Exhibit Title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6"/>
              </w:rPr>
              <w:t>Amended and Restated Certificate of Incorporation of RPX Corporation</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333-171817</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1/21/11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Amended and Restated Bylaws of RPX Corporation</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333-171817</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6"/>
              </w:rPr>
              <w:t>Certification of Chief Executive Officer Pursuant to Rule 13-14(a) of the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5"/>
              </w:rPr>
              <w:t>Securities Exchange Act of 1934 as Adopted Pursuant to Section 302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7"/>
              </w:rPr>
              <w:t>Certification of Chief Financial Officer Pursuant to Rule 13-14(a) of the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5"/>
              </w:rPr>
              <w:t>Securities Exchange Act of 1934 as Adopted Pursuant to Section 302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9"/>
              </w:rPr>
              <w:t>Certification of Chief Executive Officer Pursuant to 18 U.S.C. Section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5"/>
              </w:rPr>
              <w:t>1350, as Adopted Pursuant to Section 906 of the Sarbanes-Oxley Act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95"/>
              </w:rPr>
              <w:t>1350, as Adopted Pursuant to Section 906 of the Sarbanes-Oxley Act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5"/>
              </w:rPr>
              <w:t>101.SCH+</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9"/>
              </w:rPr>
              <w:t>101.CAL+</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8"/>
              </w:rPr>
              <w:t>101.DEF+</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w w:val="96"/>
              </w:rPr>
              <w:t>101.PRE+</w:t>
            </w:r>
          </w:p>
        </w:tc>
        <w:tc>
          <w:tcPr>
            <w:tcW w:w="1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bl>
    <w:p>
      <w:pPr>
        <w:spacing w:after="0" w:line="256" w:lineRule="exact"/>
        <w:rPr>
          <w:sz w:val="20"/>
          <w:szCs w:val="20"/>
          <w:color w:val="auto"/>
        </w:rPr>
      </w:pPr>
    </w:p>
    <w:p>
      <w:pPr>
        <w:ind w:left="240" w:right="120" w:hanging="232"/>
        <w:spacing w:after="0" w:line="264"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ectPr>
          <w:pgSz w:w="11900" w:h="16838" w:orient="portrait"/>
          <w:cols w:equalWidth="0" w:num="1">
            <w:col w:w="11420"/>
          </w:cols>
          <w:pgMar w:left="240" w:top="513"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279"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279" w:lineRule="exact"/>
        <w:rPr>
          <w:rFonts w:ascii="Arial" w:cs="Arial" w:eastAsia="Arial" w:hAnsi="Arial"/>
          <w:sz w:val="18"/>
          <w:szCs w:val="18"/>
          <w:color w:val="auto"/>
        </w:rPr>
      </w:pPr>
    </w:p>
    <w:p>
      <w:pPr>
        <w:ind w:left="980" w:right="40" w:hanging="486"/>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80" w:right="200" w:hanging="486"/>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980" w:right="160" w:hanging="486"/>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760" w:right="60" w:hanging="320"/>
        <w:spacing w:after="0" w:line="286" w:lineRule="auto"/>
        <w:tabs>
          <w:tab w:leader="none" w:pos="17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9" w:lineRule="exact"/>
        <w:rPr>
          <w:rFonts w:ascii="Arial" w:cs="Arial" w:eastAsia="Arial" w:hAnsi="Arial"/>
          <w:sz w:val="17"/>
          <w:szCs w:val="17"/>
          <w:color w:val="auto"/>
        </w:rPr>
      </w:pPr>
    </w:p>
    <w:p>
      <w:pPr>
        <w:ind w:left="1760" w:right="220" w:hanging="320"/>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8"/>
          <w:szCs w:val="18"/>
          <w:color w:val="auto"/>
        </w:rPr>
      </w:pPr>
    </w:p>
    <w:p>
      <w:pPr>
        <w:ind w:left="1760" w:right="320" w:hanging="320"/>
        <w:spacing w:after="0" w:line="264"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980" w:right="120" w:hanging="486"/>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60" w:hanging="320"/>
        <w:spacing w:after="0" w:line="342" w:lineRule="auto"/>
        <w:tabs>
          <w:tab w:leader="none" w:pos="17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760" w:right="460" w:hanging="320"/>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A. Amster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Adam C. Spiegel, certify that:</w:t>
      </w:r>
    </w:p>
    <w:p>
      <w:pPr>
        <w:spacing w:after="0" w:line="279"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279" w:lineRule="exact"/>
        <w:rPr>
          <w:rFonts w:ascii="Arial" w:cs="Arial" w:eastAsia="Arial" w:hAnsi="Arial"/>
          <w:sz w:val="18"/>
          <w:szCs w:val="18"/>
          <w:color w:val="auto"/>
        </w:rPr>
      </w:pPr>
    </w:p>
    <w:p>
      <w:pPr>
        <w:ind w:left="980" w:right="40" w:hanging="486"/>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980" w:right="200" w:hanging="486"/>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980" w:right="160" w:hanging="486"/>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760" w:right="60" w:hanging="320"/>
        <w:spacing w:after="0" w:line="286" w:lineRule="auto"/>
        <w:tabs>
          <w:tab w:leader="none" w:pos="17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9" w:lineRule="exact"/>
        <w:rPr>
          <w:rFonts w:ascii="Arial" w:cs="Arial" w:eastAsia="Arial" w:hAnsi="Arial"/>
          <w:sz w:val="17"/>
          <w:szCs w:val="17"/>
          <w:color w:val="auto"/>
        </w:rPr>
      </w:pPr>
    </w:p>
    <w:p>
      <w:pPr>
        <w:ind w:left="1760" w:right="220" w:hanging="320"/>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5" w:lineRule="exact"/>
        <w:rPr>
          <w:rFonts w:ascii="Arial" w:cs="Arial" w:eastAsia="Arial" w:hAnsi="Arial"/>
          <w:sz w:val="18"/>
          <w:szCs w:val="18"/>
          <w:color w:val="auto"/>
        </w:rPr>
      </w:pPr>
    </w:p>
    <w:p>
      <w:pPr>
        <w:ind w:left="1760" w:right="320" w:hanging="320"/>
        <w:spacing w:after="0" w:line="264" w:lineRule="auto"/>
        <w:tabs>
          <w:tab w:leader="none" w:pos="1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980" w:right="120" w:hanging="486"/>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60" w:right="160" w:hanging="320"/>
        <w:spacing w:after="0" w:line="342" w:lineRule="auto"/>
        <w:tabs>
          <w:tab w:leader="none" w:pos="17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760" w:right="460" w:hanging="320"/>
        <w:spacing w:after="0" w:line="277" w:lineRule="auto"/>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C. Spiegel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Senior Vice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Finance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Jue 30, 2012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235" w:lineRule="exact"/>
        <w:rPr>
          <w:sz w:val="20"/>
          <w:szCs w:val="20"/>
          <w:color w:val="auto"/>
        </w:rPr>
      </w:pPr>
    </w:p>
    <w:p>
      <w:pPr>
        <w:ind w:left="980" w:hanging="486"/>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80" w:right="780" w:hanging="486"/>
        <w:spacing w:after="0" w:line="261"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A. Amster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3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ind w:right="200" w:firstLine="486"/>
        <w:spacing w:after="0" w:line="312" w:lineRule="auto"/>
        <w:rPr>
          <w:sz w:val="20"/>
          <w:szCs w:val="20"/>
          <w:color w:val="auto"/>
        </w:rPr>
      </w:pPr>
      <w:r>
        <w:rPr>
          <w:rFonts w:ascii="Arial" w:cs="Arial" w:eastAsia="Arial" w:hAnsi="Arial"/>
          <w:sz w:val="16"/>
          <w:szCs w:val="16"/>
          <w:color w:val="auto"/>
        </w:rPr>
        <w:t>In connection with the Quarterly Report on Form 10-Q for the fiscal quarter ended June 30, 2012 of RPX Corporation (the “Company”) as filed with the Securities and Exchange Commission on the date hereof (the “Report”), I, Adam C. Spiegel, Chief Financial Officer and Senior Vice President, Finance of the Company, certify, pursuant to 18 U.S.C. Section 1350, as adopted pursuant to Section 906 of the Sarbanes-Oxley Act of 2002, that:</w:t>
      </w:r>
    </w:p>
    <w:p>
      <w:pPr>
        <w:spacing w:after="0" w:line="201" w:lineRule="exact"/>
        <w:rPr>
          <w:sz w:val="20"/>
          <w:szCs w:val="20"/>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80" w:right="780" w:hanging="486"/>
        <w:spacing w:after="0" w:line="261"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2012</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C. Spiegel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Senior Vice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Finance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8"/>
    </w:lvl>
  </w:abstractNum>
  <w:abstractNum w:abstractNumId="9">
    <w:nsid w:val="62BBD95A"/>
    <w:multiLevelType w:val="hybridMultilevel"/>
    <w:lvl w:ilvl="0">
      <w:lvlJc w:val="left"/>
      <w:lvlText w:val="%1."/>
      <w:numFmt w:val="decimal"/>
      <w:start w:val="10"/>
    </w:lvl>
  </w:abstractNum>
  <w:abstractNum w:abstractNumId="10">
    <w:nsid w:val="436C6125"/>
    <w:multiLevelType w:val="hybridMultilevel"/>
    <w:lvl w:ilvl="0">
      <w:lvlJc w:val="left"/>
      <w:lvlText w:val="%1."/>
      <w:numFmt w:val="decimal"/>
      <w:start w:val="12"/>
    </w:lvl>
  </w:abstractNum>
  <w:abstractNum w:abstractNumId="11">
    <w:nsid w:val="628C895D"/>
    <w:multiLevelType w:val="hybridMultilevel"/>
    <w:lvl w:ilvl="0">
      <w:lvlJc w:val="left"/>
      <w:lvlText w:val="%1."/>
      <w:numFmt w:val="decimal"/>
      <w:start w:val="13"/>
    </w:lvl>
  </w:abstractNum>
  <w:abstractNum w:abstractNumId="12">
    <w:nsid w:val="333AB105"/>
    <w:multiLevelType w:val="hybridMultilevel"/>
    <w:lvl w:ilvl="0">
      <w:lvlJc w:val="left"/>
      <w:lvlText w:val="%1."/>
      <w:numFmt w:val="decimal"/>
      <w:start w:val="14"/>
    </w:lvl>
  </w:abstractNum>
  <w:abstractNum w:abstractNumId="13">
    <w:nsid w:val="721DA317"/>
    <w:multiLevelType w:val="hybridMultilevel"/>
    <w:lvl w:ilvl="0">
      <w:lvlJc w:val="left"/>
      <w:lvlText w:val="%1."/>
      <w:numFmt w:val="decimal"/>
      <w:start w:val="15"/>
    </w:lvl>
  </w:abstractNum>
  <w:abstractNum w:abstractNumId="14">
    <w:nsid w:val="2443A858"/>
    <w:multiLevelType w:val="hybridMultilevel"/>
    <w:lvl w:ilvl="0">
      <w:lvlJc w:val="left"/>
      <w:lvlText w:val="%1."/>
      <w:numFmt w:val="decimal"/>
      <w:start w:val="16"/>
    </w:lvl>
  </w:abstractNum>
  <w:abstractNum w:abstractNumId="15">
    <w:nsid w:val="2D1D5AE9"/>
    <w:multiLevelType w:val="hybridMultilevel"/>
    <w:lvl w:ilvl="0">
      <w:lvlJc w:val="left"/>
      <w:lvlText w:val="%1."/>
      <w:numFmt w:val="decimal"/>
      <w:start w:val="17"/>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4"/>
    </w:lvl>
  </w:abstractNum>
  <w:abstractNum w:abstractNumId="27">
    <w:nsid w:val="2901D82"/>
    <w:multiLevelType w:val="hybridMultilevel"/>
    <w:lvl w:ilvl="0">
      <w:lvlJc w:val="left"/>
      <w:lvlText w:val="%1"/>
      <w:numFmt w:val="decimal"/>
      <w:start w:val="1"/>
    </w:lvl>
    <w:lvl w:ilvl="1">
      <w:lvlJc w:val="left"/>
      <w:lvlText w:val="(%2)"/>
      <w:numFmt w:val="lowerLetter"/>
      <w:start w:val="3"/>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2019-12-09T19:27:40Z</dcterms:created>
  <dcterms:modified xsi:type="dcterms:W3CDTF">2019-12-09T19:27:40Z</dcterms:modified>
</cp:coreProperties>
</file>