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12"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w:t>
      </w:r>
    </w:p>
    <w:p>
      <w:pPr>
        <w:spacing w:after="0" w:line="4"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x </w:t>
      </w:r>
      <w:r>
        <w:rPr>
          <w:rFonts w:ascii="Arial" w:cs="Arial" w:eastAsia="Arial" w:hAnsi="Arial"/>
          <w:sz w:val="21"/>
          <w:szCs w:val="21"/>
          <w:b w:val="1"/>
          <w:bCs w:val="1"/>
          <w:color w:val="auto"/>
        </w:rPr>
        <w:t>ANNUAL REPORT PURSUANT TO SECTION 13 OR 15(d) OF THE SECURITIES EXCHANGE ACT OF 1934 FOR</w:t>
      </w:r>
    </w:p>
    <w:p>
      <w:pPr>
        <w:spacing w:after="0" w:line="1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THE FISCAL YEAR ENDED DECEMBER 31, 2012</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ind w:left="260" w:hanging="252"/>
        <w:spacing w:after="0" w:line="205" w:lineRule="auto"/>
        <w:tabs>
          <w:tab w:leader="none" w:pos="260" w:val="left"/>
        </w:tabs>
        <w:numPr>
          <w:ilvl w:val="0"/>
          <w:numId w:val="1"/>
        </w:numPr>
        <w:rPr>
          <w:rFonts w:ascii="MS PGothic" w:cs="MS PGothic" w:eastAsia="MS PGothic" w:hAnsi="MS PGothic"/>
          <w:sz w:val="3"/>
          <w:szCs w:val="3"/>
          <w:color w:val="auto"/>
        </w:rPr>
      </w:pPr>
      <w:r>
        <w:rPr>
          <w:rFonts w:ascii="Arial" w:cs="Arial" w:eastAsia="Arial" w:hAnsi="Arial"/>
          <w:sz w:val="3"/>
          <w:szCs w:val="3"/>
          <w:b w:val="1"/>
          <w:bCs w:val="1"/>
          <w:color w:val="auto"/>
        </w:rPr>
        <w:t>TRANSITION REPORT PURSUANT TO SECTION 13 OR 15(d) OF THE SECURITIES EXCHANGE ACT OF 1934</w:t>
      </w:r>
    </w:p>
    <w:p>
      <w:pPr>
        <w:spacing w:after="0" w:line="241" w:lineRule="exact"/>
        <w:rPr>
          <w:sz w:val="24"/>
          <w:szCs w:val="24"/>
          <w:color w:val="auto"/>
        </w:rPr>
      </w:pPr>
    </w:p>
    <w:p>
      <w:pPr>
        <w:spacing w:after="0"/>
        <w:tabs>
          <w:tab w:leader="none" w:pos="46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22"/>
          <w:szCs w:val="22"/>
          <w:b w:val="1"/>
          <w:bCs w:val="1"/>
          <w:color w:val="auto"/>
        </w:rPr>
        <w:t>TO</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Commission File Number: 001-35146</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t>
      </w:r>
    </w:p>
    <w:p>
      <w:pPr>
        <w:spacing w:after="0" w:line="5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RPX Corporation</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1340"/>
          </w:cols>
          <w:pgMar w:left="240" w:top="233" w:right="319" w:bottom="1440" w:gutter="0" w:footer="0" w:header="0"/>
        </w:sectPr>
      </w:pPr>
    </w:p>
    <w:p>
      <w:pPr>
        <w:spacing w:after="0" w:line="1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26-2990113</w:t>
      </w:r>
    </w:p>
    <w:p>
      <w:pPr>
        <w:spacing w:after="0" w:line="31" w:lineRule="exact"/>
        <w:rPr>
          <w:sz w:val="24"/>
          <w:szCs w:val="24"/>
          <w:color w:val="auto"/>
        </w:rPr>
      </w:pPr>
    </w:p>
    <w:p>
      <w:pPr>
        <w:sectPr>
          <w:pgSz w:w="11900" w:h="16838" w:orient="portrait"/>
          <w:cols w:equalWidth="0" w:num="2">
            <w:col w:w="7420" w:space="720"/>
            <w:col w:w="3200"/>
          </w:cols>
          <w:pgMar w:left="240" w:top="233" w:right="319" w:bottom="1440" w:gutter="0" w:footer="0" w:header="0"/>
          <w:type w:val="continuous"/>
        </w:sectPr>
      </w:pPr>
    </w:p>
    <w:p>
      <w:pPr>
        <w:spacing w:after="0" w:line="12" w:lineRule="exact"/>
        <w:rPr>
          <w:sz w:val="24"/>
          <w:szCs w:val="24"/>
          <w:color w:val="auto"/>
        </w:rPr>
      </w:pPr>
    </w:p>
    <w:p>
      <w:pPr>
        <w:ind w:left="1940"/>
        <w:spacing w:after="0"/>
        <w:rPr>
          <w:sz w:val="20"/>
          <w:szCs w:val="20"/>
          <w:color w:val="auto"/>
        </w:rPr>
      </w:pPr>
      <w:r>
        <w:rPr>
          <w:rFonts w:ascii="Arial" w:cs="Arial" w:eastAsia="Arial" w:hAnsi="Arial"/>
          <w:sz w:val="13"/>
          <w:szCs w:val="13"/>
          <w:b w:val="1"/>
          <w:bCs w:val="1"/>
          <w:color w:val="auto"/>
        </w:rPr>
        <w:t>(State or Other Jurisdiction of</w:t>
      </w:r>
    </w:p>
    <w:p>
      <w:pPr>
        <w:ind w:left="19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82" w:lineRule="exact"/>
        <w:rPr>
          <w:sz w:val="24"/>
          <w:szCs w:val="24"/>
          <w:color w:val="auto"/>
        </w:rPr>
      </w:pPr>
    </w:p>
    <w:p>
      <w:pPr>
        <w:sectPr>
          <w:pgSz w:w="11900" w:h="16838" w:orient="portrait"/>
          <w:cols w:equalWidth="0" w:num="2">
            <w:col w:w="7280" w:space="720"/>
            <w:col w:w="3340"/>
          </w:cols>
          <w:pgMar w:left="240" w:top="233" w:right="31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ONE MARKET PLAZA SUITE 800</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(Address of Principal Executive Offices and Zip Code)</w:t>
      </w:r>
    </w:p>
    <w:p>
      <w:pPr>
        <w:sectPr>
          <w:pgSz w:w="11900" w:h="16838" w:orient="portrait"/>
          <w:cols w:equalWidth="0" w:num="1">
            <w:col w:w="11340"/>
          </w:cols>
          <w:pgMar w:left="240" w:top="233" w:right="319" w:bottom="1440" w:gutter="0" w:footer="0" w:header="0"/>
          <w:type w:val="continuous"/>
        </w:sectPr>
      </w:pPr>
    </w:p>
    <w:p>
      <w:pPr>
        <w:spacing w:after="0" w:line="7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Registrant’s Telephone Number, Including Area Code: (866) 779-7641</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t>
      </w:r>
    </w:p>
    <w:p>
      <w:pPr>
        <w:spacing w:after="0" w:line="14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40"/>
          </w:cols>
          <w:pgMar w:left="240" w:top="233" w:right="319" w:bottom="1440" w:gutter="0" w:footer="0" w:header="0"/>
          <w:type w:val="continuous"/>
        </w:sectPr>
      </w:pPr>
    </w:p>
    <w:p>
      <w:pPr>
        <w:spacing w:after="0" w:line="200" w:lineRule="exact"/>
        <w:rPr>
          <w:sz w:val="24"/>
          <w:szCs w:val="24"/>
          <w:color w:val="auto"/>
        </w:rPr>
      </w:pPr>
    </w:p>
    <w:p>
      <w:pPr>
        <w:spacing w:after="0" w:line="291" w:lineRule="exact"/>
        <w:rPr>
          <w:sz w:val="24"/>
          <w:szCs w:val="24"/>
          <w:color w:val="auto"/>
        </w:rPr>
      </w:pPr>
    </w:p>
    <w:p>
      <w:pPr>
        <w:ind w:left="232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8" w:lineRule="exact"/>
        <w:rPr>
          <w:sz w:val="24"/>
          <w:szCs w:val="24"/>
          <w:color w:val="auto"/>
        </w:rPr>
      </w:pPr>
    </w:p>
    <w:p>
      <w:pPr>
        <w:sectPr>
          <w:pgSz w:w="11900" w:h="16838" w:orient="portrait"/>
          <w:cols w:equalWidth="0" w:num="2">
            <w:col w:w="6500" w:space="720"/>
            <w:col w:w="4120"/>
          </w:cols>
          <w:pgMar w:left="240" w:top="233" w:right="319" w:bottom="1440" w:gutter="0" w:footer="0" w:header="0"/>
          <w:type w:val="continuous"/>
        </w:sectPr>
      </w:pPr>
    </w:p>
    <w:p>
      <w:pPr>
        <w:ind w:left="3480" w:right="1400" w:hanging="1912"/>
        <w:spacing w:after="0" w:line="337" w:lineRule="auto"/>
        <w:rPr>
          <w:sz w:val="20"/>
          <w:szCs w:val="20"/>
          <w:color w:val="auto"/>
        </w:rPr>
      </w:pPr>
      <w:r>
        <w:rPr>
          <w:rFonts w:ascii="Arial" w:cs="Arial" w:eastAsia="Arial" w:hAnsi="Arial"/>
          <w:sz w:val="18"/>
          <w:szCs w:val="18"/>
          <w:b w:val="1"/>
          <w:bCs w:val="1"/>
          <w:color w:val="auto"/>
        </w:rPr>
        <w:t>Common Stock, $0.0001 Par Value</w:t>
      </w:r>
      <w:r>
        <w:rPr>
          <w:sz w:val="20"/>
          <w:szCs w:val="20"/>
          <w:color w:val="auto"/>
        </w:rPr>
        <w:t xml:space="preserve"> </w:t>
      </w:r>
      <w:r>
        <w:rPr>
          <w:rFonts w:ascii="Arial" w:cs="Arial" w:eastAsia="Arial" w:hAnsi="Arial"/>
          <w:sz w:val="18"/>
          <w:szCs w:val="18"/>
          <w:b w:val="1"/>
          <w:bCs w:val="1"/>
          <w:color w:val="auto"/>
        </w:rPr>
        <w:t>The NASDAQ Stock Market LLC Securities Registered Pursuant to Section 12(g) of the Act: None</w:t>
      </w:r>
    </w:p>
    <w:p>
      <w:pPr>
        <w:spacing w:after="0" w:line="16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1340"/>
          </w:cols>
          <w:pgMar w:left="240" w:top="233" w:right="31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YES</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2"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0" w:lineRule="exact"/>
        <w:rPr>
          <w:sz w:val="24"/>
          <w:szCs w:val="24"/>
          <w:color w:val="auto"/>
        </w:rPr>
      </w:pPr>
    </w:p>
    <w:p>
      <w:pPr>
        <w:sectPr>
          <w:pgSz w:w="11900" w:h="16838" w:orient="portrait"/>
          <w:cols w:equalWidth="0" w:num="4">
            <w:col w:w="7620" w:space="160"/>
            <w:col w:w="300" w:space="80"/>
            <w:col w:w="140" w:space="180"/>
            <w:col w:w="2860"/>
          </w:cols>
          <w:pgMar w:left="240" w:top="233" w:right="31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sectPr>
          <w:pgSz w:w="11900" w:h="16838" w:orient="portrait"/>
          <w:cols w:equalWidth="0" w:num="4">
            <w:col w:w="7760" w:space="160"/>
            <w:col w:w="300" w:space="80"/>
            <w:col w:w="160" w:space="160"/>
            <w:col w:w="2720"/>
          </w:cols>
          <w:pgMar w:left="240" w:top="233" w:right="319" w:bottom="1440" w:gutter="0" w:footer="0" w:header="0"/>
          <w:type w:val="continuous"/>
        </w:sectPr>
      </w:pPr>
    </w:p>
    <w:p>
      <w:pPr>
        <w:ind w:right="10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8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60"/>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32"/>
        <w:spacing w:after="0" w:line="184" w:lineRule="exact"/>
        <w:tabs>
          <w:tab w:leader="none" w:pos="240" w:val="left"/>
        </w:tabs>
        <w:numPr>
          <w:ilvl w:val="0"/>
          <w:numId w:val="2"/>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51" w:lineRule="exact"/>
        <w:rPr>
          <w:sz w:val="24"/>
          <w:szCs w:val="24"/>
          <w:color w:val="auto"/>
        </w:rPr>
      </w:pPr>
    </w:p>
    <w:p>
      <w:pPr>
        <w:ind w:right="26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132" w:lineRule="exact"/>
        <w:rPr>
          <w:sz w:val="24"/>
          <w:szCs w:val="24"/>
          <w:color w:val="auto"/>
        </w:rPr>
      </w:pPr>
    </w:p>
    <w:p>
      <w:pPr>
        <w:ind w:left="18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98" w:lineRule="exact"/>
        <w:rPr>
          <w:sz w:val="24"/>
          <w:szCs w:val="24"/>
          <w:color w:val="auto"/>
        </w:rPr>
      </w:pPr>
    </w:p>
    <w:p>
      <w:pPr>
        <w:sectPr>
          <w:pgSz w:w="11900" w:h="16838" w:orient="portrait"/>
          <w:cols w:equalWidth="0" w:num="4">
            <w:col w:w="2260" w:space="720"/>
            <w:col w:w="4720" w:space="720"/>
            <w:col w:w="1840" w:space="720"/>
            <w:col w:w="360"/>
          </w:cols>
          <w:pgMar w:left="240" w:top="233" w:right="319" w:bottom="1440" w:gutter="0" w:footer="0" w:header="0"/>
          <w:type w:val="continuous"/>
        </w:sectPr>
      </w:pPr>
    </w:p>
    <w:p>
      <w:pPr>
        <w:spacing w:after="0" w:line="50" w:lineRule="exact"/>
        <w:rPr>
          <w:sz w:val="24"/>
          <w:szCs w:val="24"/>
          <w:color w:val="auto"/>
        </w:rPr>
      </w:pPr>
    </w:p>
    <w:p>
      <w:pPr>
        <w:ind w:left="18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4" w:lineRule="exact"/>
        <w:rPr>
          <w:sz w:val="24"/>
          <w:szCs w:val="24"/>
          <w:color w:val="auto"/>
        </w:rPr>
      </w:pPr>
    </w:p>
    <w:p>
      <w:pPr>
        <w:sectPr>
          <w:pgSz w:w="11900" w:h="16838" w:orient="portrait"/>
          <w:cols w:equalWidth="0" w:num="5">
            <w:col w:w="2280" w:space="720"/>
            <w:col w:w="140" w:space="40"/>
            <w:col w:w="4520" w:space="720"/>
            <w:col w:w="1840" w:space="720"/>
            <w:col w:w="360"/>
          </w:cols>
          <w:pgMar w:left="240" w:top="233" w:right="319" w:bottom="1440" w:gutter="0" w:footer="0" w:header="0"/>
          <w:type w:val="continuous"/>
        </w:sectPr>
      </w:pPr>
    </w:p>
    <w:p>
      <w:pPr>
        <w:spacing w:after="0" w:line="184" w:lineRule="exact"/>
        <w:tabs>
          <w:tab w:leader="none" w:pos="68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3">
            <w:col w:w="7380" w:space="160"/>
            <w:col w:w="240" w:space="80"/>
            <w:col w:w="348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4"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The aggregate market value of the common stock held by non-affiliates of the registrant was $337.1 million as of June 30, 2012, which is the last business day of the registrant’s most recently completed second fiscal quarter, based upon the closing sale price on The NASDAQ Global Select Market reported for such date. Shares of common stock held by each officer and director and by each person that owned 5 percent or more of the Registrant</w:t>
      </w:r>
      <w:r>
        <w:rPr>
          <w:rFonts w:ascii="Arial" w:cs="Arial" w:eastAsia="Arial" w:hAnsi="Arial"/>
          <w:sz w:val="17"/>
          <w:szCs w:val="17"/>
          <w:color w:val="auto"/>
        </w:rPr>
        <w:t>’</w:t>
      </w:r>
      <w:r>
        <w:rPr>
          <w:rFonts w:ascii="Arial" w:cs="Arial" w:eastAsia="Arial" w:hAnsi="Arial"/>
          <w:sz w:val="15"/>
          <w:szCs w:val="15"/>
          <w:color w:val="auto"/>
        </w:rPr>
        <w:t>s outstanding Common Stock were excluded due to the fact that such persons may be deemed to be affiliates. This determination of affiliate status is not necessarily a conclusive determination for other purposes.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There were 51,464,676 shares of the registrant’s common stock issued and outstanding as of February 28, 2013.</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Portions of the Definitive Proxy Statement for registrant’s Annual Meeting of Stockholders (the “Proxy Statement”), are incorporated by reference in Part III of this Form 10-K to the extent stated herein. The Proxy Statement will be filed within 120 days of the registrant’s fiscal year ended December 31, 2012.</w:t>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80" w:type="dxa"/>
            <w:vAlign w:val="bottom"/>
            <w:gridSpan w:val="10"/>
          </w:tcPr>
          <w:p>
            <w:pPr>
              <w:ind w:left="82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3"/>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FF"/>
            </w:tcBorders>
            <w:gridSpan w:val="2"/>
          </w:tcPr>
          <w:p>
            <w:pPr>
              <w:spacing w:after="0" w:line="170"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w:t>
              </w:r>
            </w:hyperlink>
          </w:p>
        </w:tc>
        <w:tc>
          <w:tcPr>
            <w:tcW w:w="38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1"/>
        </w:trPr>
        <w:tc>
          <w:tcPr>
            <w:tcW w:w="1040" w:type="dxa"/>
            <w:vAlign w:val="bottom"/>
            <w:gridSpan w:val="4"/>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8900" w:type="dxa"/>
            <w:vAlign w:val="bottom"/>
            <w:gridSpan w:val="20"/>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4"/>
          </w:tcPr>
          <w:p>
            <w:pPr>
              <w:spacing w:after="0"/>
              <w:rPr>
                <w:rFonts w:ascii="Arial" w:cs="Arial" w:eastAsia="Arial" w:hAnsi="Arial"/>
                <w:sz w:val="18"/>
                <w:szCs w:val="18"/>
                <w:color w:val="0000FF"/>
                <w:w w:val="87"/>
              </w:rPr>
            </w:pPr>
            <w:hyperlink w:anchor="page11">
              <w:r>
                <w:rPr>
                  <w:rFonts w:ascii="Arial" w:cs="Arial" w:eastAsia="Arial" w:hAnsi="Arial"/>
                  <w:sz w:val="18"/>
                  <w:szCs w:val="18"/>
                  <w:color w:val="0000FF"/>
                  <w:w w:val="87"/>
                </w:rPr>
                <w:t>Risk Factors</w:t>
              </w:r>
            </w:hyperlink>
          </w:p>
        </w:tc>
        <w:tc>
          <w:tcPr>
            <w:tcW w:w="8640" w:type="dxa"/>
            <w:vAlign w:val="bottom"/>
            <w:gridSpan w:val="17"/>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1B.</w:t>
            </w:r>
          </w:p>
        </w:tc>
        <w:tc>
          <w:tcPr>
            <w:tcW w:w="9540" w:type="dxa"/>
            <w:vAlign w:val="bottom"/>
            <w:gridSpan w:val="21"/>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Unresolved Staff Comments</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20</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Properties</w:t>
              </w:r>
            </w:hyperlink>
          </w:p>
        </w:tc>
        <w:tc>
          <w:tcPr>
            <w:tcW w:w="7500" w:type="dxa"/>
            <w:vAlign w:val="bottom"/>
            <w:gridSpan w:val="1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20</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21"/>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Legal Proceedings</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20</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21"/>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Mine Safety Disclosures</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20</w:t>
              </w:r>
            </w:hyperlink>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rPr>
                <w:rFonts w:ascii="Arial" w:cs="Arial" w:eastAsia="Arial" w:hAnsi="Arial"/>
                <w:sz w:val="18"/>
                <w:szCs w:val="18"/>
                <w:b w:val="1"/>
                <w:bCs w:val="1"/>
                <w:color w:val="0000FF"/>
                <w:w w:val="99"/>
              </w:rPr>
            </w:pPr>
            <w:hyperlink w:anchor="page24">
              <w:r>
                <w:rPr>
                  <w:rFonts w:ascii="Arial" w:cs="Arial" w:eastAsia="Arial" w:hAnsi="Arial"/>
                  <w:sz w:val="18"/>
                  <w:szCs w:val="18"/>
                  <w:b w:val="1"/>
                  <w:bCs w:val="1"/>
                  <w:color w:val="0000FF"/>
                  <w:w w:val="99"/>
                </w:rPr>
                <w:t>PART II</w:t>
              </w:r>
            </w:hyperlink>
          </w:p>
        </w:tc>
        <w:tc>
          <w:tcPr>
            <w:tcW w:w="380" w:type="dxa"/>
            <w:vAlign w:val="bottom"/>
            <w:gridSpan w:val="2"/>
            <w:vMerge w:val="restart"/>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660" w:type="dxa"/>
            <w:vAlign w:val="bottom"/>
            <w:gridSpan w:val="2"/>
            <w:vMerge w:val="continue"/>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6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380" w:type="dxa"/>
            <w:vAlign w:val="bottom"/>
            <w:gridSpan w:val="2"/>
          </w:tcPr>
          <w:p>
            <w:pPr>
              <w:spacing w:after="0"/>
              <w:rPr>
                <w:sz w:val="24"/>
                <w:szCs w:val="24"/>
                <w:color w:val="auto"/>
              </w:rPr>
            </w:pPr>
          </w:p>
        </w:tc>
        <w:tc>
          <w:tcPr>
            <w:tcW w:w="8080" w:type="dxa"/>
            <w:vAlign w:val="bottom"/>
            <w:gridSpan w:val="20"/>
          </w:tcPr>
          <w:p>
            <w:pPr>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Market for Registrant’s Common Equity, Related Stockholder Matters and Issuer Purchases of Equity Securities</w:t>
              </w:r>
            </w:hyperlink>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6.</w:t>
            </w:r>
          </w:p>
        </w:tc>
        <w:tc>
          <w:tcPr>
            <w:tcW w:w="2700" w:type="dxa"/>
            <w:vAlign w:val="bottom"/>
            <w:gridSpan w:val="10"/>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Selected Consolidated Financial Data</w:t>
              </w:r>
            </w:hyperlink>
          </w:p>
        </w:tc>
        <w:tc>
          <w:tcPr>
            <w:tcW w:w="5380" w:type="dxa"/>
            <w:vAlign w:val="bottom"/>
            <w:gridSpan w:val="10"/>
          </w:tcPr>
          <w:p>
            <w:pPr>
              <w:spacing w:after="0"/>
              <w:rPr>
                <w:sz w:val="21"/>
                <w:szCs w:val="21"/>
                <w:color w:val="auto"/>
              </w:rPr>
            </w:pPr>
          </w:p>
        </w:tc>
        <w:tc>
          <w:tcPr>
            <w:tcW w:w="146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22</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7"/>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Management’s Discussion and Analysis of Financial Condition and Results of Operations</w:t>
              </w:r>
            </w:hyperlink>
          </w:p>
        </w:tc>
        <w:tc>
          <w:tcPr>
            <w:tcW w:w="3080" w:type="dxa"/>
            <w:vAlign w:val="bottom"/>
            <w:gridSpan w:val="4"/>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7"/>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3080" w:type="dxa"/>
            <w:vAlign w:val="bottom"/>
            <w:gridSpan w:val="4"/>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8.</w:t>
            </w:r>
          </w:p>
        </w:tc>
        <w:tc>
          <w:tcPr>
            <w:tcW w:w="4320" w:type="dxa"/>
            <w:vAlign w:val="bottom"/>
            <w:gridSpan w:val="15"/>
          </w:tcPr>
          <w:p>
            <w:pP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Consolidated Financial Statements and Supplementary Data</w:t>
              </w:r>
            </w:hyperlink>
          </w:p>
        </w:tc>
        <w:tc>
          <w:tcPr>
            <w:tcW w:w="5220" w:type="dxa"/>
            <w:vAlign w:val="bottom"/>
            <w:gridSpan w:val="6"/>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18"/>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Changes in and Disagreements with Accountants on Accounting and Financial Disclosure</w:t>
              </w:r>
            </w:hyperlink>
          </w:p>
        </w:tc>
        <w:tc>
          <w:tcPr>
            <w:tcW w:w="3060" w:type="dxa"/>
            <w:vAlign w:val="bottom"/>
            <w:gridSpan w:val="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63</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8"/>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Controls and Procedures</w:t>
              </w:r>
            </w:hyperlink>
          </w:p>
        </w:tc>
        <w:tc>
          <w:tcPr>
            <w:tcW w:w="3060" w:type="dxa"/>
            <w:vAlign w:val="bottom"/>
            <w:gridSpan w:val="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63</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Other Information</w:t>
              </w:r>
            </w:hyperlink>
          </w:p>
        </w:tc>
        <w:tc>
          <w:tcPr>
            <w:tcW w:w="7780" w:type="dxa"/>
            <w:vAlign w:val="bottom"/>
            <w:gridSpan w:val="14"/>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spacing w:after="0"/>
              <w:rPr>
                <w:rFonts w:ascii="Arial" w:cs="Arial" w:eastAsia="Arial" w:hAnsi="Arial"/>
                <w:sz w:val="18"/>
                <w:szCs w:val="18"/>
                <w:b w:val="1"/>
                <w:bCs w:val="1"/>
                <w:color w:val="0000FF"/>
                <w:w w:val="95"/>
              </w:rPr>
            </w:pPr>
            <w:hyperlink w:anchor="page67">
              <w:r>
                <w:rPr>
                  <w:rFonts w:ascii="Arial" w:cs="Arial" w:eastAsia="Arial" w:hAnsi="Arial"/>
                  <w:sz w:val="18"/>
                  <w:szCs w:val="18"/>
                  <w:b w:val="1"/>
                  <w:bCs w:val="1"/>
                  <w:color w:val="0000FF"/>
                  <w:w w:val="95"/>
                </w:rPr>
                <w:t>PART III</w:t>
              </w:r>
            </w:hyperlink>
          </w:p>
        </w:tc>
        <w:tc>
          <w:tcPr>
            <w:tcW w:w="340" w:type="dxa"/>
            <w:vAlign w:val="bottom"/>
            <w:vMerge w:val="restart"/>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0" w:type="dxa"/>
            <w:vAlign w:val="bottom"/>
            <w:gridSpan w:val="3"/>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340" w:type="dxa"/>
            <w:vAlign w:val="bottom"/>
          </w:tcPr>
          <w:p>
            <w:pPr>
              <w:spacing w:after="0"/>
              <w:rPr>
                <w:sz w:val="24"/>
                <w:szCs w:val="24"/>
                <w:color w:val="auto"/>
              </w:rPr>
            </w:pPr>
          </w:p>
        </w:tc>
        <w:tc>
          <w:tcPr>
            <w:tcW w:w="9540" w:type="dxa"/>
            <w:vAlign w:val="bottom"/>
            <w:gridSpan w:val="21"/>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Directors, Executive Officers and Corporate Governance</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Executive Compensation</w:t>
              </w:r>
            </w:hyperlink>
          </w:p>
        </w:tc>
        <w:tc>
          <w:tcPr>
            <w:tcW w:w="2280" w:type="dxa"/>
            <w:vAlign w:val="bottom"/>
            <w:gridSpan w:val="4"/>
          </w:tcPr>
          <w:p>
            <w:pPr>
              <w:spacing w:after="0"/>
              <w:rPr>
                <w:sz w:val="21"/>
                <w:szCs w:val="21"/>
                <w:color w:val="auto"/>
              </w:rPr>
            </w:pPr>
          </w:p>
        </w:tc>
        <w:tc>
          <w:tcPr>
            <w:tcW w:w="546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9540" w:type="dxa"/>
            <w:vAlign w:val="bottom"/>
            <w:gridSpan w:val="21"/>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Security Ownership of Certain Beneficial Owners and Management and Related Stockholder Matters</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700" w:type="dxa"/>
            <w:vAlign w:val="bottom"/>
            <w:gridSpan w:val="6"/>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9"/>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Certain Relationships and Related Transactions, and Director Independence</w:t>
              </w:r>
            </w:hyperlink>
          </w:p>
        </w:tc>
        <w:tc>
          <w:tcPr>
            <w:tcW w:w="226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700" w:type="dxa"/>
            <w:vAlign w:val="bottom"/>
            <w:gridSpan w:val="6"/>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6"/>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Principal Accounting Fees and Services</w:t>
              </w:r>
            </w:hyperlink>
          </w:p>
        </w:tc>
        <w:tc>
          <w:tcPr>
            <w:tcW w:w="41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20"/>
        </w:trPr>
        <w:tc>
          <w:tcPr>
            <w:tcW w:w="1040" w:type="dxa"/>
            <w:vAlign w:val="bottom"/>
            <w:gridSpan w:val="4"/>
            <w:vMerge w:val="restart"/>
          </w:tcPr>
          <w:p>
            <w:pPr>
              <w:spacing w:after="0"/>
              <w:rPr>
                <w:rFonts w:ascii="Arial" w:cs="Arial" w:eastAsia="Arial" w:hAnsi="Arial"/>
                <w:sz w:val="18"/>
                <w:szCs w:val="18"/>
                <w:b w:val="1"/>
                <w:bCs w:val="1"/>
                <w:color w:val="0000FF"/>
              </w:rPr>
            </w:pPr>
            <w:hyperlink w:anchor="page68">
              <w:r>
                <w:rPr>
                  <w:rFonts w:ascii="Arial" w:cs="Arial" w:eastAsia="Arial" w:hAnsi="Arial"/>
                  <w:sz w:val="18"/>
                  <w:szCs w:val="18"/>
                  <w:b w:val="1"/>
                  <w:bCs w:val="1"/>
                  <w:color w:val="0000FF"/>
                </w:rPr>
                <w:t>PART IV</w:t>
              </w:r>
            </w:hyperlink>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65</w:t>
              </w:r>
            </w:hyperlink>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340" w:type="dxa"/>
            <w:vAlign w:val="bottom"/>
          </w:tcPr>
          <w:p>
            <w:pPr>
              <w:spacing w:after="0"/>
              <w:rPr>
                <w:sz w:val="24"/>
                <w:szCs w:val="24"/>
                <w:color w:val="auto"/>
              </w:rPr>
            </w:pPr>
          </w:p>
        </w:tc>
        <w:tc>
          <w:tcPr>
            <w:tcW w:w="9540" w:type="dxa"/>
            <w:vAlign w:val="bottom"/>
            <w:gridSpan w:val="21"/>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Exhibits and Consolidated Financial Statement Schedules</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65</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980" w:type="dxa"/>
            <w:vAlign w:val="bottom"/>
            <w:gridSpan w:val="8"/>
            <w:shd w:val="clear" w:color="auto" w:fill="0000FF"/>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5"/>
          </w:tcPr>
          <w:p>
            <w:pPr>
              <w:spacing w:after="0"/>
              <w:rPr>
                <w:rFonts w:ascii="Arial" w:cs="Arial" w:eastAsia="Arial" w:hAnsi="Arial"/>
                <w:sz w:val="18"/>
                <w:szCs w:val="18"/>
                <w:b w:val="1"/>
                <w:bCs w:val="1"/>
                <w:color w:val="0000FF"/>
                <w:w w:val="96"/>
              </w:rPr>
            </w:pPr>
            <w:hyperlink w:anchor="page69">
              <w:r>
                <w:rPr>
                  <w:rFonts w:ascii="Arial" w:cs="Arial" w:eastAsia="Arial" w:hAnsi="Arial"/>
                  <w:sz w:val="18"/>
                  <w:szCs w:val="18"/>
                  <w:b w:val="1"/>
                  <w:bCs w:val="1"/>
                  <w:color w:val="0000FF"/>
                  <w:w w:val="96"/>
                </w:rPr>
                <w:t>SIGNATURES</w:t>
              </w:r>
            </w:hyperlink>
          </w:p>
        </w:tc>
        <w:tc>
          <w:tcPr>
            <w:tcW w:w="2980" w:type="dxa"/>
            <w:vAlign w:val="bottom"/>
            <w:gridSpan w:val="8"/>
          </w:tcPr>
          <w:p>
            <w:pPr>
              <w:spacing w:after="0"/>
              <w:rPr>
                <w:sz w:val="21"/>
                <w:szCs w:val="21"/>
                <w:color w:val="auto"/>
              </w:rPr>
            </w:pPr>
          </w:p>
        </w:tc>
        <w:tc>
          <w:tcPr>
            <w:tcW w:w="5400" w:type="dxa"/>
            <w:vAlign w:val="bottom"/>
            <w:gridSpan w:val="8"/>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9">
              <w:r>
                <w:rPr>
                  <w:rFonts w:ascii="Arial" w:cs="Arial" w:eastAsia="Arial" w:hAnsi="Arial"/>
                  <w:sz w:val="18"/>
                  <w:szCs w:val="18"/>
                  <w:color w:val="0000FF"/>
                </w:rPr>
                <w:t>66</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38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5"/>
          </w:tcPr>
          <w:p>
            <w:pPr>
              <w:spacing w:after="0"/>
              <w:rPr>
                <w:rFonts w:ascii="Arial" w:cs="Arial" w:eastAsia="Arial" w:hAnsi="Arial"/>
                <w:sz w:val="18"/>
                <w:szCs w:val="18"/>
                <w:b w:val="1"/>
                <w:bCs w:val="1"/>
                <w:color w:val="0000FF"/>
              </w:rPr>
            </w:pPr>
            <w:hyperlink w:anchor="page70">
              <w:r>
                <w:rPr>
                  <w:rFonts w:ascii="Arial" w:cs="Arial" w:eastAsia="Arial" w:hAnsi="Arial"/>
                  <w:sz w:val="18"/>
                  <w:szCs w:val="18"/>
                  <w:b w:val="1"/>
                  <w:bCs w:val="1"/>
                  <w:color w:val="0000FF"/>
                </w:rPr>
                <w:t>EXHIBITS</w:t>
              </w:r>
            </w:hyperlink>
          </w:p>
        </w:tc>
        <w:tc>
          <w:tcPr>
            <w:tcW w:w="8380" w:type="dxa"/>
            <w:vAlign w:val="bottom"/>
            <w:gridSpan w:val="16"/>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70">
              <w:r>
                <w:rPr>
                  <w:rFonts w:ascii="Arial" w:cs="Arial" w:eastAsia="Arial" w:hAnsi="Arial"/>
                  <w:sz w:val="18"/>
                  <w:szCs w:val="18"/>
                  <w:color w:val="0000FF"/>
                </w:rPr>
                <w:t>68</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8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i w:val="1"/>
          <w:iCs w:val="1"/>
          <w:color w:val="auto"/>
        </w:rPr>
        <w:t>This Annual Report on Form 10-K contains “forward-looking statements” that involve risks and uncertainties, as well as assumptions which, if they never materialize or prove incorrect, could cause our results to differ materially from those expressed or implied by such forward-looking statements. The statements contained in this Annual Report on Form 10-K that are not purely historical are forward-looking statements within the meaning of Section 27A of the Securities Act of 1933, as amended, and Section 21E of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and benefits to our clients. These statements are based on the beliefs and assumptions of our management based on information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 Item 1A of this Annual Report on Form 10-K.</w:t>
      </w:r>
    </w:p>
    <w:p>
      <w:pPr>
        <w:spacing w:after="0" w:line="18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i w:val="1"/>
          <w:iCs w:val="1"/>
          <w:color w:val="auto"/>
        </w:rPr>
        <w:t>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RPX Corporation (together with its subsidiaries, “RPX”, “the Company”, “our”, “we” or “us”) was incorporated on July 15, 2008 in the state of Delaware. We help companies reduce patent-related risk and expense. Products and services in today’s economy increasingly incorporate innovative and complex technologies that are subject to a growing number of issued patents. As a result of this technology and patent proliferation, companies of all sizes can face significant challenges managing the risks and expenses arising from claims that their products and services infringe on patents owned by others.</w:t>
      </w:r>
    </w:p>
    <w:p>
      <w:pPr>
        <w:spacing w:after="0" w:line="154"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believe the process by which value is transferred from users to owners of patents lacks key attributes of more developed markets, such as an open exchange to execute transactions, transparent pricing information and broadly accepted standard contract terms. Because an orderly and efficient market for the exchange of patent value has yet to develop, this transfer of value is currently driven by litigation or the threat of litigation. Patent litigation today is a multi-billion dollar industry.</w:t>
      </w:r>
    </w:p>
    <w:p>
      <w:pPr>
        <w:spacing w:after="0" w:line="18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patent risk management solution facilitates more efficient exchanges of value between owners and users of patents compared to transactions driven by actual or threatened litigation. The core of our solution is defensive patent aggregation, in which we acquire patents and licenses to patents that are being or may be asserted against our current and prospective clients. We then license these patent assets to our clients to protect them from potential patent infringement assertions. We believe our solution allows clients to mitigate patent risk at a lower cost than they would be able to achieve through other approaches. We also provide our clients with access to our proprietary patent market intelligence and data. We refer to patents, licenses to patents and acquired covenants not to sue specific companies collectively as “patent assets.”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solution offers the following benefits to our clients:</w:t>
      </w:r>
    </w:p>
    <w:p>
      <w:pPr>
        <w:spacing w:after="0" w:line="77" w:lineRule="exact"/>
        <w:rPr>
          <w:sz w:val="20"/>
          <w:szCs w:val="20"/>
          <w:color w:val="auto"/>
        </w:rPr>
      </w:pPr>
    </w:p>
    <w:p>
      <w:pPr>
        <w:jc w:val="both"/>
        <w:ind w:left="820" w:right="300" w:hanging="326"/>
        <w:spacing w:after="0" w:line="26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Reduced Risk of Patent Litigation </w:t>
      </w:r>
      <w:r>
        <w:rPr>
          <w:rFonts w:ascii="Arial" w:cs="Arial" w:eastAsia="Arial" w:hAnsi="Arial"/>
          <w:sz w:val="18"/>
          <w:szCs w:val="18"/>
          <w:color w:val="auto"/>
        </w:rPr>
        <w:t>– Clients reduce their exposure to patent litigation because we continuously assess patent assets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sale and acquire many that are being or may be asserted against our clients or potential clients. Our clients have no litigation risk related to the patent assets that we own.</w:t>
      </w:r>
    </w:p>
    <w:p>
      <w:pPr>
        <w:spacing w:after="0" w:line="32" w:lineRule="exact"/>
        <w:rPr>
          <w:rFonts w:ascii="Arial" w:cs="Arial" w:eastAsia="Arial" w:hAnsi="Arial"/>
          <w:sz w:val="18"/>
          <w:szCs w:val="18"/>
          <w:color w:val="auto"/>
        </w:rPr>
      </w:pPr>
    </w:p>
    <w:p>
      <w:pPr>
        <w:ind w:left="820" w:hanging="326"/>
        <w:spacing w:after="0" w:line="25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Cost-Effective Licenses </w:t>
      </w:r>
      <w:r>
        <w:rPr>
          <w:rFonts w:ascii="Arial" w:cs="Arial" w:eastAsia="Arial" w:hAnsi="Arial"/>
          <w:sz w:val="18"/>
          <w:szCs w:val="18"/>
          <w:color w:val="auto"/>
        </w:rPr>
        <w:t>– Our annual subscription fee is typically based on a client’s historical financial results. Accordingly, our subscription fee</w:t>
      </w:r>
      <w:r>
        <w:rPr>
          <w:rFonts w:ascii="Arial" w:cs="Arial" w:eastAsia="Arial" w:hAnsi="Arial"/>
          <w:sz w:val="18"/>
          <w:szCs w:val="18"/>
          <w:i w:val="1"/>
          <w:iCs w:val="1"/>
          <w:color w:val="auto"/>
        </w:rPr>
        <w:t xml:space="preserve"> </w:t>
      </w:r>
      <w:r>
        <w:rPr>
          <w:rFonts w:ascii="Arial" w:cs="Arial" w:eastAsia="Arial" w:hAnsi="Arial"/>
          <w:sz w:val="18"/>
          <w:szCs w:val="18"/>
          <w:color w:val="auto"/>
        </w:rPr>
        <w:t>is predictable for our clients. We believe our approach to pricing is different than the pricing strategies of traditional patent licensing businesses, which generally negotiate license fees based on the perceived relevance of their various patent portfolios to each licensee. We believe our approach to pricing also provides clients with non-exclusive license rights to our large and growing portfolio of patent assets at a lower cost than they would have paid if these patent assets were owned by other entities.</w:t>
      </w:r>
    </w:p>
    <w:p>
      <w:pPr>
        <w:spacing w:after="0" w:line="39" w:lineRule="exact"/>
        <w:rPr>
          <w:rFonts w:ascii="Arial" w:cs="Arial" w:eastAsia="Arial" w:hAnsi="Arial"/>
          <w:sz w:val="18"/>
          <w:szCs w:val="18"/>
          <w:color w:val="auto"/>
        </w:rPr>
      </w:pPr>
    </w:p>
    <w:p>
      <w:pPr>
        <w:ind w:left="820" w:right="40" w:hanging="326"/>
        <w:spacing w:after="0" w:line="25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Reduced Patent Risk Management Costs </w:t>
      </w:r>
      <w:r>
        <w:rPr>
          <w:rFonts w:ascii="Arial" w:cs="Arial" w:eastAsia="Arial" w:hAnsi="Arial"/>
          <w:sz w:val="18"/>
          <w:szCs w:val="18"/>
          <w:color w:val="auto"/>
        </w:rPr>
        <w:t>– Clients can reduce their ongoing patent risk management costs by supplementing their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with our database of information and extensive transaction experience relating to the patent market. We actively monitor the patent market to understand the availability of patent assets for sale or license, the identity of the owners and licensors of these assets, the terms by which they may be available and the technologies to which these assets apply. We also track relevant litigation activity and identify key participants and trends in the patent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47" w:lineRule="exact"/>
        <w:rPr>
          <w:sz w:val="20"/>
          <w:szCs w:val="20"/>
          <w:color w:val="auto"/>
        </w:rPr>
      </w:pPr>
    </w:p>
    <w:p>
      <w:pPr>
        <w:ind w:left="820" w:right="140"/>
        <w:spacing w:after="0" w:line="324" w:lineRule="auto"/>
        <w:rPr>
          <w:sz w:val="20"/>
          <w:szCs w:val="20"/>
          <w:color w:val="auto"/>
        </w:rPr>
      </w:pPr>
      <w:r>
        <w:rPr>
          <w:rFonts w:ascii="Arial" w:cs="Arial" w:eastAsia="Arial" w:hAnsi="Arial"/>
          <w:sz w:val="18"/>
          <w:szCs w:val="18"/>
          <w:color w:val="auto"/>
        </w:rPr>
        <w:t>market. As part of their subscription, our clients have access to this information through our proprietary web portal and through discussions with our client relations team.</w:t>
      </w:r>
    </w:p>
    <w:p>
      <w:pPr>
        <w:spacing w:after="0" w:line="143"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In 2012, we started to offer NPE Patent Infringement Liability Insurance, which is a liability insurance policy for US-based operating companies that covers certain costs associated with patent infringement lawsuits by non-practicing entities (“NPEs”). The insurance product complements our core defensive patent acquisition service, enabling policyholders, who must be members of our client network, to better manage the risk of NPE patent litigation.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w:t>
      </w:r>
    </w:p>
    <w:p>
      <w:pPr>
        <w:spacing w:after="0" w:line="8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United States Constitution empowers Congress “to promote the progress of science and the useful arts by securing for limited times to authors and inventors the exclusive right to their respective writings and discoveries” through the grant of patents. Patent rights are a key component of a knowledge-based economy and are assets that can be bought, sold or licensed. We refer to the market in which participants exchange value related to patents as the “patent market.”</w:t>
      </w:r>
    </w:p>
    <w:p>
      <w:pPr>
        <w:spacing w:after="0" w:line="187"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Patent litigation risk plagues operating companies of all sizes and has the potential to significantly disrupt business activities and distract from normal business operations. Both large and small companies can be affected by major verdicts or high settlement costs. Smaller companies may also find that the expense associated with defending against a patent assertion can have a significant adverse financial impact. We believe the extensive use of litigation and the threat of litigation prevents efficient transactions between the principal participants in the market: patent owners and operating companies.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Monetization of Patents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Historically, the following fundamental attributes of patents have enabled patent monetization:</w:t>
      </w:r>
    </w:p>
    <w:p>
      <w:pPr>
        <w:spacing w:after="0" w:line="77" w:lineRule="exact"/>
        <w:rPr>
          <w:sz w:val="20"/>
          <w:szCs w:val="20"/>
          <w:color w:val="auto"/>
        </w:rPr>
      </w:pPr>
    </w:p>
    <w:p>
      <w:pPr>
        <w:ind w:left="820" w:right="20" w:hanging="326"/>
        <w:spacing w:after="0" w:line="259"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Patents Provide a Limited Monopoly </w:t>
      </w:r>
      <w:r>
        <w:rPr>
          <w:rFonts w:ascii="Arial" w:cs="Arial" w:eastAsia="Arial" w:hAnsi="Arial"/>
          <w:sz w:val="18"/>
          <w:szCs w:val="18"/>
          <w:color w:val="auto"/>
        </w:rPr>
        <w:t>– In exchange for public disclosure of an invention, a patent owner is granted a monopoly over the use of a</w:t>
      </w:r>
      <w:r>
        <w:rPr>
          <w:rFonts w:ascii="Arial" w:cs="Arial" w:eastAsia="Arial" w:hAnsi="Arial"/>
          <w:sz w:val="18"/>
          <w:szCs w:val="18"/>
          <w:i w:val="1"/>
          <w:iCs w:val="1"/>
          <w:color w:val="auto"/>
        </w:rPr>
        <w:t xml:space="preserve"> </w:t>
      </w:r>
      <w:r>
        <w:rPr>
          <w:rFonts w:ascii="Arial" w:cs="Arial" w:eastAsia="Arial" w:hAnsi="Arial"/>
          <w:sz w:val="18"/>
          <w:szCs w:val="18"/>
          <w:color w:val="auto"/>
        </w:rPr>
        <w:t>patented invention for a specified period, typically 20 years. Patent rights are negative rights, meaning that they generally enable a patent owner to exclude others from commercial exploitation of a patented invention, regardless of whether the patent owner has the resources to manufacture or commercialize the invention.</w:t>
      </w:r>
    </w:p>
    <w:p>
      <w:pPr>
        <w:spacing w:after="0" w:line="38" w:lineRule="exact"/>
        <w:rPr>
          <w:rFonts w:ascii="Arial" w:cs="Arial" w:eastAsia="Arial" w:hAnsi="Arial"/>
          <w:sz w:val="18"/>
          <w:szCs w:val="18"/>
          <w:color w:val="auto"/>
        </w:rPr>
      </w:pPr>
    </w:p>
    <w:p>
      <w:pPr>
        <w:ind w:left="820" w:hanging="326"/>
        <w:spacing w:after="0" w:line="26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Patents Confer Negative Rights </w:t>
      </w:r>
      <w:r>
        <w:rPr>
          <w:rFonts w:ascii="Arial" w:cs="Arial" w:eastAsia="Arial" w:hAnsi="Arial"/>
          <w:sz w:val="18"/>
          <w:szCs w:val="18"/>
          <w:color w:val="auto"/>
        </w:rPr>
        <w:t>– As the owner of a negative right, a patent owner has recourse through litigation to prevent others from using,</w:t>
      </w:r>
      <w:r>
        <w:rPr>
          <w:rFonts w:ascii="Arial" w:cs="Arial" w:eastAsia="Arial" w:hAnsi="Arial"/>
          <w:sz w:val="18"/>
          <w:szCs w:val="18"/>
          <w:i w:val="1"/>
          <w:iCs w:val="1"/>
          <w:color w:val="auto"/>
        </w:rPr>
        <w:t xml:space="preserve"> </w:t>
      </w:r>
      <w:r>
        <w:rPr>
          <w:rFonts w:ascii="Arial" w:cs="Arial" w:eastAsia="Arial" w:hAnsi="Arial"/>
          <w:sz w:val="18"/>
          <w:szCs w:val="18"/>
          <w:color w:val="auto"/>
        </w:rPr>
        <w:t>making or selling the patented invention. Even when the patented invention is only a component of a broader product or service, the negative right can be enforced against any product or service that incorporates the component.</w:t>
      </w:r>
    </w:p>
    <w:p>
      <w:pPr>
        <w:spacing w:after="0" w:line="32"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Patents May Be Licensed </w:t>
      </w:r>
      <w:r>
        <w:rPr>
          <w:rFonts w:ascii="Arial" w:cs="Arial" w:eastAsia="Arial" w:hAnsi="Arial"/>
          <w:sz w:val="18"/>
          <w:szCs w:val="18"/>
          <w:color w:val="auto"/>
        </w:rPr>
        <w:t>– A patent owner can authorize use of the patented invention by one or more parties, typically in exchange for licensing</w:t>
      </w:r>
      <w:r>
        <w:rPr>
          <w:rFonts w:ascii="Arial" w:cs="Arial" w:eastAsia="Arial" w:hAnsi="Arial"/>
          <w:sz w:val="18"/>
          <w:szCs w:val="18"/>
          <w:i w:val="1"/>
          <w:iCs w:val="1"/>
          <w:color w:val="auto"/>
        </w:rPr>
        <w:t xml:space="preserve"> </w:t>
      </w:r>
      <w:r>
        <w:rPr>
          <w:rFonts w:ascii="Arial" w:cs="Arial" w:eastAsia="Arial" w:hAnsi="Arial"/>
          <w:sz w:val="18"/>
          <w:szCs w:val="18"/>
          <w:color w:val="auto"/>
        </w:rPr>
        <w:t>fees.</w:t>
      </w:r>
    </w:p>
    <w:p>
      <w:pPr>
        <w:spacing w:after="0" w:line="21" w:lineRule="exact"/>
        <w:rPr>
          <w:rFonts w:ascii="Arial" w:cs="Arial" w:eastAsia="Arial" w:hAnsi="Arial"/>
          <w:sz w:val="18"/>
          <w:szCs w:val="18"/>
          <w:color w:val="auto"/>
        </w:rPr>
      </w:pPr>
    </w:p>
    <w:p>
      <w:pPr>
        <w:jc w:val="both"/>
        <w:ind w:left="820" w:right="200" w:hanging="326"/>
        <w:spacing w:after="0" w:line="342"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Patents Are Assets That Can Be Transferred </w:t>
      </w:r>
      <w:r>
        <w:rPr>
          <w:rFonts w:ascii="Arial" w:cs="Arial" w:eastAsia="Arial" w:hAnsi="Arial"/>
          <w:sz w:val="16"/>
          <w:szCs w:val="16"/>
          <w:color w:val="auto"/>
        </w:rPr>
        <w:t>– A patent can be sold, in which case the negative right and monopoly associated with the patented</w:t>
      </w:r>
      <w:r>
        <w:rPr>
          <w:rFonts w:ascii="Arial" w:cs="Arial" w:eastAsia="Arial" w:hAnsi="Arial"/>
          <w:sz w:val="16"/>
          <w:szCs w:val="16"/>
          <w:i w:val="1"/>
          <w:iCs w:val="1"/>
          <w:color w:val="auto"/>
        </w:rPr>
        <w:t xml:space="preserve"> </w:t>
      </w:r>
      <w:r>
        <w:rPr>
          <w:rFonts w:ascii="Arial" w:cs="Arial" w:eastAsia="Arial" w:hAnsi="Arial"/>
          <w:sz w:val="16"/>
          <w:szCs w:val="16"/>
          <w:color w:val="auto"/>
        </w:rPr>
        <w:t>invention are transferred to the buyer. When a patent is sold, the buyer’s negative rights are constrained by licenses granted by previous owners.</w:t>
      </w:r>
    </w:p>
    <w:p>
      <w:pPr>
        <w:spacing w:after="0" w:line="124"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More recently, several developments have increased opportunities for patent monetization and created an environment that is more favorable to investing in patents for the purpose of generating financial returns. These developments include:</w:t>
      </w:r>
    </w:p>
    <w:p>
      <w:pPr>
        <w:spacing w:after="0" w:line="22" w:lineRule="exact"/>
        <w:rPr>
          <w:sz w:val="20"/>
          <w:szCs w:val="20"/>
          <w:color w:val="auto"/>
        </w:rPr>
      </w:pPr>
    </w:p>
    <w:p>
      <w:pPr>
        <w:jc w:val="both"/>
        <w:ind w:left="820" w:hanging="326"/>
        <w:spacing w:after="0" w:line="26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Improved Search Capabilities </w:t>
      </w:r>
      <w:r>
        <w:rPr>
          <w:rFonts w:ascii="Arial" w:cs="Arial" w:eastAsia="Arial" w:hAnsi="Arial"/>
          <w:sz w:val="18"/>
          <w:szCs w:val="18"/>
          <w:color w:val="auto"/>
        </w:rPr>
        <w:t>– The entire database of United States patents is now searchable on the Internet, enabling patent investors to quickly</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patents and their owners. The Internet also makes it much easier for patent owners to identify and research products and services that may relate to their patents.</w:t>
      </w:r>
    </w:p>
    <w:p>
      <w:pPr>
        <w:spacing w:after="0" w:line="32" w:lineRule="exact"/>
        <w:rPr>
          <w:rFonts w:ascii="Arial" w:cs="Arial" w:eastAsia="Arial" w:hAnsi="Arial"/>
          <w:sz w:val="18"/>
          <w:szCs w:val="18"/>
          <w:color w:val="auto"/>
        </w:rPr>
      </w:pPr>
    </w:p>
    <w:p>
      <w:pPr>
        <w:ind w:left="820" w:right="120" w:hanging="326"/>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Increasing Rate of Issuance of Technology Patents </w:t>
      </w:r>
      <w:r>
        <w:rPr>
          <w:rFonts w:ascii="Arial" w:cs="Arial" w:eastAsia="Arial" w:hAnsi="Arial"/>
          <w:sz w:val="18"/>
          <w:szCs w:val="18"/>
          <w:color w:val="auto"/>
        </w:rPr>
        <w:t>– Patents issued with class code identifiers that we classify as technology-related patents have</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doubled in the past 10 years.</w:t>
      </w:r>
    </w:p>
    <w:p>
      <w:pPr>
        <w:spacing w:after="0" w:line="21" w:lineRule="exact"/>
        <w:rPr>
          <w:rFonts w:ascii="Arial" w:cs="Arial" w:eastAsia="Arial" w:hAnsi="Arial"/>
          <w:sz w:val="18"/>
          <w:szCs w:val="18"/>
          <w:color w:val="auto"/>
        </w:rPr>
      </w:pPr>
    </w:p>
    <w:p>
      <w:pPr>
        <w:ind w:left="820" w:right="20" w:hanging="326"/>
        <w:spacing w:after="0" w:line="272"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Overlap of Technology Patents </w:t>
      </w:r>
      <w:r>
        <w:rPr>
          <w:rFonts w:ascii="Arial" w:cs="Arial" w:eastAsia="Arial" w:hAnsi="Arial"/>
          <w:sz w:val="17"/>
          <w:szCs w:val="17"/>
          <w:color w:val="auto"/>
        </w:rPr>
        <w:t>– Because inventors can patent incremental improvements to existing inventions, multiple patents can apply to</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 components of a product or service. Consequently, multiple patent owners may seek to extract license fees related to a single product or service. One example of this overlap of patents is semiconductor technology known as DRAM. Today, there are several thousand issued United States patents with “DRAM” specifically listed as a claim element. These DRAM patents span design, fabrication, testing and component technology including dies, capacitors, memory cells, transistors, integrated circuits, substrates and packaging. Each of those aspects may be covered by multiple patents that could be infringed by a DRAM semiconductor device or downstream product. Potential infringement of these patents could occur by anyone who makes, uses or sells a product using this technology.</w:t>
      </w:r>
    </w:p>
    <w:p>
      <w:pPr>
        <w:spacing w:after="0" w:line="29" w:lineRule="exact"/>
        <w:rPr>
          <w:rFonts w:ascii="Arial" w:cs="Arial" w:eastAsia="Arial" w:hAnsi="Arial"/>
          <w:sz w:val="17"/>
          <w:szCs w:val="17"/>
          <w:color w:val="auto"/>
        </w:rPr>
      </w:pPr>
    </w:p>
    <w:p>
      <w:pPr>
        <w:ind w:left="820" w:right="360" w:hanging="326"/>
        <w:spacing w:after="0" w:line="259"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Technology Convergence </w:t>
      </w:r>
      <w:r>
        <w:rPr>
          <w:rFonts w:ascii="Arial" w:cs="Arial" w:eastAsia="Arial" w:hAnsi="Arial"/>
          <w:sz w:val="18"/>
          <w:szCs w:val="18"/>
          <w:color w:val="auto"/>
        </w:rPr>
        <w:t>– Modern products and services incorporate numerous technology components. The evolution of mobile devices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an example. This growth can be attributed to the expanded set of features and functionality incorporated in today’s smartphones, including touchscreens, Internet access, streaming video, media playback, application store readiness and other web-based services, and WiFi connectivity options.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jc w:val="both"/>
        <w:ind w:left="820" w:right="100" w:hanging="326"/>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More Companies Employing Patented Technologies </w:t>
      </w:r>
      <w:r>
        <w:rPr>
          <w:rFonts w:ascii="Arial" w:cs="Arial" w:eastAsia="Arial" w:hAnsi="Arial"/>
          <w:sz w:val="18"/>
          <w:szCs w:val="18"/>
          <w:color w:val="auto"/>
        </w:rPr>
        <w:t>– A growing number of companies, including non-technology companies, make, use and sell</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or services that utilize patented inventions. For example, consumer banks now offer online bill pay as a standard feature, which relies on complex technologies that may be subject to many patents.</w:t>
      </w:r>
    </w:p>
    <w:p>
      <w:pPr>
        <w:spacing w:after="0" w:line="32" w:lineRule="exact"/>
        <w:rPr>
          <w:rFonts w:ascii="Arial" w:cs="Arial" w:eastAsia="Arial" w:hAnsi="Arial"/>
          <w:sz w:val="18"/>
          <w:szCs w:val="18"/>
          <w:color w:val="auto"/>
        </w:rPr>
      </w:pPr>
    </w:p>
    <w:p>
      <w:pPr>
        <w:ind w:left="820" w:right="40" w:hanging="326"/>
        <w:spacing w:after="0" w:line="259"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Specialized Appellate Court for Patent Cases </w:t>
      </w:r>
      <w:r>
        <w:rPr>
          <w:rFonts w:ascii="Arial" w:cs="Arial" w:eastAsia="Arial" w:hAnsi="Arial"/>
          <w:sz w:val="18"/>
          <w:szCs w:val="18"/>
          <w:color w:val="auto"/>
        </w:rPr>
        <w:t>– The United States Court of Appeals for the Federal Circuit was created in 1982 to serve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central appellate venue for patent-related cases. We believe this centralization of patent-related appeals has resulted in a more uniform application of patent law. In addition, various federal district courts have adopted patent-specific rules of procedure to facilitate patent litigation. These factors have created a more attractive environment for patent assertions.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All of these developments have caused significant capital to flow to companies specifically formed to acquire and monetize patent assets.</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Emergence and Growth of NPEs</w:t>
      </w:r>
    </w:p>
    <w:p>
      <w:pPr>
        <w:spacing w:after="0" w:line="77"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NPEs, do not create or sell products or services, but instead exist to monetize patents through licensing and litigation. Some NPEs obtain patents through their own research and development efforts, while others accumulate patents through acquisitions. NPEs have become a major factor in the patent market and an important source of liquidity for patent owners.</w:t>
      </w:r>
    </w:p>
    <w:p>
      <w:pPr>
        <w:spacing w:after="0" w:line="181" w:lineRule="exact"/>
        <w:rPr>
          <w:sz w:val="20"/>
          <w:szCs w:val="20"/>
          <w:color w:val="auto"/>
        </w:rPr>
      </w:pPr>
    </w:p>
    <w:p>
      <w:pPr>
        <w:jc w:val="both"/>
        <w:ind w:right="340" w:firstLine="486"/>
        <w:spacing w:after="0" w:line="259" w:lineRule="auto"/>
        <w:rPr>
          <w:sz w:val="20"/>
          <w:szCs w:val="20"/>
          <w:color w:val="auto"/>
        </w:rPr>
      </w:pPr>
      <w:r>
        <w:rPr>
          <w:rFonts w:ascii="Arial" w:cs="Arial" w:eastAsia="Arial" w:hAnsi="Arial"/>
          <w:sz w:val="18"/>
          <w:szCs w:val="18"/>
          <w:color w:val="auto"/>
        </w:rPr>
        <w:t>Operating companies can incur significant costs to defend themselves against patent assertions by NPEs. At a minimum, companies faced with an assertion typically respond to the assertion letter and evaluate the patents being asserted. If the assertion proceeds to trial, costs grow substantially. NPEs generally do not create or sell their own products or services and therefore are not susceptible to counter assertion, a common defensive strategy in patent disputes between operating companies.</w:t>
      </w:r>
    </w:p>
    <w:p>
      <w:pPr>
        <w:spacing w:after="0" w:line="187" w:lineRule="exact"/>
        <w:rPr>
          <w:sz w:val="20"/>
          <w:szCs w:val="20"/>
          <w:color w:val="auto"/>
        </w:rPr>
      </w:pPr>
    </w:p>
    <w:p>
      <w:pPr>
        <w:jc w:val="both"/>
        <w:ind w:right="40" w:firstLine="486"/>
        <w:spacing w:after="0" w:line="312" w:lineRule="auto"/>
        <w:rPr>
          <w:sz w:val="20"/>
          <w:szCs w:val="20"/>
          <w:color w:val="auto"/>
        </w:rPr>
      </w:pPr>
      <w:r>
        <w:rPr>
          <w:rFonts w:ascii="Arial" w:cs="Arial" w:eastAsia="Arial" w:hAnsi="Arial"/>
          <w:sz w:val="16"/>
          <w:szCs w:val="16"/>
          <w:color w:val="auto"/>
        </w:rPr>
        <w:t>We believe that the amount of capital raised by NPEs is currently in the billions of dollars. Some of the large awards and settlements received by NPEs have resulted in extensive media coverage, contributing to a significant influx of capital into the patent market. To date we have identified in excess of 1,000 unique NPE plaintiffs that have been active since 2005. In addition, many individual inventors and universities are also using litigation to monetize patents.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and Benefits to Our Clients</w:t>
      </w:r>
    </w:p>
    <w:p>
      <w:pPr>
        <w:spacing w:after="0" w:line="8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 have pioneered an approach to help operating companies mitigate and manage patent risk and expense by serving as an intermediary through which they can participate more efficiently in the patent market. Operating companies that join our network pay an annual subscription fee and gain access to our patent risk management solution. The subscription fee is typically based on a fee schedule that is tied to a client’s revenue or operating income and remains in place over the life of a membership, with adjustments limited to Consumer Price Index increases. By offering a fee schedule that does not change based on our patent asset acquisitions, we divorce the amount of fees charged from the value of our patent assets. We believe our pricing structure creates an alignment of interests with our clients, allowing us to be a trusted intermediary for operating companies in the patent market.</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Defensive Patent Aggregation</w:t>
      </w:r>
    </w:p>
    <w:p>
      <w:pPr>
        <w:spacing w:after="0" w:line="77"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color w:val="auto"/>
        </w:rPr>
        <w:t>The core of our solution is defensive patent aggregation, in which we acquire patent assets that are being or may be asserted against our current and prospective clients. We then license these assets to our clients to protect them from potential patent infringement assertions. We acquire patent assets from multiple parties, including operating companies, individual inventors, NPEs and bankruptcy trustees. We also acquire patent assets in different contexts, including when they are made available for sale or license by their owners or to resolve threatened or pending litigation against our clients or prospective clients.</w:t>
      </w:r>
    </w:p>
    <w:p>
      <w:pPr>
        <w:spacing w:after="0" w:line="188"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have not asserted and will not assert our patents. We have never initiated patent infringement litigation, and our clients receive guarantees that we will never assert patents against them. We consider this guarantee to be of paramount importance in establishing trust with our clients. In addition, because we have minimal risk from infringement claims, we are able to engage in more transparent discussions regarding the value of patent assets with patent owners. Our ability to engage in transparent discussions with both operating companies and patent owners allows us to act as an effective intermediary between participants in the patent market. As a result, we provide a conduit through which value can flow between market participants at lower transaction costs than is typically the case when patents are monetized through litigation or the threat of litigation.</w:t>
      </w:r>
    </w:p>
    <w:p>
      <w:pPr>
        <w:spacing w:after="0" w:line="178" w:lineRule="exact"/>
        <w:rPr>
          <w:sz w:val="20"/>
          <w:szCs w:val="20"/>
          <w:color w:val="auto"/>
        </w:rPr>
      </w:pPr>
    </w:p>
    <w:p>
      <w:pPr>
        <w:ind w:right="200" w:firstLine="486"/>
        <w:spacing w:after="0" w:line="312" w:lineRule="auto"/>
        <w:rPr>
          <w:sz w:val="20"/>
          <w:szCs w:val="20"/>
          <w:color w:val="auto"/>
        </w:rPr>
      </w:pPr>
      <w:r>
        <w:rPr>
          <w:rFonts w:ascii="Arial" w:cs="Arial" w:eastAsia="Arial" w:hAnsi="Arial"/>
          <w:sz w:val="16"/>
          <w:szCs w:val="16"/>
          <w:color w:val="auto"/>
        </w:rPr>
        <w:t>As a part of our solution, we provide extensive patent market intelligence and data to our clients. Clients can access this market intelligence and data through our proprietary web portal and through discussions with our client relations team. This market intelligence and data helps our clients better understand past and potential patent acquisition transactions, relevant litigation activity and key participants and trends in the patent market.</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Benefits to Our Clients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In general, operating companies join our network to reduce their risk of patent litigation and the expected costs associated with patent risk management. In exchange for an annual subscription fee, which in some instances has been less than the costs associated with a single patent assertion, our clients gain access to the following benefits:</w:t>
      </w:r>
    </w:p>
    <w:p>
      <w:pPr>
        <w:spacing w:after="0" w:line="33" w:lineRule="exact"/>
        <w:rPr>
          <w:sz w:val="20"/>
          <w:szCs w:val="20"/>
          <w:color w:val="auto"/>
        </w:rPr>
      </w:pPr>
    </w:p>
    <w:p>
      <w:pPr>
        <w:jc w:val="both"/>
        <w:ind w:left="820" w:right="300" w:hanging="326"/>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Reduced Risk of Patent Litigation </w:t>
      </w:r>
      <w:r>
        <w:rPr>
          <w:rFonts w:ascii="Arial" w:cs="Arial" w:eastAsia="Arial" w:hAnsi="Arial"/>
          <w:sz w:val="18"/>
          <w:szCs w:val="18"/>
          <w:color w:val="auto"/>
        </w:rPr>
        <w:t>– Clients reduce their exposure to patent litigation because we continuously assess patent assets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sale and acquire many that are being or may be asserted against our clients or potential clients. Our clients have no litigation risk related to the patent assets that we own.</w:t>
      </w:r>
    </w:p>
    <w:p>
      <w:pPr>
        <w:spacing w:after="0" w:line="32" w:lineRule="exact"/>
        <w:rPr>
          <w:rFonts w:ascii="Arial" w:cs="Arial" w:eastAsia="Arial" w:hAnsi="Arial"/>
          <w:sz w:val="18"/>
          <w:szCs w:val="18"/>
          <w:color w:val="auto"/>
        </w:rPr>
      </w:pPr>
    </w:p>
    <w:p>
      <w:pPr>
        <w:ind w:left="820" w:right="260" w:hanging="326"/>
        <w:spacing w:after="0" w:line="25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Cost-Effective Licenses </w:t>
      </w:r>
      <w:r>
        <w:rPr>
          <w:rFonts w:ascii="Arial" w:cs="Arial" w:eastAsia="Arial" w:hAnsi="Arial"/>
          <w:sz w:val="18"/>
          <w:szCs w:val="18"/>
          <w:color w:val="auto"/>
        </w:rPr>
        <w:t>– Our annual subscription fee is typically based on a client’s historical financial results. We believe our approach is</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 than the pricing strategies of traditional patent licensing businesses, which generally negotiate license fees based on the perceived relevance of their various patent portfolios to each licensee. We believe our approach to pricing also provides clients with non-exclusive license rights to our large and growing portfolio of patent assets at a lower cost than they would have paid if these patent assets were owned by other entities.</w:t>
      </w:r>
    </w:p>
    <w:p>
      <w:pPr>
        <w:spacing w:after="0" w:line="39" w:lineRule="exact"/>
        <w:rPr>
          <w:rFonts w:ascii="Arial" w:cs="Arial" w:eastAsia="Arial" w:hAnsi="Arial"/>
          <w:sz w:val="18"/>
          <w:szCs w:val="18"/>
          <w:color w:val="auto"/>
        </w:rPr>
      </w:pPr>
    </w:p>
    <w:p>
      <w:pPr>
        <w:ind w:left="820" w:right="40" w:hanging="326"/>
        <w:spacing w:after="0" w:line="255"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Reduced Patent Risk Management Costs </w:t>
      </w:r>
      <w:r>
        <w:rPr>
          <w:rFonts w:ascii="Arial" w:cs="Arial" w:eastAsia="Arial" w:hAnsi="Arial"/>
          <w:sz w:val="18"/>
          <w:szCs w:val="18"/>
          <w:color w:val="auto"/>
        </w:rPr>
        <w:t>– Clients can reduce their ongoing patent risk management costs by supplementing their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with our database of information and extensive transaction experience relating to the patent market. We actively monitor the patent market to understand the availability of patent assets for sale or license, the identity of the owners and licensors of these assets, the terms by which they may be available and the technologies to which these assets apply. We also track relevant litigation activity and identify key participants and trends in the patent market. As part of their subscription, our clients have access to this information through our proprietary web portal and through discussions with our client relations team.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8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Our mission is to transform the patent market by establishing RPX as the essential intermediary between patent owners and operating companies. Our strategy includes the following:</w:t>
      </w:r>
    </w:p>
    <w:p>
      <w:pPr>
        <w:spacing w:after="0" w:line="22" w:lineRule="exact"/>
        <w:rPr>
          <w:sz w:val="20"/>
          <w:szCs w:val="20"/>
          <w:color w:val="auto"/>
        </w:rPr>
      </w:pPr>
    </w:p>
    <w:p>
      <w:pPr>
        <w:ind w:left="820" w:right="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Growing Our Client Network </w:t>
      </w:r>
      <w:r>
        <w:rPr>
          <w:rFonts w:ascii="Arial" w:cs="Arial" w:eastAsia="Arial" w:hAnsi="Arial"/>
          <w:sz w:val="18"/>
          <w:szCs w:val="18"/>
          <w:color w:val="auto"/>
        </w:rPr>
        <w:t>– We intend to grow our client network by continuing to develop relationships with companies that have experienced</w:t>
      </w:r>
      <w:r>
        <w:rPr>
          <w:rFonts w:ascii="Arial" w:cs="Arial" w:eastAsia="Arial" w:hAnsi="Arial"/>
          <w:sz w:val="18"/>
          <w:szCs w:val="18"/>
          <w:i w:val="1"/>
          <w:iCs w:val="1"/>
          <w:color w:val="auto"/>
        </w:rPr>
        <w:t xml:space="preserve"> </w:t>
      </w:r>
      <w:r>
        <w:rPr>
          <w:rFonts w:ascii="Arial" w:cs="Arial" w:eastAsia="Arial" w:hAnsi="Arial"/>
          <w:sz w:val="18"/>
          <w:szCs w:val="18"/>
          <w:color w:val="auto"/>
        </w:rPr>
        <w:t>NPE-initiated patent litigation and continuing to demonstrate the value of our patent risk management solution.</w:t>
      </w:r>
    </w:p>
    <w:p>
      <w:pPr>
        <w:spacing w:after="0" w:line="21" w:lineRule="exact"/>
        <w:rPr>
          <w:rFonts w:ascii="Arial" w:cs="Arial" w:eastAsia="Arial" w:hAnsi="Arial"/>
          <w:sz w:val="18"/>
          <w:szCs w:val="18"/>
          <w:color w:val="auto"/>
        </w:rPr>
      </w:pPr>
    </w:p>
    <w:p>
      <w:pPr>
        <w:ind w:left="820" w:right="40" w:hanging="326"/>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Acquiring Additional Patent Assets </w:t>
      </w:r>
      <w:r>
        <w:rPr>
          <w:rFonts w:ascii="Arial" w:cs="Arial" w:eastAsia="Arial" w:hAnsi="Arial"/>
          <w:sz w:val="18"/>
          <w:szCs w:val="18"/>
          <w:color w:val="auto"/>
        </w:rPr>
        <w:t>– We intend to continue to acquire patent assets that are being or may be asserted against current and</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prospective clients and to increase our role and expertise in the patent market. We believe our disciplined approach to valuing and acquiring patent assets will allow us to continue to deploy our capital in an efficient and effective manner to maximize the patent risk management benefits to our clients.</w:t>
      </w:r>
    </w:p>
    <w:p>
      <w:pPr>
        <w:spacing w:after="0" w:line="38" w:lineRule="exact"/>
        <w:rPr>
          <w:rFonts w:ascii="Arial" w:cs="Arial" w:eastAsia="Arial" w:hAnsi="Arial"/>
          <w:sz w:val="18"/>
          <w:szCs w:val="18"/>
          <w:color w:val="auto"/>
        </w:rPr>
      </w:pPr>
    </w:p>
    <w:p>
      <w:pPr>
        <w:ind w:left="820" w:right="20" w:hanging="326"/>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Focusing on Client Relations </w:t>
      </w:r>
      <w:r>
        <w:rPr>
          <w:rFonts w:ascii="Arial" w:cs="Arial" w:eastAsia="Arial" w:hAnsi="Arial"/>
          <w:sz w:val="18"/>
          <w:szCs w:val="18"/>
          <w:color w:val="auto"/>
        </w:rPr>
        <w:t>– We intend to continue to support our client relations team to ensure we deliver the highest levels of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to our clients, which we expect will drive client satisfaction and assist in our efforts to build trusting relationships with and retain clients as their subscription agreements come up for renewal.</w:t>
      </w:r>
    </w:p>
    <w:p>
      <w:pPr>
        <w:spacing w:after="0" w:line="32" w:lineRule="exact"/>
        <w:rPr>
          <w:rFonts w:ascii="Arial" w:cs="Arial" w:eastAsia="Arial" w:hAnsi="Arial"/>
          <w:sz w:val="18"/>
          <w:szCs w:val="18"/>
          <w:color w:val="auto"/>
        </w:rPr>
      </w:pPr>
    </w:p>
    <w:p>
      <w:pPr>
        <w:ind w:left="820" w:right="100" w:hanging="326"/>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Developing Proprietary Technology Solutions for Our Clients</w:t>
      </w:r>
      <w:r>
        <w:rPr>
          <w:rFonts w:ascii="Arial" w:cs="Arial" w:eastAsia="Arial" w:hAnsi="Arial"/>
          <w:sz w:val="18"/>
          <w:szCs w:val="18"/>
          <w:color w:val="auto"/>
        </w:rPr>
        <w:t>– We intend to continue to enhance our proprietary web portal to provide our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most current intelligence and data on patent acquisition opportunities, relevant litigation activity and key market participants and trends that affect their patent risk exposure.</w:t>
      </w:r>
    </w:p>
    <w:p>
      <w:pPr>
        <w:spacing w:after="0" w:line="32" w:lineRule="exact"/>
        <w:rPr>
          <w:rFonts w:ascii="Arial" w:cs="Arial" w:eastAsia="Arial" w:hAnsi="Arial"/>
          <w:sz w:val="18"/>
          <w:szCs w:val="18"/>
          <w:color w:val="auto"/>
        </w:rPr>
      </w:pPr>
    </w:p>
    <w:p>
      <w:pPr>
        <w:jc w:val="both"/>
        <w:ind w:left="820" w:right="80" w:hanging="326"/>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Offering NPE Insurance </w:t>
      </w:r>
      <w:r>
        <w:rPr>
          <w:rFonts w:ascii="Arial" w:cs="Arial" w:eastAsia="Arial" w:hAnsi="Arial"/>
          <w:sz w:val="18"/>
          <w:szCs w:val="18"/>
          <w:color w:val="auto"/>
        </w:rPr>
        <w:t>– We offer and have written insurance policies for clients interested in additional management of their exposure to patent</w:t>
      </w:r>
      <w:r>
        <w:rPr>
          <w:rFonts w:ascii="Arial" w:cs="Arial" w:eastAsia="Arial" w:hAnsi="Arial"/>
          <w:sz w:val="18"/>
          <w:szCs w:val="18"/>
          <w:i w:val="1"/>
          <w:iCs w:val="1"/>
          <w:color w:val="auto"/>
        </w:rPr>
        <w:t xml:space="preserve"> </w:t>
      </w:r>
      <w:r>
        <w:rPr>
          <w:rFonts w:ascii="Arial" w:cs="Arial" w:eastAsia="Arial" w:hAnsi="Arial"/>
          <w:sz w:val="18"/>
          <w:szCs w:val="18"/>
          <w:color w:val="auto"/>
        </w:rPr>
        <w:t>infringement claims brought by NPEs. We have concentrated our sales efforts on small and medium enterprises and we require that policyholders also subscribe to our core defensive patent acquisition service.</w:t>
      </w:r>
    </w:p>
    <w:p>
      <w:pPr>
        <w:spacing w:after="0" w:line="32" w:lineRule="exact"/>
        <w:rPr>
          <w:rFonts w:ascii="Arial" w:cs="Arial" w:eastAsia="Arial" w:hAnsi="Arial"/>
          <w:sz w:val="18"/>
          <w:szCs w:val="18"/>
          <w:color w:val="auto"/>
        </w:rPr>
      </w:pPr>
    </w:p>
    <w:p>
      <w:pPr>
        <w:ind w:left="820" w:right="80" w:hanging="326"/>
        <w:spacing w:after="0" w:line="25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Providing Complementary Solutions </w:t>
      </w:r>
      <w:r>
        <w:rPr>
          <w:rFonts w:ascii="Arial" w:cs="Arial" w:eastAsia="Arial" w:hAnsi="Arial"/>
          <w:sz w:val="18"/>
          <w:szCs w:val="18"/>
          <w:color w:val="auto"/>
        </w:rPr>
        <w:t>– We believe we can generate additional sources of revenue by offering complementary solutions that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patent risks and expenses for operating companies, including the facilitation of joint defense agreements and cross-licensing arrangements. A joint defense agreement is an agreement among multiple defendants in a lawsuit to appoint one legal counsel or group of legal counsel to represent multiple defendants. A cross-licensing arrangement is an agreement among two or more parties to license some or all of their patent portfolios to each other.</w:t>
      </w:r>
    </w:p>
    <w:p>
      <w:pPr>
        <w:spacing w:after="0" w:line="39" w:lineRule="exact"/>
        <w:rPr>
          <w:rFonts w:ascii="Arial" w:cs="Arial" w:eastAsia="Arial" w:hAnsi="Arial"/>
          <w:sz w:val="18"/>
          <w:szCs w:val="18"/>
          <w:color w:val="auto"/>
        </w:rPr>
      </w:pPr>
    </w:p>
    <w:p>
      <w:pPr>
        <w:ind w:left="820" w:right="3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Enhancing Our Capabilities Through Acquisitions </w:t>
      </w:r>
      <w:r>
        <w:rPr>
          <w:rFonts w:ascii="Arial" w:cs="Arial" w:eastAsia="Arial" w:hAnsi="Arial"/>
          <w:sz w:val="18"/>
          <w:szCs w:val="18"/>
          <w:color w:val="auto"/>
        </w:rPr>
        <w:t>– We occasionally evaluate the potential acquisition of businesses and technologies that can</w:t>
      </w:r>
      <w:r>
        <w:rPr>
          <w:rFonts w:ascii="Arial" w:cs="Arial" w:eastAsia="Arial" w:hAnsi="Arial"/>
          <w:sz w:val="18"/>
          <w:szCs w:val="18"/>
          <w:i w:val="1"/>
          <w:iCs w:val="1"/>
          <w:color w:val="auto"/>
        </w:rPr>
        <w:t xml:space="preserve"> </w:t>
      </w:r>
      <w:r>
        <w:rPr>
          <w:rFonts w:ascii="Arial" w:cs="Arial" w:eastAsia="Arial" w:hAnsi="Arial"/>
          <w:sz w:val="18"/>
          <w:szCs w:val="18"/>
          <w:color w:val="auto"/>
        </w:rPr>
        <w:t>enhance our capabilities and our patent risk management solution.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 Network</w:t>
      </w:r>
    </w:p>
    <w:p>
      <w:pPr>
        <w:spacing w:after="0" w:line="8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We have built a network of clients that includes some of the world’s most prominent technology companies, as well as many smaller and emerging companies. Our client network has grown rapidly since our inception. As of December 31, 2012, we had 140 clients.</w:t>
      </w:r>
    </w:p>
    <w:p>
      <w:pPr>
        <w:spacing w:after="0" w:line="170"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We believe our patent risk management solution is broadly applicable to companies that design, make or sell technology-based products and services as well as to companies that use technology in their businesses. Our clients are active in a broad range of industries including consumer electronics, personal computers, e-commerce, financial services, software, media content and distribution, mobile communications and handsets, networking and semiconductors.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New Client Acquisitions</w:t>
      </w:r>
    </w:p>
    <w:p>
      <w:pPr>
        <w:spacing w:after="0" w:line="77"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Our membership team identifies potential clients by prioritizing operating companies that have been subject to patent infringement claims initiated by NPEs. The membership team is responsible for educating potential clients on the benefits of our solution and explaining how our solution mitigates patent risk and expense. After we have communicated our business model to a prospective client, we invest considerable resources learning about the company’s business, providing information about the patent market and developing a relationship of trust with the executives responsible for patent-related matters. We also proactively monitor litigation activity related to each of our clients and certain prospective clients to help us direct our patent asset acquisition and membership sales efforts. In addition, we conduct a variety of marketing efforts to establish ourselves as a leading source of information in the patent market, including industry conferences and seminars, public relations and industry research.</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Client Retention and Client Relations</w:t>
      </w:r>
    </w:p>
    <w:p>
      <w:pPr>
        <w:spacing w:after="0" w:line="77"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After a company has become a client, the maintenance of the relationship is handled by our client relations team. One of the primary responsibilities of our client relations team is to maintain frequent dialogue with senior executives of our clients so we can better understand their patent risk profiles. Our continued success and our ability to retain clients depend on our ability to demonstrate that our patent risk management solution enables clients to avoid costs that, in aggregate, exceed their subscription fees. We refer to this concept as return on investment, or ROI.</w:t>
      </w:r>
    </w:p>
    <w:p>
      <w:pPr>
        <w:spacing w:after="0" w:line="17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Our client relations team also provides clients with patent market intelligence, updates on our patent asset acquisitions and assessments of the ROI delivered over the term of their memberships. We provide this information through direct discussions with our clients and also share information with them through our proprietary web portal. We believe our frequent interactions allow us to optimize our patent asset acquisition decisions, which lead to a more compelling ROI for our clients, thus supporting our client retention efforts.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Patent Asset Portfolio and Patent Asset Acquisition</w:t>
      </w:r>
    </w:p>
    <w:p>
      <w:pPr>
        <w:spacing w:after="0" w:line="23"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We acquire patent assets that are being or may be asserted against current or prospective clients. As of December 31, 2012, we had deployed over $620 million of our capital and the capital of our clients to acquire patent assets. Of this amount, deployment of our capital totaled approximately $400 million. Since inception, approximately two-thirds of our acquisition capital has been deployed for the purchase of patent rights and the balance deployed for the purchase of patents. Acquisitions of patent rights generally benefit only those operating companies which are clients at the time of the acquisition, whereas acquisitions of patents benefit both current and future clients. As of December 31, 2012, approximately 25% of our patent assets, based upon acquisition price, had been acquired from brokers or other entities seeking to sell patent assets, while the balance was acquired out of litigation. The Company’s patent asset acquisition efforts have been broadly diversified across the following market sectors: consumer electronics, personal computers, e-commerce, financial services, software, media content and distribution, mobile communications and handsets, networking and semiconductors.</w:t>
      </w:r>
    </w:p>
    <w:p>
      <w:pPr>
        <w:spacing w:after="0" w:line="170"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The substantial majority of our 120 acquisitions through December 31, 2012 involved patent assets that we believed were relevant to multiple clients and/or prospective clients and were funded with our own capital resources. 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structured acquisitions may secure rights just for those clients who elect to participate in the transaction or, if we contribute capital, may secure rights for all of our clients.</w:t>
      </w:r>
    </w:p>
    <w:p>
      <w:pPr>
        <w:spacing w:after="0" w:line="19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apply a disciplined and proprietary methodology to valuing patents that is based primarily on our judgment regarding the costs our clients might incur from potential assertions of those patents if we were not to acquire them. A number of factors are involved in our valuation methodology, including the degree to which patent claims may describe technologies incorporated in clients’ products or services, the revenues our clients generate from products or services potentially affected by the patents, the extent to which the patents would be attractive to NPEs, and the legal quality of the patents and their likely validity. As part of our approach, we also consider the degree to which we have already acquired patent assets that were being or may be asserted against each of our clients.</w:t>
      </w:r>
    </w:p>
    <w:p>
      <w:pPr>
        <w:spacing w:after="0" w:line="193"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Because each acquisition of a patent asset may create value for more than one client, we believe our acquisitions of patent assets create a network effect: expanding our portfolio of patent assets results in greater patent risk mitigation for our clients, which we believe leads to greater opportunities to retain and grow our membership base.</w:t>
      </w:r>
    </w:p>
    <w:p>
      <w:pPr>
        <w:spacing w:after="0" w:line="181" w:lineRule="exact"/>
        <w:rPr>
          <w:sz w:val="20"/>
          <w:szCs w:val="20"/>
          <w:color w:val="auto"/>
        </w:rPr>
      </w:pPr>
    </w:p>
    <w:p>
      <w:pPr>
        <w:ind w:right="480" w:firstLine="486"/>
        <w:spacing w:after="0" w:line="264" w:lineRule="auto"/>
        <w:rPr>
          <w:sz w:val="20"/>
          <w:szCs w:val="20"/>
          <w:color w:val="auto"/>
        </w:rPr>
      </w:pPr>
      <w:r>
        <w:rPr>
          <w:rFonts w:ascii="Arial" w:cs="Arial" w:eastAsia="Arial" w:hAnsi="Arial"/>
          <w:sz w:val="18"/>
          <w:szCs w:val="18"/>
          <w:color w:val="auto"/>
        </w:rPr>
        <w:t>Our patent analysts, members of our acquisitions team and our acquisitions committee employ a rigorous and disciplined approach to evaluate acquisition opportunities. When considering the acquisition of patent assets outside the context of an assertion or litigation, the key steps in this process include:</w:t>
      </w:r>
    </w:p>
    <w:p>
      <w:pPr>
        <w:spacing w:after="0" w:line="33" w:lineRule="exact"/>
        <w:rPr>
          <w:sz w:val="20"/>
          <w:szCs w:val="20"/>
          <w:color w:val="auto"/>
        </w:rPr>
      </w:pPr>
    </w:p>
    <w:p>
      <w:pPr>
        <w:ind w:left="820" w:right="24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Initial Screen </w:t>
      </w:r>
      <w:r>
        <w:rPr>
          <w:rFonts w:ascii="Arial" w:cs="Arial" w:eastAsia="Arial" w:hAnsi="Arial"/>
          <w:sz w:val="18"/>
          <w:szCs w:val="18"/>
          <w:color w:val="auto"/>
        </w:rPr>
        <w:t>– A patent analyst reviews the basic patent information to form a general assessment of the portfolio’s alignment with current and</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prospective client interests.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820" w:right="120" w:hanging="326"/>
        <w:spacing w:after="0" w:line="259"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Detailed Review </w:t>
      </w:r>
      <w:r>
        <w:rPr>
          <w:rFonts w:ascii="Arial" w:cs="Arial" w:eastAsia="Arial" w:hAnsi="Arial"/>
          <w:sz w:val="18"/>
          <w:szCs w:val="18"/>
          <w:color w:val="auto"/>
        </w:rPr>
        <w:t>– If the opportunity passes through the initial screen, a patent analyst reviews, analyzes and assesses the key independent claims</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patent being considered, materials provided by the seller and the possible assertion threat to our current and prospective clients. Our acquisitions team and patent analysts meet weekly to discuss and determine which potential acquisitions will advance to the next step of the evaluation process.</w:t>
      </w:r>
    </w:p>
    <w:p>
      <w:pPr>
        <w:spacing w:after="0" w:line="38" w:lineRule="exact"/>
        <w:rPr>
          <w:rFonts w:ascii="Arial" w:cs="Arial" w:eastAsia="Arial" w:hAnsi="Arial"/>
          <w:sz w:val="18"/>
          <w:szCs w:val="18"/>
          <w:color w:val="auto"/>
        </w:rPr>
      </w:pPr>
    </w:p>
    <w:p>
      <w:pPr>
        <w:ind w:left="820" w:right="4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Valuation Analysis </w:t>
      </w:r>
      <w:r>
        <w:rPr>
          <w:rFonts w:ascii="Arial" w:cs="Arial" w:eastAsia="Arial" w:hAnsi="Arial"/>
          <w:sz w:val="18"/>
          <w:szCs w:val="18"/>
          <w:color w:val="auto"/>
        </w:rPr>
        <w:t>– For potential acquisitions that pass the detailed review, our acquisitions team employs our proprietary valuation methodology</w:t>
      </w:r>
      <w:r>
        <w:rPr>
          <w:rFonts w:ascii="Arial" w:cs="Arial" w:eastAsia="Arial" w:hAnsi="Arial"/>
          <w:sz w:val="18"/>
          <w:szCs w:val="18"/>
          <w:i w:val="1"/>
          <w:iCs w:val="1"/>
          <w:color w:val="auto"/>
        </w:rPr>
        <w:t xml:space="preserve"> </w:t>
      </w:r>
      <w:r>
        <w:rPr>
          <w:rFonts w:ascii="Arial" w:cs="Arial" w:eastAsia="Arial" w:hAnsi="Arial"/>
          <w:sz w:val="18"/>
          <w:szCs w:val="18"/>
          <w:color w:val="auto"/>
        </w:rPr>
        <w:t>to determine the maximum value at which we can support an acquisition.</w:t>
      </w:r>
    </w:p>
    <w:p>
      <w:pPr>
        <w:spacing w:after="0" w:line="21" w:lineRule="exact"/>
        <w:rPr>
          <w:rFonts w:ascii="Arial" w:cs="Arial" w:eastAsia="Arial" w:hAnsi="Arial"/>
          <w:sz w:val="18"/>
          <w:szCs w:val="18"/>
          <w:color w:val="auto"/>
        </w:rPr>
      </w:pPr>
    </w:p>
    <w:p>
      <w:pPr>
        <w:ind w:left="820" w:right="220" w:hanging="326"/>
        <w:spacing w:after="0" w:line="311"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Acquisitions Approval Committee Review </w:t>
      </w:r>
      <w:r>
        <w:rPr>
          <w:rFonts w:ascii="Arial" w:cs="Arial" w:eastAsia="Arial" w:hAnsi="Arial"/>
          <w:sz w:val="16"/>
          <w:szCs w:val="16"/>
          <w:color w:val="auto"/>
        </w:rPr>
        <w:t>– The acquisitions approval committee, composed of members of our senior management, meets</w:t>
      </w:r>
      <w:r>
        <w:rPr>
          <w:rFonts w:ascii="Arial" w:cs="Arial" w:eastAsia="Arial" w:hAnsi="Arial"/>
          <w:sz w:val="16"/>
          <w:szCs w:val="16"/>
          <w:i w:val="1"/>
          <w:iCs w:val="1"/>
          <w:color w:val="auto"/>
        </w:rPr>
        <w:t xml:space="preserve"> </w:t>
      </w:r>
      <w:r>
        <w:rPr>
          <w:rFonts w:ascii="Arial" w:cs="Arial" w:eastAsia="Arial" w:hAnsi="Arial"/>
          <w:sz w:val="16"/>
          <w:szCs w:val="16"/>
          <w:color w:val="auto"/>
        </w:rPr>
        <w:t>regularly to consider the acquisition of patent assets that have passed all prior screens. The committee reviews the patent and valuation analyses and considers the effect of the potential acquisition on our operating results prior to approving the pricing terms of any potential offer.</w:t>
      </w:r>
    </w:p>
    <w:p>
      <w:pPr>
        <w:ind w:left="820" w:right="600" w:hanging="326"/>
        <w:spacing w:after="0" w:line="26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Negotiation and Closing </w:t>
      </w:r>
      <w:r>
        <w:rPr>
          <w:rFonts w:ascii="Arial" w:cs="Arial" w:eastAsia="Arial" w:hAnsi="Arial"/>
          <w:sz w:val="18"/>
          <w:szCs w:val="18"/>
          <w:color w:val="auto"/>
        </w:rPr>
        <w:t>– Following the approval of a bid amount and other acquisition terms, the acquisitions team makes an offer and</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negotiates to close a transaction. Once there is agreement with the seller regarding price and other terms, the acquisitions team coordinates extensive confirmatory diligence, which may include the completion of a detailed title review.</w:t>
      </w:r>
    </w:p>
    <w:p>
      <w:pPr>
        <w:spacing w:after="0" w:line="181"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In situations where patents are already being asserted or litigated against our current or prospective clients, the evaluation process begins with the second step, our detailed review. Depending on the value of the transaction, the complexity of the evaluation process, the number of patent assets in the portfolio and the quality of the information provided by the seller, the patent acquisition process can range from as short as several weeks to more than six months.</w:t>
      </w:r>
    </w:p>
    <w:p>
      <w:pPr>
        <w:spacing w:after="0" w:line="18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believe our position as a leading acquirer of patent assets gives us extensive access and visibility into the patent market. We closely track patent assets that become available on the market and, as of December 31, 2012, we had reviewed more than 4,100 patent portfolios since our inception. We believe our position in the market gives us direct access to a diverse group of patent sources, including brokers, individuals, companies, universities and law firms, all of which are familiar with our approach and acquisition criteria. We believe this familiarity provides us early notice of patent portfolios that are entering the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within those companies. Companies employ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8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addition to competing for new clients, we also compete to acquire patent assets. Our primary competitors in the market for patent assets are other entities that seek to accumulate patent assets, including NPEs such as Acacia Research, Intellectual Ventures and IP Navigation. We also face competition for patent assets from operating companies, including current or potential clients of RPX, that seek to acquire patents or license patent assets in connection with new or existing product offerings.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we compete favorably based on a number of factors:</w:t>
      </w:r>
    </w:p>
    <w:p>
      <w:pPr>
        <w:spacing w:after="0" w:line="77" w:lineRule="exact"/>
        <w:rPr>
          <w:sz w:val="20"/>
          <w:szCs w:val="20"/>
          <w:color w:val="auto"/>
        </w:rPr>
      </w:pPr>
    </w:p>
    <w:p>
      <w:pPr>
        <w:ind w:left="820" w:right="38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alignment of interest and strong relationships with our clients resulting from our pricing structure and guarantee never to assert our patent assets against our clients;</w:t>
      </w:r>
    </w:p>
    <w:p>
      <w:pPr>
        <w:spacing w:after="0" w:line="2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reduce the costs associated with patent market transactions by engaging in more transparent discussions based on the economic value of patent assets rather than discussions involving litigation or the threat of litigation;</w:t>
      </w:r>
    </w:p>
    <w:p>
      <w:pPr>
        <w:spacing w:after="0" w:line="2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increase efficiency and expand our role in the patent market as our client network and capital available for patent asset acquisitions grows; and</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extensive patent market expertise, relationships and transaction experience.</w:t>
      </w:r>
    </w:p>
    <w:p>
      <w:pPr>
        <w:spacing w:after="0" w:line="225" w:lineRule="exact"/>
        <w:rPr>
          <w:sz w:val="20"/>
          <w:szCs w:val="20"/>
          <w:color w:val="auto"/>
        </w:rPr>
      </w:pPr>
    </w:p>
    <w:p>
      <w:pPr>
        <w:ind w:right="680" w:firstLine="486"/>
        <w:spacing w:after="0" w:line="264" w:lineRule="auto"/>
        <w:rPr>
          <w:sz w:val="20"/>
          <w:szCs w:val="20"/>
          <w:color w:val="auto"/>
        </w:rPr>
      </w:pPr>
      <w:r>
        <w:rPr>
          <w:rFonts w:ascii="Arial" w:cs="Arial" w:eastAsia="Arial" w:hAnsi="Arial"/>
          <w:sz w:val="18"/>
          <w:szCs w:val="18"/>
          <w:color w:val="auto"/>
        </w:rPr>
        <w:t>Nevertheless, many of our competitors and potential competitors have longer operating histories, greater name recognition, larger customer or membership bases and significantly greater financial, research, sales and marketing and other resources than we have. We expect to face additional competition from other established and emerging companies in the future.</w:t>
      </w:r>
    </w:p>
    <w:p>
      <w:pPr>
        <w:spacing w:after="0" w:line="127"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We have pioneered a patent risk management solution focused on reducing patent-related risk and expense for operating companies. We believe we are the only for-profit company approaching patent risk management from this perspective. Our business model incorporates attributes that we believe provide us with key competitive strengths.</w:t>
      </w:r>
    </w:p>
    <w:p>
      <w:pPr>
        <w:spacing w:after="0" w:line="33" w:lineRule="exact"/>
        <w:rPr>
          <w:sz w:val="20"/>
          <w:szCs w:val="20"/>
          <w:color w:val="auto"/>
        </w:rPr>
      </w:pPr>
    </w:p>
    <w:p>
      <w:pPr>
        <w:jc w:val="both"/>
        <w:ind w:left="820" w:right="400" w:hanging="326"/>
        <w:spacing w:after="0" w:line="264"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Alignment of Interests With Our Clients </w:t>
      </w:r>
      <w:r>
        <w:rPr>
          <w:rFonts w:ascii="Arial" w:cs="Arial" w:eastAsia="Arial" w:hAnsi="Arial"/>
          <w:sz w:val="18"/>
          <w:szCs w:val="18"/>
          <w:color w:val="auto"/>
        </w:rPr>
        <w:t>– Our business model aligns our interests with those of our clients. We have not asserted and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assert our patents. We generate revenue from subscription fees that are based on our published fee schedule rather than the value of the patent assets we acquire or the potential costs associated with defending against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47" w:lineRule="exact"/>
        <w:rPr>
          <w:sz w:val="20"/>
          <w:szCs w:val="20"/>
          <w:color w:val="auto"/>
        </w:rPr>
      </w:pPr>
    </w:p>
    <w:p>
      <w:pPr>
        <w:ind w:left="820" w:right="260"/>
        <w:spacing w:after="0" w:line="321" w:lineRule="auto"/>
        <w:rPr>
          <w:sz w:val="20"/>
          <w:szCs w:val="20"/>
          <w:color w:val="auto"/>
        </w:rPr>
      </w:pPr>
      <w:r>
        <w:rPr>
          <w:rFonts w:ascii="Arial" w:cs="Arial" w:eastAsia="Arial" w:hAnsi="Arial"/>
          <w:sz w:val="18"/>
          <w:szCs w:val="18"/>
          <w:color w:val="auto"/>
        </w:rPr>
        <w:t>assertions related to our patent assets. As a result, we have relationships with our clients that are based on trust, enabling them to communicate with us without concern that the information shared will be used against them.</w:t>
      </w:r>
    </w:p>
    <w:p>
      <w:pPr>
        <w:ind w:left="820" w:right="2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Network Effect </w:t>
      </w:r>
      <w:r>
        <w:rPr>
          <w:rFonts w:ascii="Arial" w:cs="Arial" w:eastAsia="Arial" w:hAnsi="Arial"/>
          <w:sz w:val="18"/>
          <w:szCs w:val="18"/>
          <w:color w:val="auto"/>
        </w:rPr>
        <w:t>– As we add new clients, we generate new subscription fees that can be used to fund additional acquisitions of patent assets.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enable us to further add new clients and to deliver greater value to our existing clients.</w:t>
      </w:r>
    </w:p>
    <w:p>
      <w:pPr>
        <w:spacing w:after="0" w:line="21" w:lineRule="exact"/>
        <w:rPr>
          <w:rFonts w:ascii="Arial" w:cs="Arial" w:eastAsia="Arial" w:hAnsi="Arial"/>
          <w:sz w:val="18"/>
          <w:szCs w:val="18"/>
          <w:color w:val="auto"/>
        </w:rPr>
      </w:pPr>
    </w:p>
    <w:p>
      <w:pPr>
        <w:ind w:left="820" w:hanging="326"/>
        <w:spacing w:after="0" w:line="286"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More Transparent Valuation Discussions </w:t>
      </w:r>
      <w:r>
        <w:rPr>
          <w:rFonts w:ascii="Arial" w:cs="Arial" w:eastAsia="Arial" w:hAnsi="Arial"/>
          <w:sz w:val="17"/>
          <w:szCs w:val="17"/>
          <w:color w:val="auto"/>
        </w:rPr>
        <w:t>– Most participants in the patent market either assert patents or face patent assertions. Because we do not</w:t>
      </w:r>
      <w:r>
        <w:rPr>
          <w:rFonts w:ascii="Arial" w:cs="Arial" w:eastAsia="Arial" w:hAnsi="Arial"/>
          <w:sz w:val="17"/>
          <w:szCs w:val="17"/>
          <w:i w:val="1"/>
          <w:iCs w:val="1"/>
          <w:color w:val="auto"/>
        </w:rPr>
        <w:t xml:space="preserve"> </w:t>
      </w:r>
      <w:r>
        <w:rPr>
          <w:rFonts w:ascii="Arial" w:cs="Arial" w:eastAsia="Arial" w:hAnsi="Arial"/>
          <w:sz w:val="17"/>
          <w:szCs w:val="17"/>
          <w:color w:val="auto"/>
        </w:rPr>
        <w:t>assert patents and are not likely to have patents asserted against us, we are able to have more open and transparent discussions about the value of patent assets than other market participants whose discussions are directly affected by litigation or the threat of litigation.</w:t>
      </w:r>
    </w:p>
    <w:p>
      <w:pPr>
        <w:spacing w:after="0" w:line="16" w:lineRule="exact"/>
        <w:rPr>
          <w:rFonts w:ascii="Arial" w:cs="Arial" w:eastAsia="Arial" w:hAnsi="Arial"/>
          <w:sz w:val="17"/>
          <w:szCs w:val="17"/>
          <w:color w:val="auto"/>
        </w:rPr>
      </w:pPr>
    </w:p>
    <w:p>
      <w:pPr>
        <w:ind w:left="820" w:hanging="326"/>
        <w:spacing w:after="0" w:line="264"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Patent Market Expertise </w:t>
      </w:r>
      <w:r>
        <w:rPr>
          <w:rFonts w:ascii="Arial" w:cs="Arial" w:eastAsia="Arial" w:hAnsi="Arial"/>
          <w:sz w:val="18"/>
          <w:szCs w:val="18"/>
          <w:color w:val="auto"/>
        </w:rPr>
        <w:t>– Since our inception, we have been refining our processes for identifying potentially valuable patent assets, analyzing</w:t>
      </w:r>
      <w:r>
        <w:rPr>
          <w:rFonts w:ascii="Arial" w:cs="Arial" w:eastAsia="Arial" w:hAnsi="Arial"/>
          <w:sz w:val="18"/>
          <w:szCs w:val="18"/>
          <w:i w:val="1"/>
          <w:iCs w:val="1"/>
          <w:color w:val="auto"/>
        </w:rPr>
        <w:t xml:space="preserve"> </w:t>
      </w:r>
      <w:r>
        <w:rPr>
          <w:rFonts w:ascii="Arial" w:cs="Arial" w:eastAsia="Arial" w:hAnsi="Arial"/>
          <w:sz w:val="18"/>
          <w:szCs w:val="18"/>
          <w:color w:val="auto"/>
        </w:rPr>
        <w:t>and evaluating those assets and executing transactions to acquire rights to those assets. We have developed an extensive set of skills, relationships, historical transaction data and methodologies for valuing patent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rely primarily on a combination of confidentiality, license and other contractual provisions and trademark, trade secret and copyright law to protect our proprietary intellectual property rights. Despite our efforts to protect our proprietary rights, unauthorized parties may attempt to copy or obtain and use our technology. We rely on a dedicated internal team as well as third-party vendors and advisors to assist with the maintenance and prosecution of the patent assets and applications that we acquire.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1"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As of December 31, 2012, we had 125 employees. Of the total employees, 37 are engaged in sales, marketing and corporate development, 31 in patent acquisition and research and 57 in finance, administration and operations. None of our employees is represented by a labor union, and we consider current employee relations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were incorporated in Delaware in July 2008. Our principal executive offices are located at One Market Plaza, Suite 800, San Francisco, California 94105. Our telephone number is (866) 779-7641. Our website address is www.rpxcorp.com. The information on, or that can be accessed through, our website is not part of this Annual Report on Form 10-K.</w:t>
      </w:r>
    </w:p>
    <w:p>
      <w:pPr>
        <w:spacing w:after="0" w:line="181" w:lineRule="exact"/>
        <w:rPr>
          <w:sz w:val="20"/>
          <w:szCs w:val="20"/>
          <w:color w:val="auto"/>
        </w:rPr>
      </w:pPr>
    </w:p>
    <w:p>
      <w:pPr>
        <w:ind w:right="160" w:firstLine="486"/>
        <w:spacing w:after="0" w:line="216" w:lineRule="auto"/>
        <w:rPr>
          <w:sz w:val="20"/>
          <w:szCs w:val="20"/>
          <w:color w:val="auto"/>
        </w:rPr>
      </w:pPr>
      <w:r>
        <w:rPr>
          <w:rFonts w:ascii="Arial" w:cs="Arial" w:eastAsia="Arial" w:hAnsi="Arial"/>
          <w:sz w:val="18"/>
          <w:szCs w:val="18"/>
          <w:color w:val="auto"/>
        </w:rPr>
        <w:t xml:space="preserve">RPX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Rational Patent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our registered trademarks. Any other trademarks appearing in this Annual Report on Form 10-K are the property of their respective holders.</w:t>
      </w:r>
    </w:p>
    <w:p>
      <w:pPr>
        <w:spacing w:after="0" w:line="203"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We have a single operating segment. A summary of our financial information by geographic location is found in Note 18, “Segment Reporting,” in the 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8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Annual Report on Form 10-K, Quarterly Reports on Form 10-Q, Current Reports on Form 8-K and amendments to reports filed pursuant to Sections 13(a) and 15(d) of the Securities Exchange Act of 1934, as amended, are available free of charge on the Investor Relations section of our Web site at www.rpxcorp.com as soon as reasonably practicable after we file such material with the SEC. The other information posted on our Web site is not incorporated into this Annual Report.</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25" w:right="29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11" w:lineRule="exact"/>
        <w:rPr>
          <w:sz w:val="20"/>
          <w:szCs w:val="20"/>
          <w:color w:val="auto"/>
        </w:rPr>
      </w:pPr>
    </w:p>
    <w:p>
      <w:pPr>
        <w:jc w:val="both"/>
        <w:ind w:right="100" w:firstLine="446"/>
        <w:spacing w:after="0" w:line="28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ind w:right="140"/>
        <w:spacing w:after="0" w:line="261" w:lineRule="auto"/>
        <w:rPr>
          <w:sz w:val="20"/>
          <w:szCs w:val="20"/>
          <w:color w:val="auto"/>
        </w:rPr>
      </w:pPr>
      <w:r>
        <w:rPr>
          <w:rFonts w:ascii="Arial" w:cs="Arial" w:eastAsia="Arial" w:hAnsi="Arial"/>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and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solution, our business and operating results will be adversely affected.</w:t>
      </w:r>
    </w:p>
    <w:p>
      <w:pPr>
        <w:spacing w:after="0" w:line="33"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We were incorporated in July 2008. We acquired our first patent assets in September 2008 and sold our first membership in October 2008. Therefore, we have not only a limited operating history, but also a limited track record in executing our business model. Our future success depends on acceptance of our solution by companies we target to become clients. Our efforts to sell our solution to new and existing clients may not continue to be successful. We evaluate our business model from time to time in order to address the evolving needs of our clients and prospective clients, particularly in an industry that continues to develop and change. Furthermore, because we are a relatively new company with a limited operating history, current and prospective clients may have concerns regarding our viability.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22" w:lineRule="exact"/>
        <w:rPr>
          <w:sz w:val="20"/>
          <w:szCs w:val="20"/>
          <w:color w:val="auto"/>
        </w:rPr>
      </w:pPr>
    </w:p>
    <w:p>
      <w:pPr>
        <w:ind w:right="340" w:firstLine="446"/>
        <w:spacing w:after="0" w:line="255" w:lineRule="auto"/>
        <w:rPr>
          <w:sz w:val="20"/>
          <w:szCs w:val="20"/>
          <w:color w:val="auto"/>
        </w:rPr>
      </w:pPr>
      <w:r>
        <w:rPr>
          <w:rFonts w:ascii="Arial" w:cs="Arial" w:eastAsia="Arial" w:hAnsi="Arial"/>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and the timing of those acquisitions may result in significant quarterly fluctuations in our capital expenditures,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factors described above and elsewhere in this Item 1A, other factors that may affect our operating results include:</w:t>
      </w:r>
    </w:p>
    <w:p>
      <w:pPr>
        <w:spacing w:after="0" w:line="77" w:lineRule="exact"/>
        <w:rPr>
          <w:sz w:val="20"/>
          <w:szCs w:val="20"/>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and the costs of new business initiatives;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lower subscription fees from clients whose annual subscription fees decrease due to declining operating income or revenue of such clients;</w:t>
      </w:r>
    </w:p>
    <w:p>
      <w:pPr>
        <w:spacing w:after="0" w:line="88" w:lineRule="exact"/>
        <w:rPr>
          <w:rFonts w:ascii="Arial" w:cs="Arial" w:eastAsia="Arial" w:hAnsi="Arial"/>
          <w:sz w:val="17"/>
          <w:szCs w:val="17"/>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operating expenses attributable to the formation and management of our risk retention group;</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subscription fee rates or changes in our own pricing and discounting policies or those of our competitors;</w:t>
      </w:r>
    </w:p>
    <w:p>
      <w:pPr>
        <w:spacing w:after="0" w:line="76"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21"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lengthy and unpredictable membership sales cycle, including delays in potential clients’ decisions whether to subscribe to our solution;</w:t>
      </w:r>
    </w:p>
    <w:p>
      <w:pPr>
        <w:spacing w:after="0" w:line="88" w:lineRule="exact"/>
        <w:rPr>
          <w:rFonts w:ascii="Arial" w:cs="Arial" w:eastAsia="Arial" w:hAnsi="Arial"/>
          <w:sz w:val="17"/>
          <w:szCs w:val="17"/>
          <w:color w:val="auto"/>
        </w:rPr>
      </w:pPr>
    </w:p>
    <w:p>
      <w:pPr>
        <w:ind w:left="820" w:right="140" w:hanging="326"/>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solutions that meet client requirements in a timely manner;</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losses incurred in insurance policies underwritten by us;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76" w:lineRule="exact"/>
        <w:rPr>
          <w:rFonts w:ascii="Arial" w:cs="Arial" w:eastAsia="Arial" w:hAnsi="Arial"/>
          <w:sz w:val="18"/>
          <w:szCs w:val="18"/>
          <w:color w:val="auto"/>
        </w:rPr>
      </w:pPr>
    </w:p>
    <w:p>
      <w:pPr>
        <w:ind w:left="820" w:right="50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21" w:lineRule="exact"/>
        <w:rPr>
          <w:rFonts w:ascii="Arial" w:cs="Arial" w:eastAsia="Arial" w:hAnsi="Arial"/>
          <w:sz w:val="18"/>
          <w:szCs w:val="18"/>
          <w:color w:val="auto"/>
        </w:rPr>
      </w:pPr>
    </w:p>
    <w:p>
      <w:pPr>
        <w:ind w:left="820" w:right="100" w:hanging="326"/>
        <w:spacing w:after="0" w:line="325" w:lineRule="auto"/>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 and</w:t>
      </w:r>
    </w:p>
    <w:p>
      <w:pPr>
        <w:spacing w:after="0" w:line="1" w:lineRule="exact"/>
        <w:rPr>
          <w:rFonts w:ascii="Arial" w:cs="Arial" w:eastAsia="Arial" w:hAnsi="Arial"/>
          <w:sz w:val="16"/>
          <w:szCs w:val="16"/>
          <w:color w:val="auto"/>
        </w:rPr>
      </w:pPr>
    </w:p>
    <w:p>
      <w:pPr>
        <w:ind w:left="820" w:right="16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70"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market for our patent risk management solution is immature, and if our solution is not widely accepted or is accepted more slowly than we expect, our operating results will be adversely affected.</w:t>
      </w:r>
    </w:p>
    <w:p>
      <w:pPr>
        <w:spacing w:after="0" w:line="22"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new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16"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assertions from NPEs or decreased patent licensing fees owed to NPEs;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86" w:lineRule="exact"/>
        <w:rPr>
          <w:rFonts w:ascii="Arial" w:cs="Arial" w:eastAsia="Arial" w:hAnsi="Arial"/>
          <w:sz w:val="16"/>
          <w:szCs w:val="16"/>
          <w:color w:val="auto"/>
        </w:rPr>
      </w:pPr>
    </w:p>
    <w:p>
      <w:pPr>
        <w:ind w:left="820" w:right="6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 perpetual licenses in all patent assets that they believe are materially relevant to their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sufficient interest by mid- and small-size companies in our patent risk management or insurance offerings;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limited experience with respect to our subscription pricing model, and if the prices we charge for memberships are unacceptable to our existing or potential clients, our revenue and operating results could experience volatility or decline.</w:t>
      </w:r>
    </w:p>
    <w:p>
      <w:pPr>
        <w:spacing w:after="0" w:line="22" w:lineRule="exact"/>
        <w:rPr>
          <w:sz w:val="20"/>
          <w:szCs w:val="20"/>
          <w:color w:val="auto"/>
        </w:rPr>
      </w:pPr>
    </w:p>
    <w:p>
      <w:pPr>
        <w:ind w:right="40" w:firstLine="446"/>
        <w:spacing w:after="0" w:line="291" w:lineRule="auto"/>
        <w:rPr>
          <w:sz w:val="20"/>
          <w:szCs w:val="20"/>
          <w:color w:val="auto"/>
        </w:rPr>
      </w:pPr>
      <w:r>
        <w:rPr>
          <w:rFonts w:ascii="Arial" w:cs="Arial" w:eastAsia="Arial" w:hAnsi="Arial"/>
          <w:sz w:val="16"/>
          <w:szCs w:val="16"/>
          <w:color w:val="auto"/>
        </w:rPr>
        <w:t>We have limited experience with respect to determining the appropriate metrics for establishing the annual subscription fees for our patent risk management solution. If the market for our solution develops more slowly than we anticipate, or if competitors introduce new solutions that compete with ours, we may be unable to renew our memberships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could harm our operating results. If we introduce a higher fee schedule in the future, it may be more difficult for us to attract new clients. In order to attract new clients and retain existing clients, in certain cases we have previously offered, and may in the future offer, discounts or other contractual incentives to clients who execute multi-year subscription agreements or who make client referrals.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very limited flexibility to change the pricing of our solution for existing clients and may not be able to respond effectively to changes in our market. This limited flexibility could have an adverse effect on our operating results.</w:t>
      </w:r>
    </w:p>
    <w:p>
      <w:pPr>
        <w:spacing w:after="0" w:line="22" w:lineRule="exact"/>
        <w:rPr>
          <w:sz w:val="20"/>
          <w:szCs w:val="20"/>
          <w:color w:val="auto"/>
        </w:rPr>
      </w:pPr>
    </w:p>
    <w:p>
      <w:pPr>
        <w:ind w:right="100" w:firstLine="446"/>
        <w:spacing w:after="0" w:line="254" w:lineRule="auto"/>
        <w:rPr>
          <w:sz w:val="20"/>
          <w:szCs w:val="20"/>
          <w:color w:val="auto"/>
        </w:rPr>
      </w:pPr>
      <w:r>
        <w:rPr>
          <w:rFonts w:ascii="Arial" w:cs="Arial" w:eastAsia="Arial" w:hAnsi="Arial"/>
          <w:sz w:val="18"/>
          <w:szCs w:val="18"/>
          <w:color w:val="auto"/>
        </w:rPr>
        <w:t>Under many of our existing subscription agreements, our annual subscription fee is based on a published fee schedule applicable to all of our clients that join our network while that fee schedule is in effect. Clients under such agreements are able to renew their memberships perpetually under the fee schedule in effect at the time that they joined our network with periodic adjustments by us only based on changes in the Consumer Price Index. This means that any increases to our fee schedule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92" w:lineRule="exact"/>
        <w:rPr>
          <w:sz w:val="20"/>
          <w:szCs w:val="20"/>
          <w:color w:val="auto"/>
        </w:rPr>
      </w:pPr>
    </w:p>
    <w:p>
      <w:pPr>
        <w:ind w:right="280"/>
        <w:spacing w:after="0" w:line="347"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78" w:lineRule="exact"/>
        <w:rPr>
          <w:sz w:val="20"/>
          <w:szCs w:val="20"/>
          <w:color w:val="auto"/>
        </w:rPr>
      </w:pPr>
    </w:p>
    <w:p>
      <w:pPr>
        <w:ind w:right="20"/>
        <w:spacing w:after="0" w:line="325" w:lineRule="auto"/>
        <w:rPr>
          <w:sz w:val="20"/>
          <w:szCs w:val="20"/>
          <w:color w:val="auto"/>
        </w:rPr>
      </w:pPr>
      <w:r>
        <w:rPr>
          <w:rFonts w:ascii="Arial" w:cs="Arial" w:eastAsia="Arial" w:hAnsi="Arial"/>
          <w:sz w:val="16"/>
          <w:szCs w:val="16"/>
          <w:b w:val="1"/>
          <w:bCs w:val="1"/>
          <w:i w:val="1"/>
          <w:iCs w:val="1"/>
          <w:color w:val="auto"/>
        </w:rPr>
        <w:t>The success of our business will increasingly depend on clients renewing their subscription agreements, but we do not have an adequate operating history to predict the rate of membership renewals. Any significant decline in our membership renewals could harm our operating results.</w:t>
      </w:r>
    </w:p>
    <w:p>
      <w:pPr>
        <w:spacing w:after="0" w:line="1"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December 31, 2012 was 2.8 years. As our overall membership base grows, we expect our renewal rate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78"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Upon initial subscription, our clients receive a term license for the period of their membership to the majority of the patent assets in our portfolio at the time of subscription. In addition, clients receive term licenses to substantially all of the patent assets we acquire during the period of their membership. Our subscription agreements also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in all patent assets they believe are materially relevant to their businesses.</w:t>
      </w:r>
    </w:p>
    <w:p>
      <w:pPr>
        <w:spacing w:after="0" w:line="189" w:lineRule="exact"/>
        <w:rPr>
          <w:sz w:val="20"/>
          <w:szCs w:val="20"/>
          <w:color w:val="auto"/>
        </w:rPr>
      </w:pPr>
    </w:p>
    <w:p>
      <w:pPr>
        <w:ind w:right="320"/>
        <w:spacing w:after="0" w:line="325"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1"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22" w:lineRule="exact"/>
        <w:rPr>
          <w:sz w:val="20"/>
          <w:szCs w:val="20"/>
          <w:color w:val="auto"/>
        </w:rPr>
      </w:pPr>
    </w:p>
    <w:p>
      <w:pPr>
        <w:ind w:right="80" w:firstLine="446"/>
        <w:spacing w:after="0" w:line="286" w:lineRule="auto"/>
        <w:rPr>
          <w:sz w:val="20"/>
          <w:szCs w:val="20"/>
          <w:color w:val="auto"/>
        </w:rPr>
      </w:pPr>
      <w:r>
        <w:rPr>
          <w:rFonts w:ascii="Arial" w:cs="Arial" w:eastAsia="Arial" w:hAnsi="Arial"/>
          <w:sz w:val="17"/>
          <w:szCs w:val="17"/>
          <w:color w:val="auto"/>
        </w:rPr>
        <w:t>Each client’s subscription fee is reset yearly based on its reported revenue and operating income measured as of the end of its last fiscal year. If a client who is not already paying the minimum due under our fee schedule experiences reduced operating results, its subscription fee for the next year will decline. As a result, our revenue stream is affected by conditions outside of our control that impact the operating results of our clients.</w:t>
      </w:r>
    </w:p>
    <w:p>
      <w:pPr>
        <w:spacing w:after="0" w:line="166"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Our fee schedules generally provide that our subscription fee as a percentage of the client’s operating income decreases as their operating income goes up. Further, the client’s in our network as of December 31, 2012 each had a fee schedule subject to an annual cap. As a result, if one of our clients acquires another client, our future revenue would be reduced as a result of the application of our fee schedule to the combined entity rather than to each entity separately. Any reduction in subscription fees could harm our business and operating results.</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We have invested management time and resources into developing products designed to provide insurance against NPE patent infringement claims. We do not have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38" w:lineRule="exact"/>
        <w:rPr>
          <w:sz w:val="20"/>
          <w:szCs w:val="20"/>
          <w:color w:val="auto"/>
        </w:rPr>
      </w:pPr>
    </w:p>
    <w:p>
      <w:pPr>
        <w:ind w:right="100" w:firstLine="446"/>
        <w:spacing w:after="0" w:line="273" w:lineRule="auto"/>
        <w:rPr>
          <w:sz w:val="20"/>
          <w:szCs w:val="20"/>
          <w:color w:val="auto"/>
        </w:rPr>
      </w:pPr>
      <w:r>
        <w:rPr>
          <w:rFonts w:ascii="Arial" w:cs="Arial" w:eastAsia="Arial" w:hAnsi="Arial"/>
          <w:sz w:val="17"/>
          <w:szCs w:val="17"/>
          <w:color w:val="auto"/>
        </w:rPr>
        <w:t>We have invested management time and financial resources in the development of products designed to provide insurance against NPE patent claims. We have also provided capital to develop and operate this business. We do not have prior experience in designing insurance products, operating an insurance business, attracting policyholders or establishing the pricing or terms of insurance policies. We cannot assure you that our patent insurance products will appeal to a sufficient number of our existing clients or attract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rely on various actuarial models in pricing our insurance product and estimate the frequency and severity of related loss events, but actual results could differ materially from the model outputs. Incurring losses that exceed our predictions could adversely affect our financial condition and results of operations.</w:t>
      </w:r>
    </w:p>
    <w:p>
      <w:pPr>
        <w:spacing w:after="0" w:line="33"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We employ various predictive modeling, stochastic modeling and/or actuarial techniques to analyze and estimate losses and the risks associated with insurance policies that we underwrite. We utilize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33"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188"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47" w:lineRule="exact"/>
        <w:rPr>
          <w:sz w:val="20"/>
          <w:szCs w:val="20"/>
          <w:color w:val="auto"/>
        </w:rPr>
      </w:pPr>
    </w:p>
    <w:p>
      <w:pPr>
        <w:jc w:val="both"/>
        <w:ind w:right="100" w:firstLine="446"/>
        <w:spacing w:after="0" w:line="259"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renewing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22"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88"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In addition to competing for new clients, we also compete to acquire patent assets. Our primary competitors in the market for patent assets include other entities that seek to accumulate patent assets, including NPEs such as Acacia Research, Intellectual Ventures and IP Navigation. Many of our current or potential competitors have longer operating histories, greater name recognition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67"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We expect to face more direct competition in the future from other established and emerging companies. In addition, as a relatively new company in the patent risk management market, we have limited insight into trends that may develop and affect our business. As a result, we may make errors in predicting and reacting to relevant business trends, making us unable to compete effectively against others.</w:t>
      </w:r>
    </w:p>
    <w:p>
      <w:pPr>
        <w:spacing w:after="0" w:line="181" w:lineRule="exact"/>
        <w:rPr>
          <w:sz w:val="20"/>
          <w:szCs w:val="20"/>
          <w:color w:val="auto"/>
        </w:rPr>
      </w:pPr>
    </w:p>
    <w:p>
      <w:pPr>
        <w:ind w:right="180" w:firstLine="446"/>
        <w:spacing w:after="0" w:line="257" w:lineRule="auto"/>
        <w:rPr>
          <w:sz w:val="20"/>
          <w:szCs w:val="20"/>
          <w:color w:val="auto"/>
        </w:rPr>
      </w:pPr>
      <w:r>
        <w:rPr>
          <w:rFonts w:ascii="Arial" w:cs="Arial" w:eastAsia="Arial" w:hAnsi="Arial"/>
          <w:sz w:val="18"/>
          <w:szCs w:val="18"/>
          <w:color w:val="auto"/>
        </w:rPr>
        <w:t>Our current or potential competitors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acquisitions of patent assets are time consuming, complex and costly, which could adversely affect our operating results.</w:t>
      </w:r>
    </w:p>
    <w:p>
      <w:pPr>
        <w:spacing w:after="0" w:line="88" w:lineRule="exact"/>
        <w:rPr>
          <w:sz w:val="20"/>
          <w:szCs w:val="20"/>
          <w:color w:val="auto"/>
        </w:rPr>
      </w:pPr>
    </w:p>
    <w:p>
      <w:pPr>
        <w:ind w:right="120" w:firstLine="446"/>
        <w:spacing w:after="0" w:line="272" w:lineRule="auto"/>
        <w:rPr>
          <w:sz w:val="20"/>
          <w:szCs w:val="20"/>
          <w:color w:val="auto"/>
        </w:rPr>
      </w:pPr>
      <w:r>
        <w:rPr>
          <w:rFonts w:ascii="Arial" w:cs="Arial" w:eastAsia="Arial" w:hAnsi="Arial"/>
          <w:sz w:val="17"/>
          <w:szCs w:val="17"/>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where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78"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structured acquisitions are complex and can be large and high profile. We may incur significant costs to organize and negotiate a structured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business model is new and complex, requiring estimates and judgments by our management. Our estimates and judgments are subject to changes that could adversely affect our operating results.</w:t>
      </w:r>
    </w:p>
    <w:p>
      <w:pPr>
        <w:spacing w:after="0" w:line="22"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color w:val="auto"/>
        </w:rPr>
        <w:t>Our patent risk management business model is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plan to substantially increase our operating expenses to expand our operations, and those increased expenses may negatively impact our profitability.</w:t>
      </w:r>
    </w:p>
    <w:p>
      <w:pPr>
        <w:spacing w:after="0" w:line="111" w:lineRule="exact"/>
        <w:rPr>
          <w:sz w:val="20"/>
          <w:szCs w:val="20"/>
          <w:color w:val="auto"/>
        </w:rPr>
      </w:pPr>
    </w:p>
    <w:p>
      <w:pPr>
        <w:jc w:val="both"/>
        <w:ind w:right="40" w:firstLine="446"/>
        <w:spacing w:after="0" w:line="257" w:lineRule="auto"/>
        <w:rPr>
          <w:sz w:val="20"/>
          <w:szCs w:val="20"/>
          <w:color w:val="auto"/>
        </w:rPr>
      </w:pPr>
      <w:r>
        <w:rPr>
          <w:rFonts w:ascii="Arial" w:cs="Arial" w:eastAsia="Arial" w:hAnsi="Arial"/>
          <w:sz w:val="18"/>
          <w:szCs w:val="18"/>
          <w:color w:val="auto"/>
        </w:rPr>
        <w:t>We expect to increase future expenditures to develop and expand our business, including making substantial expenditures to develop new solutions. To further one of those new solutions, we formed a risk retention group which issues insurance policies to cover the costs of NPE patent claims. Developing and offering this new solution may cause us to incur substantial additional operating expenses. Our efforts to develop this and other new solutions will result in an increase in our operating expenses with no assurance that such solutions will result in additional revenue that is sufficient to offset the additional expenses we incur.</w:t>
      </w:r>
    </w:p>
    <w:p>
      <w:pPr>
        <w:spacing w:after="0" w:line="188" w:lineRule="exact"/>
        <w:rPr>
          <w:sz w:val="20"/>
          <w:szCs w:val="20"/>
          <w:color w:val="auto"/>
        </w:rPr>
      </w:pPr>
    </w:p>
    <w:p>
      <w:pPr>
        <w:jc w:val="both"/>
        <w:ind w:right="160" w:firstLine="446"/>
        <w:spacing w:after="0" w:line="286" w:lineRule="auto"/>
        <w:rPr>
          <w:sz w:val="20"/>
          <w:szCs w:val="20"/>
          <w:color w:val="auto"/>
        </w:rPr>
      </w:pPr>
      <w:r>
        <w:rPr>
          <w:rFonts w:ascii="Arial" w:cs="Arial" w:eastAsia="Arial" w:hAnsi="Arial"/>
          <w:sz w:val="17"/>
          <w:szCs w:val="17"/>
          <w:color w:val="auto"/>
        </w:rPr>
        <w:t>We also plan to incur additional operating expenses as we hire new personnel. From January 1 through December 31, 2012, our headcount grew from 110 to 125 employees. Because we intend to continue to hire, we expect our operating expenses to increase. If we are not successful in generating additional revenue that is sufficient to offset these operating expense increases, our operating results may be harmed.</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small and mid-size companies, we may not be able to maintain our growth and our business and results of operations may be harmed.</w:t>
      </w:r>
    </w:p>
    <w:p>
      <w:pPr>
        <w:spacing w:after="0" w:line="22" w:lineRule="exact"/>
        <w:rPr>
          <w:sz w:val="20"/>
          <w:szCs w:val="20"/>
          <w:color w:val="auto"/>
        </w:rPr>
      </w:pPr>
    </w:p>
    <w:p>
      <w:pPr>
        <w:ind w:right="20" w:firstLine="446"/>
        <w:spacing w:after="0" w:line="272" w:lineRule="auto"/>
        <w:rPr>
          <w:sz w:val="20"/>
          <w:szCs w:val="20"/>
          <w:color w:val="auto"/>
        </w:rPr>
      </w:pPr>
      <w:r>
        <w:rPr>
          <w:rFonts w:ascii="Arial" w:cs="Arial" w:eastAsia="Arial" w:hAnsi="Arial"/>
          <w:sz w:val="17"/>
          <w:szCs w:val="17"/>
          <w:color w:val="auto"/>
        </w:rPr>
        <w:t>Many of our current clients are very large companies. The number of companies of that size is limited and, in order for us to continue our growth, we need to expand our membership base to include small and mid-size companies. There is no guarantee that we will be successful in those efforts. Small and mid-size companies often have more limited budgets available for solutions of the type we offer compared to large companies. Furthermore, small and mid-size companies are generally not subject to as much patent litigation as large companies and, therefore, may not perceive that the benefits of our solution justify its cost. They may also have concerns that we will focus our patent acquisition efforts on patent assets that are of more benefit to our larger clients who pay us higher subscription fees. If we are unable to successfully expand our membership base to include more small and mid-size companies, our growth may slow, and our business may be harmed.</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22" w:lineRule="exact"/>
        <w:rPr>
          <w:sz w:val="20"/>
          <w:szCs w:val="20"/>
          <w:color w:val="auto"/>
        </w:rPr>
      </w:pPr>
    </w:p>
    <w:p>
      <w:pPr>
        <w:ind w:right="80" w:firstLine="446"/>
        <w:spacing w:after="0" w:line="302" w:lineRule="auto"/>
        <w:rPr>
          <w:sz w:val="20"/>
          <w:szCs w:val="20"/>
          <w:color w:val="auto"/>
        </w:rPr>
      </w:pPr>
      <w:r>
        <w:rPr>
          <w:rFonts w:ascii="Arial" w:cs="Arial" w:eastAsia="Arial" w:hAnsi="Arial"/>
          <w:sz w:val="16"/>
          <w:szCs w:val="16"/>
          <w:color w:val="auto"/>
        </w:rPr>
        <w:t>We receive a significant amount of our revenue from a limited number of clients. For example, during the year ended December 31, 2012, our 10 highest revenue-generating clients accounted for approximately 30% of our total revenue. We expect that a significant portion of our revenue will continue to come from a relatively small number of clients for the foreseeable future. If any of these clients chooses not to renew its membership, or if our subscription fees from one of these clients decline, our revenue may correspondingly decrease and our operating results may be adversely affected.</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22" w:lineRule="exact"/>
        <w:rPr>
          <w:sz w:val="20"/>
          <w:szCs w:val="20"/>
          <w:color w:val="auto"/>
        </w:rPr>
      </w:pPr>
    </w:p>
    <w:p>
      <w:pPr>
        <w:ind w:right="200" w:firstLine="446"/>
        <w:spacing w:after="0" w:line="286" w:lineRule="auto"/>
        <w:rPr>
          <w:sz w:val="20"/>
          <w:szCs w:val="20"/>
          <w:color w:val="auto"/>
        </w:rPr>
      </w:pPr>
      <w:r>
        <w:rPr>
          <w:rFonts w:ascii="Arial" w:cs="Arial" w:eastAsia="Arial" w:hAnsi="Arial"/>
          <w:sz w:val="17"/>
          <w:szCs w:val="17"/>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 otherwise offer growth opportunities.</w:t>
      </w:r>
    </w:p>
    <w:p>
      <w:pPr>
        <w:spacing w:after="0" w:line="166"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The development and implementation of new solutions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22" w:lineRule="exact"/>
        <w:rPr>
          <w:sz w:val="20"/>
          <w:szCs w:val="20"/>
          <w:color w:val="auto"/>
        </w:rPr>
      </w:pPr>
    </w:p>
    <w:p>
      <w:pPr>
        <w:ind w:right="40" w:firstLine="446"/>
        <w:spacing w:after="0" w:line="290" w:lineRule="auto"/>
        <w:rPr>
          <w:sz w:val="20"/>
          <w:szCs w:val="20"/>
          <w:color w:val="auto"/>
        </w:rPr>
      </w:pPr>
      <w:r>
        <w:rPr>
          <w:rFonts w:ascii="Arial" w:cs="Arial" w:eastAsia="Arial" w:hAnsi="Arial"/>
          <w:sz w:val="16"/>
          <w:szCs w:val="16"/>
          <w:color w:val="auto"/>
        </w:rPr>
        <w:t>If Congress, the United States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the number of defendants that can be joined in a single patent litigation action,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of bringing patent enforcement actions. As a result, assertions and the threat of assertions by NPEs may decrease. If this occurs, companies may seek to resolve patent claims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to our business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Following the launch of insurance products for NPE patent infringement claims, we now face the risks associated with operating an insurance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these risks, our results of operations and financial condition may be adversely affected.</w:t>
      </w:r>
    </w:p>
    <w:p>
      <w:pPr>
        <w:spacing w:after="0" w:line="62" w:lineRule="exact"/>
        <w:rPr>
          <w:sz w:val="20"/>
          <w:szCs w:val="20"/>
          <w:color w:val="auto"/>
        </w:rPr>
      </w:pPr>
    </w:p>
    <w:p>
      <w:pPr>
        <w:ind w:right="60" w:firstLine="446"/>
        <w:spacing w:after="0" w:line="290" w:lineRule="auto"/>
        <w:rPr>
          <w:sz w:val="20"/>
          <w:szCs w:val="20"/>
          <w:color w:val="auto"/>
        </w:rPr>
      </w:pPr>
      <w:r>
        <w:rPr>
          <w:rFonts w:ascii="Arial" w:cs="Arial" w:eastAsia="Arial" w:hAnsi="Arial"/>
          <w:sz w:val="16"/>
          <w:szCs w:val="16"/>
          <w:color w:val="auto"/>
        </w:rPr>
        <w:t>We recently started to offer insurance products for NPE patent claims, and therefore face new risks associated with the operation of an insurance business. We have no prior experience in operating an insurance business, which includes assuming underwriting risk and setting premiums. There are many estimates and forecasts involved in predicting underwriting risk and setting premiums, many of which are subject to substantial uncertainty and which could cause our expenses and earnings to vary significantly from quarter to quarter. If we do not estimate our underwriting risks and set our premiums successfully, we may incur larger losses on our policies than we expect, which could have an adverse effect on our results of operations and financial condition. Under GAAP, while revenue is recognized ratably, losses are recognized as incurred. This will increase the variability of our operating results until such time as our insurance business operates at scale.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166" w:lineRule="exact"/>
        <w:rPr>
          <w:sz w:val="20"/>
          <w:szCs w:val="20"/>
          <w:color w:val="auto"/>
        </w:rPr>
      </w:pPr>
    </w:p>
    <w:p>
      <w:pPr>
        <w:ind w:right="560"/>
        <w:spacing w:after="0" w:line="347" w:lineRule="auto"/>
        <w:rPr>
          <w:sz w:val="20"/>
          <w:szCs w:val="20"/>
          <w:color w:val="auto"/>
        </w:rPr>
      </w:pPr>
      <w:r>
        <w:rPr>
          <w:rFonts w:ascii="Arial" w:cs="Arial" w:eastAsia="Arial" w:hAnsi="Arial"/>
          <w:sz w:val="15"/>
          <w:szCs w:val="15"/>
          <w:b w:val="1"/>
          <w:bCs w:val="1"/>
          <w:i w:val="1"/>
          <w:iCs w:val="1"/>
          <w:color w:val="auto"/>
        </w:rPr>
        <w:t>We plan to continue to grow our operations to support our current solution and the development of new solutions. If we fail to manage our growth effectively, we may be unable to execute our business plan, maintain high levels of service or address competitive challenges adequately.</w:t>
      </w:r>
    </w:p>
    <w:p>
      <w:pPr>
        <w:spacing w:after="0" w:line="1"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We have substantially expanded our overall business, headcount and operations in recent periods. We plan to expand our operations and headcount in the future in order to support our efforts to increase our membership base, continue to acquire valuable patent assets and develop additional solutions. Further, increases in our membership base could challenge our ability to provide satisfactory service and support to our clients. In addition, we will be required to continue to improve our operational, financial and management controls and our reporting procedures. As a result, we may be unable to manage our business effectively in the future, which may negatively impact our operating results.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22" w:lineRule="exact"/>
        <w:rPr>
          <w:sz w:val="20"/>
          <w:szCs w:val="20"/>
          <w:color w:val="auto"/>
        </w:rPr>
      </w:pPr>
    </w:p>
    <w:p>
      <w:pPr>
        <w:ind w:right="260" w:firstLine="446"/>
        <w:spacing w:after="0" w:line="279" w:lineRule="auto"/>
        <w:rPr>
          <w:sz w:val="20"/>
          <w:szCs w:val="20"/>
          <w:color w:val="auto"/>
        </w:rPr>
      </w:pPr>
      <w:r>
        <w:rPr>
          <w:rFonts w:ascii="Arial" w:cs="Arial" w:eastAsia="Arial" w:hAnsi="Arial"/>
          <w:sz w:val="17"/>
          <w:szCs w:val="17"/>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patent or other litigation proceedings related to our clients. Our involvement could cause us to expend significant resources.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could also require us to disclose information related to our clients, which could cause such clients not to renew their subscriptions with us.</w:t>
      </w:r>
    </w:p>
    <w:p>
      <w:pPr>
        <w:spacing w:after="0" w:line="85" w:lineRule="exact"/>
        <w:rPr>
          <w:sz w:val="20"/>
          <w:szCs w:val="20"/>
          <w:color w:val="auto"/>
        </w:rPr>
      </w:pPr>
    </w:p>
    <w:p>
      <w:pPr>
        <w:ind w:right="60" w:firstLine="446"/>
        <w:spacing w:after="0" w:line="269" w:lineRule="auto"/>
        <w:rPr>
          <w:sz w:val="20"/>
          <w:szCs w:val="20"/>
          <w:color w:val="auto"/>
        </w:rPr>
      </w:pPr>
      <w:r>
        <w:rPr>
          <w:rFonts w:ascii="Arial" w:cs="Arial" w:eastAsia="Arial" w:hAnsi="Arial"/>
          <w:sz w:val="17"/>
          <w:szCs w:val="17"/>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For example, on March 7, 2012, a lawsuit was filed against the Company and some of its clients (the “Defendants”). The complaint alleges that the Defendants violated federal antitrust law, California antitrust law and California unfair competition law. The plaintiff seeks unspecified monetary damages and injunctive relief. The Company is not currently able to determine whether there is a reasonable possibility that a loss will be incurred nor can it estimate the potential loss or range of the potential loss that may result from this litigation. We may incur significant costs in defending this claim and the result may not be favorable. An unfavorable outcome of this claim could result in proliferation of similar claims against us. The expense and disclosure associated with our involvement in litigation could have an adverse effect on our business, prospects, financial condition, operating results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77"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Because of our limited operating history and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78"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22" w:lineRule="exact"/>
        <w:rPr>
          <w:sz w:val="20"/>
          <w:szCs w:val="20"/>
          <w:color w:val="auto"/>
        </w:rPr>
      </w:pPr>
    </w:p>
    <w:p>
      <w:pPr>
        <w:ind w:right="160" w:firstLine="446"/>
        <w:spacing w:after="0" w:line="276" w:lineRule="auto"/>
        <w:rPr>
          <w:sz w:val="20"/>
          <w:szCs w:val="20"/>
          <w:color w:val="auto"/>
        </w:rPr>
      </w:pPr>
      <w:r>
        <w:rPr>
          <w:rFonts w:ascii="Arial" w:cs="Arial" w:eastAsia="Arial" w:hAnsi="Arial"/>
          <w:sz w:val="17"/>
          <w:szCs w:val="17"/>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22"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We have in the past and may in the future seek to acquire or invest in businesses, products or technologies that we believe could complement or expand our client offerings,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We may not be able to integrate the acquired personnel, operations and technologies successfully or effectively manage the combined business following the completion of the acquisition.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not achieve the anticipated benefits from a business acquisition due to a number of factors, including:</w:t>
      </w:r>
    </w:p>
    <w:p>
      <w:pPr>
        <w:spacing w:after="0" w:line="63"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additional legal, financial and accounting challenges and complexities in areas such as tax planning, cash management and financial reporting;</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440" w:firstLine="446"/>
        <w:spacing w:after="0" w:line="342" w:lineRule="auto"/>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00"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77"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 hire personnel that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78" w:lineRule="exact"/>
        <w:rPr>
          <w:sz w:val="20"/>
          <w:szCs w:val="20"/>
          <w:color w:val="auto"/>
        </w:rPr>
      </w:pPr>
    </w:p>
    <w:p>
      <w:pPr>
        <w:ind w:right="320"/>
        <w:spacing w:after="0" w:line="306" w:lineRule="auto"/>
        <w:rPr>
          <w:sz w:val="20"/>
          <w:szCs w:val="20"/>
          <w:color w:val="auto"/>
        </w:rPr>
      </w:pPr>
      <w:r>
        <w:rPr>
          <w:rFonts w:ascii="Arial" w:cs="Arial" w:eastAsia="Arial" w:hAnsi="Arial"/>
          <w:sz w:val="17"/>
          <w:szCs w:val="17"/>
          <w:b w:val="1"/>
          <w:bCs w:val="1"/>
          <w:i w:val="1"/>
          <w:iCs w:val="1"/>
          <w:color w:val="auto"/>
        </w:rPr>
        <w:t>If we fail to effectively integrate our new Chief Financial Officer and adapt to changes in the company’s management team, our ability to execute our business plan may suffer, which could have an adverse effect on our future growth, operating results and stock price.</w:t>
      </w:r>
    </w:p>
    <w:p>
      <w:pPr>
        <w:spacing w:after="0" w:line="1"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On September 1, 2012, Geoffrey T. Barker transitioned from his former position as Chief Operating Officer to a strategic role as an Executive Director. In addition, our Board of Directors recently selected Ned Segal to succeed Adam Spiegel as our Chief Financial Officer. As a result of these changes in personnel and positions, the members of our management team have assumed new responsibilities. Our ability to execute our business plan will depend in part on our ability to successfully integrate our new Chief Financial Officer into the management team and our management team’s ability to develop new working relationships and adapt to changing responsibilities. Our stock price will also depend in part on our investors’ confidence in our new management team. Any actual or perceived inability of our management team to execute our business plan could have an adverse effect on our future growth, operating results and stock price.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Weak global economic conditions may adversely affect demand for our solution or fees payable under our subscription agreements, which could adversely affect our financial condition and operating results.</w:t>
      </w:r>
    </w:p>
    <w:p>
      <w:pPr>
        <w:spacing w:after="0" w:line="22" w:lineRule="exact"/>
        <w:rPr>
          <w:sz w:val="20"/>
          <w:szCs w:val="20"/>
          <w:color w:val="auto"/>
        </w:rPr>
      </w:pPr>
    </w:p>
    <w:p>
      <w:pPr>
        <w:ind w:right="80" w:firstLine="446"/>
        <w:spacing w:after="0" w:line="293"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65" w:lineRule="exact"/>
        <w:rPr>
          <w:sz w:val="20"/>
          <w:szCs w:val="20"/>
          <w:color w:val="auto"/>
        </w:rPr>
      </w:pPr>
    </w:p>
    <w:p>
      <w:pPr>
        <w:jc w:val="both"/>
        <w:ind w:right="600"/>
        <w:spacing w:after="0" w:line="311"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public company, we incur significant increased costs that may adversely affect our operating results and financial condition.</w:t>
      </w:r>
    </w:p>
    <w:p>
      <w:pPr>
        <w:spacing w:after="0" w:line="77"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As a public company, we incur significant accounting, legal and other expenses that we did not incur as a private company, including costs associated with our public company reporting requirements. We have also incurred, and anticipate that we will continue to incur, costs associated with corporate governance requirements, including requirements under the Sarbanes-Oxley Act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2002 and the Dodd-Frank Wall Street Reform and Consumer Protection Act, as well as rules implemented by the SEC and The NASDAQ Stock Market. Furthermore,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w:t>
      </w:r>
    </w:p>
    <w:p>
      <w:pPr>
        <w:spacing w:after="0" w:line="188" w:lineRule="exact"/>
        <w:rPr>
          <w:sz w:val="20"/>
          <w:szCs w:val="20"/>
          <w:color w:val="auto"/>
        </w:rPr>
      </w:pPr>
    </w:p>
    <w:p>
      <w:pPr>
        <w:ind w:right="20" w:firstLine="446"/>
        <w:spacing w:after="0" w:line="273" w:lineRule="auto"/>
        <w:rPr>
          <w:sz w:val="20"/>
          <w:szCs w:val="20"/>
          <w:color w:val="auto"/>
        </w:rPr>
      </w:pPr>
      <w:r>
        <w:rPr>
          <w:rFonts w:ascii="Arial" w:cs="Arial" w:eastAsia="Arial" w:hAnsi="Arial"/>
          <w:sz w:val="17"/>
          <w:szCs w:val="17"/>
          <w:color w:val="auto"/>
        </w:rPr>
        <w:t>New laws and regulations as well as changes to existing laws and regulations affecting public companies, including the provisions of the Sarbanes-Oxley Act of 2002, the Dodd-Frank Wall Street Reform and Consumer Protection Act and rules adopted by the SEC and by The NASDAQ Stock Market, would likely result in increased costs to us as we respond to their requirements. We are investing resources to comply with evolving laws and regulations, and this investment may result in increased general and administrative expenses and a diversion of management’s time and attention from revenue-generating activities to compliance activities. Such increased expenses, the difficulty of attracting and retaining qualified officers and directors, and the diversion of management’s attention could adversely affect our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rates or exposure to additional tax liabilities could adversely affect our earnings and financial condition.</w:t>
      </w:r>
    </w:p>
    <w:p>
      <w:pPr>
        <w:spacing w:after="0" w:line="77"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We are subject to income taxes in the United States and various foreign jurisdictions. Significant judgment is required in determining our provision for income taxes and other tax liabilities. In the ordinary course of our business, there are intercompany transactions and calculations where the ultimate tax determination is uncertain. Our income tax returns are routinely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jc w:val="both"/>
        <w:ind w:right="80" w:firstLine="446"/>
        <w:spacing w:after="0" w:line="286" w:lineRule="auto"/>
        <w:rPr>
          <w:sz w:val="20"/>
          <w:szCs w:val="20"/>
          <w:color w:val="auto"/>
        </w:rPr>
      </w:pPr>
      <w:r>
        <w:rPr>
          <w:rFonts w:ascii="Arial" w:cs="Arial" w:eastAsia="Arial" w:hAnsi="Arial"/>
          <w:sz w:val="17"/>
          <w:szCs w:val="17"/>
          <w:color w:val="auto"/>
        </w:rPr>
        <w:t>We are also subject to non-income taxes, such as payroll, sales, use, value-added, net worth, property and goods and services taxes in the United States and various foreign jurisdictions. We are routinely under audit by tax authorities with respect to these non-income taxes and may have exposure to additional non-income tax liabilities that could have an adverse effect on our results of operations and financial condition.</w:t>
      </w:r>
    </w:p>
    <w:p>
      <w:pPr>
        <w:spacing w:after="0" w:line="166"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In addition, our future effective tax rates could be favorably or unfavorably affected by changes in tax rates, changes in the valuation of our deferred tax assets or liabilities, changes in our legal structure or changes in tax laws or their interpretation. Such changes could have a material adverse impact on our financial results.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22"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could vary as a result of the methods, estimates and judgments we use in applying our accounting policies.</w:t>
      </w:r>
    </w:p>
    <w:p>
      <w:pPr>
        <w:spacing w:after="0" w:line="88"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coverage may not be available to us in the future at commercially reasonable rates or at all.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00" w:firstLine="446"/>
        <w:spacing w:after="0" w:line="257" w:lineRule="auto"/>
        <w:rPr>
          <w:sz w:val="20"/>
          <w:szCs w:val="20"/>
          <w:color w:val="auto"/>
        </w:rPr>
      </w:pPr>
      <w:r>
        <w:rPr>
          <w:rFonts w:ascii="Arial" w:cs="Arial" w:eastAsia="Arial" w:hAnsi="Arial"/>
          <w:sz w:val="18"/>
          <w:szCs w:val="18"/>
          <w:color w:val="auto"/>
        </w:rPr>
        <w:t>As of December 31, 2012, we had secured quota share reinsurance for 50% of the risk underwritten through our NPE insurance product offering. The availability and cost of reinsurance are subject to prevailing market conditions that are beyond our control. No assurances can be made that reinsurance will remain continuously available to us in amounts that we consider sufficient and at rates that we consider acceptable, which would cause us to increase the amount of risk we retain, reduce the amount of business we underwrite or look for alternatives to reinsurance. This, in turn, could have a material adverse effect on our financial condition or results of operations.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22" w:lineRule="exact"/>
        <w:rPr>
          <w:sz w:val="20"/>
          <w:szCs w:val="20"/>
          <w:color w:val="auto"/>
        </w:rPr>
      </w:pPr>
    </w:p>
    <w:p>
      <w:pPr>
        <w:ind w:right="140" w:firstLine="446"/>
        <w:spacing w:after="0" w:line="273" w:lineRule="auto"/>
        <w:rPr>
          <w:sz w:val="20"/>
          <w:szCs w:val="20"/>
          <w:color w:val="auto"/>
        </w:rPr>
      </w:pPr>
      <w:r>
        <w:rPr>
          <w:rFonts w:ascii="Arial" w:cs="Arial" w:eastAsia="Arial" w:hAnsi="Arial"/>
          <w:sz w:val="17"/>
          <w:szCs w:val="17"/>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22"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thisAnnual Report on Form 10-K and others such as:</w:t>
      </w:r>
    </w:p>
    <w:p>
      <w:pPr>
        <w:spacing w:after="0" w:line="25"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86" w:lineRule="exact"/>
        <w:rPr>
          <w:rFonts w:ascii="Arial" w:cs="Arial" w:eastAsia="Arial" w:hAnsi="Arial"/>
          <w:sz w:val="16"/>
          <w:szCs w:val="16"/>
          <w:color w:val="auto"/>
        </w:rPr>
      </w:pPr>
    </w:p>
    <w:p>
      <w:pPr>
        <w:ind w:left="820" w:right="82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8"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conditions in our industry and the economy as a whole;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225" w:lineRule="exact"/>
        <w:rPr>
          <w:sz w:val="20"/>
          <w:szCs w:val="20"/>
          <w:color w:val="auto"/>
        </w:rPr>
      </w:pPr>
    </w:p>
    <w:p>
      <w:pPr>
        <w:ind w:right="200" w:firstLine="446"/>
        <w:spacing w:after="0" w:line="286" w:lineRule="auto"/>
        <w:rPr>
          <w:sz w:val="20"/>
          <w:szCs w:val="20"/>
          <w:color w:val="auto"/>
        </w:rPr>
      </w:pPr>
      <w:r>
        <w:rPr>
          <w:rFonts w:ascii="Arial" w:cs="Arial" w:eastAsia="Arial" w:hAnsi="Arial"/>
          <w:sz w:val="17"/>
          <w:szCs w:val="17"/>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three largest stockholders and our directors and executive officers, in the aggregate, own approximately 44% of our outstanding common stock and will be able to exercise substantial control over all matters requiring stockholder approval. This concentration of ownership limits your ability to influence corporate matters.</w:t>
      </w:r>
    </w:p>
    <w:p>
      <w:pPr>
        <w:spacing w:after="0" w:line="33"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As of December 31, 2012, affiliates of Index Ventures, affiliates of Charles River Ventures and KPCB Holdings, Inc. each beneficially owned approximately 10%, 12% and 12%, respectively, of our outstanding common stock, and our directors and executive officers and their affiliates, in the aggregate, beneficially owned approximately an additional 10% of our outstanding common stock. As a result, these stockholders will be able to exercise substantial control over all matters requiring stockholder approval, including the election of directors and approval of significant corporate transactions, such as a merger or other sale of our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company or its assets. This concentration of ownership will limit your ability to influence corporate matters and may have the effect of delaying or preventing a third party from acquiring control over us. In addition, each of Index Ventures, Charles River Ventures and KPCB Holdings, Inc. currently has a representative on our Board of Directors.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securities analysts do not continue to publish research or publish unfavorable research about our business, our stock price and trading volume could decline.</w:t>
      </w:r>
    </w:p>
    <w:p>
      <w:pPr>
        <w:spacing w:after="0" w:line="22"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analysts publish about us or our business. A limited number of securities analysts currently publish research reports on us. If one or more of the analysts who covers us downgrades our stock or publishes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22"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If our existing stockholders, particularly our directors and executive officers and the venture capital funds affiliated with our current directors, sell substantial amounts of our common stock in the public market, or are perceived by the public market as intending to sell substantial amounts of our common stock, the trading price of our common stock could decline.</w:t>
      </w:r>
    </w:p>
    <w:p>
      <w:pPr>
        <w:spacing w:after="0" w:line="181" w:lineRule="exact"/>
        <w:rPr>
          <w:sz w:val="20"/>
          <w:szCs w:val="20"/>
          <w:color w:val="auto"/>
        </w:rPr>
      </w:pPr>
    </w:p>
    <w:p>
      <w:pPr>
        <w:jc w:val="both"/>
        <w:ind w:right="120" w:firstLine="446"/>
        <w:spacing w:after="0" w:line="264" w:lineRule="auto"/>
        <w:rPr>
          <w:sz w:val="20"/>
          <w:szCs w:val="20"/>
          <w:color w:val="auto"/>
        </w:rPr>
      </w:pPr>
      <w:r>
        <w:rPr>
          <w:rFonts w:ascii="Arial" w:cs="Arial" w:eastAsia="Arial" w:hAnsi="Arial"/>
          <w:sz w:val="18"/>
          <w:szCs w:val="18"/>
          <w:color w:val="auto"/>
        </w:rPr>
        <w:t>As of December 31, 2012, some of our existing stockholders have demand and piggyback rights to require us to register with the SEC approximately 22,000,000 shares of our common stock. If we register these shares of common stock, the stockholders would be able to sell those shares freely in the public market.</w:t>
      </w:r>
    </w:p>
    <w:p>
      <w:pPr>
        <w:spacing w:after="0" w:line="181" w:lineRule="exact"/>
        <w:rPr>
          <w:sz w:val="20"/>
          <w:szCs w:val="20"/>
          <w:color w:val="auto"/>
        </w:rPr>
      </w:pPr>
    </w:p>
    <w:p>
      <w:pPr>
        <w:ind w:right="440" w:firstLine="446"/>
        <w:spacing w:after="0" w:line="308" w:lineRule="auto"/>
        <w:rPr>
          <w:sz w:val="20"/>
          <w:szCs w:val="20"/>
          <w:color w:val="auto"/>
        </w:rPr>
      </w:pPr>
      <w:r>
        <w:rPr>
          <w:rFonts w:ascii="Arial" w:cs="Arial" w:eastAsia="Arial" w:hAnsi="Arial"/>
          <w:sz w:val="17"/>
          <w:szCs w:val="17"/>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47"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33"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22" w:lineRule="exact"/>
        <w:rPr>
          <w:sz w:val="20"/>
          <w:szCs w:val="20"/>
          <w:color w:val="auto"/>
        </w:rPr>
      </w:pPr>
    </w:p>
    <w:p>
      <w:pPr>
        <w:ind w:right="140" w:firstLine="446"/>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10"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63"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left="820" w:right="18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22" w:lineRule="exact"/>
        <w:rPr>
          <w:sz w:val="20"/>
          <w:szCs w:val="20"/>
          <w:color w:val="auto"/>
        </w:rPr>
      </w:pPr>
    </w:p>
    <w:p>
      <w:pPr>
        <w:jc w:val="both"/>
        <w:ind w:right="140" w:firstLine="446"/>
        <w:spacing w:after="0" w:line="259"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1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8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currently lease approximately 67,000 square feet of office space in two locations in San Francisco, California pursuant to leases that expire on various dates through October 2019. We also maintain sales offices in Japan and Finland. We believe that our current facilities are suitable and adequate to meet our current needs and we intend to add new facilities or expand existing facilities as we add employees. We believe that suitable additional or substitute space will be available as needed to accommodate expansion of our operations.</w:t>
      </w:r>
    </w:p>
    <w:p>
      <w:pPr>
        <w:spacing w:after="0" w:line="1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From time to time, we may be a party to various litigation claims in the normal course of business. Legal fees and other costs associated with such actions are expensed as incurred. We assess, in conjunction with our legal counsel, the need to record a liability for litigation or contingencies. A liability is recorded when and if it is determined that such a liability for litigation or contingencies is both probable and reasonably estimable. No liability for litigation or contingencies was recorded as of December 31, 2012.</w:t>
      </w:r>
    </w:p>
    <w:p>
      <w:pPr>
        <w:spacing w:after="0" w:line="187" w:lineRule="exact"/>
        <w:rPr>
          <w:sz w:val="20"/>
          <w:szCs w:val="20"/>
          <w:color w:val="auto"/>
        </w:rPr>
      </w:pPr>
    </w:p>
    <w:p>
      <w:pPr>
        <w:jc w:val="both"/>
        <w:ind w:right="60" w:firstLine="486"/>
        <w:spacing w:after="0" w:line="286" w:lineRule="auto"/>
        <w:rPr>
          <w:sz w:val="20"/>
          <w:szCs w:val="20"/>
          <w:color w:val="auto"/>
        </w:rPr>
      </w:pPr>
      <w:r>
        <w:rPr>
          <w:rFonts w:ascii="Arial" w:cs="Arial" w:eastAsia="Arial" w:hAnsi="Arial"/>
          <w:sz w:val="16"/>
          <w:szCs w:val="16"/>
          <w:color w:val="auto"/>
        </w:rPr>
        <w:t>In February 2013, Volkswagen Group of America, Inc. (“Volkswagen”) filed a third party complaint (the "Complaint") against us as part of an existing patent infringement lawsuit in the U.S. District Court for the Eastern District of Texas that was originally filed by Norman IP Holdings, LLC (“Norman”) and in which Volkswagen is a defendant. The Complaint relates to a patent license and acquisition transaction that we entered with Norman and Saxon in January 2010. The claims allege that we, together with Norman and Saxon Innovations, LLC (“Saxon”), violated federal antitrust law and Texas antitrust</w:t>
      </w:r>
    </w:p>
    <w:p>
      <w:pPr>
        <w:spacing w:after="0" w:line="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law. Volkswagen seeks declaratory relief, unspecified monetary damages, and injunctive relief. Because the case against us is at a very early stage, we are not currently able to determine whether there is a reasonable possibility that a loss has been incurred nor can we estimate the range of the potential loss that may result from this litigation.</w:t>
      </w:r>
    </w:p>
    <w:p>
      <w:pPr>
        <w:spacing w:after="0" w:line="19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March 2012, Cascades Computer Innovations LLC filed a lawsuit in U.S. District Court for the Northern District of California (the “Court”) against us and five of our clients (collectively the “Defendants”). The lawsuit alleges that the Defendants violated federal antitrust law, California antitrust law and California unfair competition law. The lawsuit claims that after we terminated our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We are not currently able to determine whether there is a reasonable possibility that a loss has been incurred, nor can we estimate the potential loss or range of the potential loss that may result from this litigation.</w:t>
      </w:r>
    </w:p>
    <w:p>
      <w:pPr>
        <w:spacing w:after="0" w:line="1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81"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Our common stock is currently traded on The NASDAQ Global Select Market under the symbol “RPXC” and has been traded on NASDAQ since our initial public offering on May 4, 2011. The following table sets forth, for the periods indicated, the high and low closing prices of our common stock as reported on The NASDAQ Global Select Market.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gridSpan w:val="2"/>
          </w:tcPr>
          <w:p>
            <w:pPr>
              <w:ind w:left="300"/>
              <w:spacing w:after="0"/>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16"/>
                <w:szCs w:val="16"/>
                <w:color w:val="auto"/>
              </w:rPr>
            </w:pPr>
          </w:p>
        </w:tc>
        <w:tc>
          <w:tcPr>
            <w:tcW w:w="1400" w:type="dxa"/>
            <w:vAlign w:val="bottom"/>
          </w:tcPr>
          <w:p>
            <w:pPr>
              <w:jc w:val="right"/>
              <w:ind w:right="692"/>
              <w:spacing w:after="0"/>
              <w:rPr>
                <w:sz w:val="20"/>
                <w:szCs w:val="20"/>
                <w:color w:val="auto"/>
              </w:rPr>
            </w:pPr>
            <w:r>
              <w:rPr>
                <w:rFonts w:ascii="Arial" w:cs="Arial" w:eastAsia="Arial" w:hAnsi="Arial"/>
                <w:sz w:val="14"/>
                <w:szCs w:val="14"/>
                <w:b w:val="1"/>
                <w:bCs w:val="1"/>
                <w:color w:val="auto"/>
              </w:rPr>
              <w:t>Low</w:t>
            </w:r>
          </w:p>
        </w:tc>
      </w:tr>
      <w:tr>
        <w:trPr>
          <w:trHeight w:val="250"/>
        </w:trPr>
        <w:tc>
          <w:tcPr>
            <w:tcW w:w="7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2011:</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120" w:type="dxa"/>
            <w:vAlign w:val="bottom"/>
          </w:tcPr>
          <w:p>
            <w:pPr>
              <w:ind w:left="380"/>
              <w:spacing w:after="0"/>
              <w:rPr>
                <w:sz w:val="20"/>
                <w:szCs w:val="20"/>
                <w:color w:val="auto"/>
              </w:rPr>
            </w:pPr>
            <w:r>
              <w:rPr>
                <w:rFonts w:ascii="Arial" w:cs="Arial" w:eastAsia="Arial" w:hAnsi="Arial"/>
                <w:sz w:val="18"/>
                <w:szCs w:val="18"/>
                <w:color w:val="auto"/>
              </w:rPr>
              <w:t>Second Quarter (from May 4, 2011)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31.41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23.00</w:t>
            </w:r>
          </w:p>
        </w:tc>
      </w:tr>
      <w:tr>
        <w:trPr>
          <w:trHeight w:val="27"/>
        </w:trPr>
        <w:tc>
          <w:tcPr>
            <w:tcW w:w="7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19.66</w:t>
            </w:r>
          </w:p>
        </w:tc>
      </w:tr>
      <w:tr>
        <w:trPr>
          <w:trHeight w:val="243"/>
        </w:trPr>
        <w:tc>
          <w:tcPr>
            <w:tcW w:w="712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11.97</w:t>
            </w:r>
          </w:p>
        </w:tc>
      </w:tr>
      <w:tr>
        <w:trPr>
          <w:trHeight w:val="27"/>
        </w:trPr>
        <w:tc>
          <w:tcPr>
            <w:tcW w:w="7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2012:</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12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13.50</w:t>
            </w:r>
          </w:p>
        </w:tc>
      </w:tr>
      <w:tr>
        <w:trPr>
          <w:trHeight w:val="27"/>
        </w:trPr>
        <w:tc>
          <w:tcPr>
            <w:tcW w:w="7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13.03</w:t>
            </w:r>
          </w:p>
        </w:tc>
      </w:tr>
      <w:tr>
        <w:trPr>
          <w:trHeight w:val="243"/>
        </w:trPr>
        <w:tc>
          <w:tcPr>
            <w:tcW w:w="712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9.67</w:t>
            </w:r>
          </w:p>
        </w:tc>
      </w:tr>
      <w:tr>
        <w:trPr>
          <w:trHeight w:val="27"/>
        </w:trPr>
        <w:tc>
          <w:tcPr>
            <w:tcW w:w="7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8.72</w:t>
            </w:r>
          </w:p>
        </w:tc>
      </w:tr>
      <w:tr>
        <w:trPr>
          <w:trHeight w:val="27"/>
        </w:trPr>
        <w:tc>
          <w:tcPr>
            <w:tcW w:w="7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1"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At February 28, 2013, there were 51 stockholders of record of our common stock. Because many of our shares of common stock are held by brokers or other institutions on behalf of stockholders, we are unable to estimate the total number of stockholders represented by the record holders.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equity plan information required by this item is incorporated by reference to the information in Part III, Item 12 of this Annual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We have never declared or paid any cash dividends on our capital stock, and we do not currently intend to pay any cash dividends on our common stock for the 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 that our Board of Directors may deem relevant.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4" w:lineRule="exact"/>
        <w:rPr>
          <w:sz w:val="20"/>
          <w:szCs w:val="20"/>
          <w:color w:val="auto"/>
        </w:rPr>
      </w:pPr>
    </w:p>
    <w:p>
      <w:pPr>
        <w:ind w:right="160" w:firstLine="486"/>
        <w:spacing w:after="0" w:line="312" w:lineRule="auto"/>
        <w:rPr>
          <w:sz w:val="20"/>
          <w:szCs w:val="20"/>
          <w:color w:val="auto"/>
        </w:rPr>
      </w:pPr>
      <w:r>
        <w:rPr>
          <w:rFonts w:ascii="Arial" w:cs="Arial" w:eastAsia="Arial" w:hAnsi="Arial"/>
          <w:sz w:val="16"/>
          <w:szCs w:val="16"/>
          <w:i w:val="1"/>
          <w:iCs w:val="1"/>
          <w:color w:val="auto"/>
        </w:rPr>
        <w:t>This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RPX Corporation under the Securities Act of 1933, as amended, or the Exchange Act.</w:t>
      </w:r>
    </w:p>
    <w:p>
      <w:pPr>
        <w:spacing w:after="0" w:line="93"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The following graph shows the value of an investment of $100 on May 4, 2011 (the date our common stock commenced trading on The NASDAQ Global Select Market) in our common stock, the NASDAQ Composite Index and the NASDAQ-100 Technology Sector Index. Data for the NASDAQ Composite Index and the NASDAQ-100 Technology Sector Index assume reinvestment of dividends. The comparisons shown in the graph are based upon historical data and we caution that the stock price performance shown in the graph is not indicative of, nor intended to forecast, the potential future performance of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128905</wp:posOffset>
            </wp:positionV>
            <wp:extent cx="5188585" cy="3987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88585" cy="398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 by the Issuer</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8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selected consolidated financial data for the years ended December 31, 2012, 2011 and 2010, as well as the consolidated balance sheet data as of December 31, 2012 and 2011, are derived from our audited consolidated financial statements that are included elsewhere in this Annual Report on Form 10-K. The selected consolidated financial data for year ended December 31, 2009 and the period from Inception (July 15, 2008) to December 31, 2008 as well as the consolidated balance sheet data as of December 31, 2010, 2009 and 2008 are derived from audited consolidated financial statements not included in this Annual Report on Form 10-K. The historical results presented below are not necessarily indicative of results of future operations, and should be read in conjunction with</w:t>
      </w:r>
    </w:p>
    <w:p>
      <w:pPr>
        <w:sectPr>
          <w:pgSz w:w="11900" w:h="16838" w:orient="portrait"/>
          <w:cols w:equalWidth="0" w:num="1">
            <w:col w:w="11380"/>
          </w:cols>
          <w:pgMar w:left="240" w:top="125" w:right="279" w:bottom="1440" w:gutter="0" w:footer="0" w:header="0"/>
        </w:sect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80"/>
          </w:cols>
          <w:pgMar w:left="240" w:top="125" w:right="27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 xml:space="preserve">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and the consolidated financial statements and related notes thereto included in Part II, Item 8 of this Form 10-K to fully understand factors that may affect the comparability of the information presented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5"/>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12"/>
              <w:spacing w:after="0" w:line="158" w:lineRule="exact"/>
              <w:rPr>
                <w:sz w:val="20"/>
                <w:szCs w:val="20"/>
                <w:color w:val="auto"/>
              </w:rPr>
            </w:pPr>
            <w:r>
              <w:rPr>
                <w:rFonts w:ascii="Arial" w:cs="Arial" w:eastAsia="Arial" w:hAnsi="Arial"/>
                <w:sz w:val="14"/>
                <w:szCs w:val="14"/>
                <w:b w:val="1"/>
                <w:bCs w:val="1"/>
                <w:color w:val="auto"/>
                <w:w w:val="93"/>
              </w:rPr>
              <w:t>Inception</w:t>
            </w: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0"/>
                <w:szCs w:val="10"/>
                <w:color w:val="auto"/>
              </w:rPr>
            </w:pPr>
          </w:p>
        </w:tc>
        <w:tc>
          <w:tcPr>
            <w:tcW w:w="12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(July 15, 2008) to</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2008</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60" w:type="dxa"/>
            <w:vAlign w:val="bottom"/>
            <w:gridSpan w:val="6"/>
          </w:tcPr>
          <w:p>
            <w:pPr>
              <w:jc w:val="center"/>
              <w:ind w:left="433"/>
              <w:spacing w:after="0"/>
              <w:rPr>
                <w:sz w:val="20"/>
                <w:szCs w:val="20"/>
                <w:color w:val="auto"/>
              </w:rPr>
            </w:pPr>
            <w:r>
              <w:rPr>
                <w:rFonts w:ascii="Arial" w:cs="Arial" w:eastAsia="Arial" w:hAnsi="Arial"/>
                <w:sz w:val="14"/>
                <w:szCs w:val="14"/>
                <w:b w:val="1"/>
                <w:bCs w:val="1"/>
                <w:color w:val="auto"/>
                <w:w w:val="91"/>
              </w:rPr>
              <w:t>(in thousands, except per share data)</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154,044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94,874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82,323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67,371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43,602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17,710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(Gain) loss on sale of patent assets,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before provision for (benefit from)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23,112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16,225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10,184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13,871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2"/>
              </w:rPr>
              <w:t>Weighted-average shares used in computing net income (loss)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per common share:</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51,802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35,920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7,164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4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December 31,</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2008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233,725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Patent assets, net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199,314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163,352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126,508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82,759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55,792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493,967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437,994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197,022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123,924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72,106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revenue, including current portion</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104,371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108,275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82,440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24,691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16,895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payable and other deferred payment obligations,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including current portion</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23,583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133,708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138,910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123,522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66,161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50,337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62,793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25,193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stockholders’ equity (deficit)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360,259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299,084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10,707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486"/>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i w:val="1"/>
          <w:iCs w:val="1"/>
          <w:color w:val="auto"/>
        </w:rPr>
        <w:t>This Annual Report on Form 10-K contains “forward-looking statements” that involve risks and uncertainties, as well as assumptions which, if they never materialize or prove incorrect, could cause our results to differ materially from those expressed or implied by such forward-looking statements. The statements contained in this Annual Report on Form 10-K that are not purely historical are forward-looking statements within the meaning of Section 27A of the Securities Act of 1933, as amended, and Section 21E of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and patent acquisition spending. These statements are based on the beliefs and assumptions of our management based on information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 Item 1A of this Annual Report on Form 10-K.</w:t>
      </w:r>
    </w:p>
    <w:p>
      <w:pPr>
        <w:spacing w:after="0" w:line="180"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i w:val="1"/>
          <w:iCs w:val="1"/>
          <w:color w:val="auto"/>
        </w:rPr>
        <w:t>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400" w:firstLine="446"/>
        <w:spacing w:after="0" w:line="342" w:lineRule="auto"/>
        <w:rPr>
          <w:sz w:val="20"/>
          <w:szCs w:val="20"/>
          <w:color w:val="auto"/>
        </w:rPr>
      </w:pPr>
      <w:r>
        <w:rPr>
          <w:rFonts w:ascii="Arial" w:cs="Arial" w:eastAsia="Arial" w:hAnsi="Arial"/>
          <w:sz w:val="16"/>
          <w:szCs w:val="16"/>
          <w:color w:val="auto"/>
        </w:rPr>
        <w:t>We help companies reduce patent-related risk and expense by providing a subscription-based patent risk management solution that facilitates more efficient exchanges of value between owners and users of patents compared to transactions driven by actual or threatened litigation.</w:t>
      </w:r>
    </w:p>
    <w:p>
      <w:pPr>
        <w:spacing w:after="0" w:line="124" w:lineRule="exact"/>
        <w:rPr>
          <w:sz w:val="20"/>
          <w:szCs w:val="20"/>
          <w:color w:val="auto"/>
        </w:rPr>
      </w:pPr>
    </w:p>
    <w:p>
      <w:pPr>
        <w:jc w:val="both"/>
        <w:ind w:right="440" w:firstLine="446"/>
        <w:spacing w:after="0" w:line="264" w:lineRule="auto"/>
        <w:rPr>
          <w:sz w:val="20"/>
          <w:szCs w:val="20"/>
          <w:color w:val="auto"/>
        </w:rPr>
      </w:pPr>
      <w:r>
        <w:rPr>
          <w:rFonts w:ascii="Arial" w:cs="Arial" w:eastAsia="Arial" w:hAnsi="Arial"/>
          <w:sz w:val="18"/>
          <w:szCs w:val="18"/>
          <w:color w:val="auto"/>
        </w:rPr>
        <w:t>The core of our solution is defensive patent aggregation, in which we acquire patent assets that are being or may be asserted against our current or prospective clients. We then provide our clients with licenses to our patent assets to protect them from potential patent infringement assertions. We also provide our clients access to our proprietary patent market intelligence and data.</w:t>
      </w:r>
    </w:p>
    <w:p>
      <w:pPr>
        <w:spacing w:after="0" w:line="181" w:lineRule="exact"/>
        <w:rPr>
          <w:sz w:val="20"/>
          <w:szCs w:val="20"/>
          <w:color w:val="auto"/>
        </w:rPr>
      </w:pPr>
    </w:p>
    <w:p>
      <w:pPr>
        <w:ind w:right="260" w:firstLine="446"/>
        <w:spacing w:after="0" w:line="264"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181"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For the year ended December 31, 2012, revenue grew to $197.7 million from $154.0 million for the year ended December 31, 2011. During 2012, 2011 and 2010, our client count increased by 28, 40, and 49 clients, respectively, bringing our total client network to 140 as of December 31, 2012. At December 31, 2012, we had deferred revenue of $104.4 million.</w:t>
      </w:r>
    </w:p>
    <w:p>
      <w:pPr>
        <w:spacing w:after="0" w:line="181" w:lineRule="exact"/>
        <w:rPr>
          <w:sz w:val="20"/>
          <w:szCs w:val="20"/>
          <w:color w:val="auto"/>
        </w:rPr>
      </w:pPr>
    </w:p>
    <w:p>
      <w:pPr>
        <w:ind w:right="20" w:firstLine="446"/>
        <w:spacing w:after="0" w:line="273" w:lineRule="auto"/>
        <w:rPr>
          <w:sz w:val="20"/>
          <w:szCs w:val="20"/>
          <w:color w:val="auto"/>
        </w:rPr>
      </w:pPr>
      <w:r>
        <w:rPr>
          <w:rFonts w:ascii="Arial" w:cs="Arial" w:eastAsia="Arial" w:hAnsi="Arial"/>
          <w:sz w:val="17"/>
          <w:szCs w:val="17"/>
          <w:color w:val="auto"/>
        </w:rPr>
        <w:t>We believe that our acquisitions of patent assets are a key driver of the value that we create for our clients. We measure patent asset acquisition spend on both a “gross” and a “net” basis, whereby the “gross spend” represents the aggregate amount spent including amounts contributed by our clients in syndicated and structured acquisitions above and beyond their subscription fees and the “net spend” represents only the net incremental investment of our own capital. For the year ended December 31, 2012, our gross and net acquisition spend totaled $251.8 million and $116.4 million, respectively, for which we completed 30 acquisitions of patent assets. From our inception through December 31, 2012, we have completed 120 acquisitions of patent assets with gross and net acquisition spend of $623.5 million and $406.3 million, respectively.</w:t>
      </w:r>
    </w:p>
    <w:p>
      <w:pPr>
        <w:spacing w:after="0" w:line="178" w:lineRule="exact"/>
        <w:rPr>
          <w:sz w:val="20"/>
          <w:szCs w:val="20"/>
          <w:color w:val="auto"/>
        </w:rPr>
      </w:pPr>
    </w:p>
    <w:p>
      <w:pPr>
        <w:ind w:right="60" w:firstLine="446"/>
        <w:spacing w:after="0" w:line="276" w:lineRule="auto"/>
        <w:rPr>
          <w:sz w:val="20"/>
          <w:szCs w:val="20"/>
          <w:color w:val="auto"/>
        </w:rPr>
      </w:pPr>
      <w:r>
        <w:rPr>
          <w:rFonts w:ascii="Arial" w:cs="Arial" w:eastAsia="Arial" w:hAnsi="Arial"/>
          <w:sz w:val="17"/>
          <w:szCs w:val="17"/>
          <w:color w:val="auto"/>
        </w:rPr>
        <w:t>Insuring against the costs of NPE litigation is a natural extension of our core defensive patent acquisition service. In 2012, we started to offer NPE patent infringement liability insurance, which is a liability insurance policy for US-based operating companies that covers certain costs associated with patent infringement lawsuits by NPEs. The insurance product complements our core defensive patent acquisition service, enabling policyholders, who must be members of our client network, to better manage and mitigate the risk of NPE patent litigation. For the year ended December 31, 2012, the effect of the insurance policies that have been issued was not material to our results of operations or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Historically, the vast majority of our revenue has consisted of fees paid by our clients under subscription agreements. We expect that subscription fee revenue will increase with the growth of our client network. Subscription revenue will be positively or negatively impacted by the financial performance of our clients since their subscription fees are typically reset yearly based upon their most recently reported annual financial results. In 2012 we launched our insurance product and we started to recognize revenue from insurance premiums. Although we expect this revenue to increase as we sell more policies in the future, for the year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ended December 31, 2012, revenue from insurance premiums was not material to the Company’s results of operations. From time to time, we also recognize revenue from the sale of licenses and advisory fee income in connection with structured acquisitions. In the future, we may receive other revenue and fee income from newly introduced products and services. While we expect to continue to experience revenue growth, we do not believe that our rate of growth since inception is representative of anticipated future revenue growth.</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Cost of revenue primarily consists of amortization expenses related to acquired patent assets. Acquired patent assets are capitalized and amortized ratably over their estimated useful lives. Also included in the cost of revenue are expenses incurred to maintain our patents and prosecute our patent applications and amortization expense for acquired intangible assets and internally developed software. With the launch of our insurance offering in 2012, cost of revenue also includes premiums ceded to reinsurers and loss reserves. For the year ending December 31, 2012, such amounts were not material. We expect our cost of revenue to increase in the future as we add additional patent assets to our existing portfolio to support our existing and future clients and as our insurance business grows.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Selling, general and administrative expenses consist of salaries and related expenses, including stock-based compensation expenses, costs of marketing programs, legal costs, professional fees, travel costs, facility costs and other corporate expenses. We expect that in the foreseeable future, as we seek to serve more clients and develop new products and services, selling, general and administrative expenses will increase.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 Based on available information, we believe it is likely that our deferred tax assets will be fully realized. Accordingly, we have not applied a valuation allowance against our net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of America. The preparation of these consolidated financial statements requires us to make estimates and assumptions that affect the reported amounts of assets, liabilities, revenue, costs and expenses and related disclosures.</w:t>
      </w:r>
    </w:p>
    <w:p>
      <w:pPr>
        <w:spacing w:after="0" w:line="181"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We believe that, of our significant accounting policies, which are described in Note 2 of our consolidated financial statements, the following accounting policies involve a greater degree of judgment and complexity. Accordingly, these are the policies we believe are the most critical to aid in fully understanding and evaluating our consolidated financial condition and results of operations.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Our primary source of revenue is fees paid by our clients under subscription agreements. We recognize revenue, net of any discounts or other contractual incentives, when all of the following conditions are met:</w:t>
      </w:r>
    </w:p>
    <w:p>
      <w:pPr>
        <w:spacing w:after="0" w:line="22"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delivery of the subscription or services has commenced;</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collection of related fees is reasonably assured; and</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related fees is fixed or determinable.</w:t>
      </w:r>
    </w:p>
    <w:p>
      <w:pPr>
        <w:spacing w:after="0" w:line="225"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If a subscription agreement contains contingent or non-standard performance criteria to be met, we defer recognizing revenue until the satisfaction of such conditions. If a subscription agreement contains a discount or other contractual incentive, we recognize revenue net of any such amounts.</w:t>
      </w:r>
    </w:p>
    <w:p>
      <w:pPr>
        <w:spacing w:after="0" w:line="124"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Executed agreements are used as evidence of an arrangement. Our subscription agreements are typically non-cancelable by either party and require us to provide membership services over a specific subscription term. Given that delivery occurs with the passage of time, and that our subscription service comprises a single deliverable, we recognize subscription revenue ratably over the term of the subscription agreement. Our cash collectability is reasonably assured as our clients are generally required to pay their subscription fees before we provide the service or within a very short time period thereafter. We assess whether the fee is fixed or determinable based on each client’s respective agreement.</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Our clients generally receive a term license to, and a release from, all prior damages associated with patent assets in our portfolio. The term license to each patent asset converts to a perpetual license at the end of a contractually specified vesting period provided that the client is a member at such time. We do not view the conversion from a term license to perpetual license to be a separate deliverable in our arrangements with our clients because the utility of, access to and freedom to practice the inventions covered by the patent asset are no different between a term and perpetual license. We do not view providing longer term access to the patent asset as a new deliverable separate from the term license.</w:t>
      </w:r>
    </w:p>
    <w:p>
      <w:pPr>
        <w:spacing w:after="0" w:line="173"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In some instances, we accept a payment from a client to finance part or all of the acquisition of patent assets. We refer to such transactions as structured acquisitions. We refer to a structured acquisition where we accept payment from several clients as a syndicated acquisition. The accounting for structured acquisitions is complex and requires significant judgment on the part of our management. In structured acquisitions that result in the purchase of a patent license by a client, we may recognize revenue on a gross basis related to such purchase. In circumstances where we substantively act as an agent to acquire patent assets from a seller on behalf of clients who are paying for such assets separately from their subscription agreements, we may treat the client payments on a net basis. When treated on a net basis, there is no revenue recognized and the basis of the acquired patent assets excludes the amounts paid by the contributing clients based on our determination that we are not the principal in these transactions. In these situations, where we substantively act as an agent, the contributing clients are typically defendants in an active or threatened patent infringement litigation filed by the owner of a patent. Our involvement is to assist our clients to secure a dismissal from litigation and a license to the underlying patents.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indicators evaluated to reach the determination that we are not the principal in the transaction include, among others:</w:t>
      </w:r>
    </w:p>
    <w:p>
      <w:pPr>
        <w:spacing w:after="0" w:line="77" w:lineRule="exact"/>
        <w:rPr>
          <w:sz w:val="20"/>
          <w:szCs w:val="20"/>
          <w:color w:val="auto"/>
        </w:rPr>
      </w:pPr>
    </w:p>
    <w:p>
      <w:pPr>
        <w:ind w:left="820" w:right="200" w:hanging="326"/>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seller is generally viewed as the primary obligor in the arrangement, given that it owns and controls the underlying patent(s) and thus has the absolute authority to grant and deliver any release from past damages and dismissal from litigation, as well the general terms of the license granted;</w:t>
      </w:r>
    </w:p>
    <w:p>
      <w:pPr>
        <w:spacing w:after="0" w:line="32"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no inventory risk as the clients generally enter into their contractual obligations with us prior to or contemporaneous with our entry into a contractual obligation with the seller;</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generally have limited pricing latitude as client contributions are based on the sales price set by the seller;</w:t>
      </w:r>
    </w:p>
    <w:p>
      <w:pPr>
        <w:spacing w:after="0" w:line="76" w:lineRule="exact"/>
        <w:rPr>
          <w:rFonts w:ascii="Arial" w:cs="Arial" w:eastAsia="Arial" w:hAnsi="Arial"/>
          <w:sz w:val="18"/>
          <w:szCs w:val="18"/>
          <w:color w:val="auto"/>
        </w:rPr>
      </w:pPr>
    </w:p>
    <w:p>
      <w:pPr>
        <w:ind w:left="820" w:right="26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not involved in the determination of the product or service specification and have no ability to change the product or perform any part of the service in connection with these transactions, as the seller owns the underlying patent(s); and</w:t>
      </w:r>
    </w:p>
    <w:p>
      <w:pPr>
        <w:spacing w:after="0" w:line="21" w:lineRule="exact"/>
        <w:rPr>
          <w:rFonts w:ascii="Arial" w:cs="Arial" w:eastAsia="Arial" w:hAnsi="Arial"/>
          <w:sz w:val="18"/>
          <w:szCs w:val="18"/>
          <w:color w:val="auto"/>
        </w:rPr>
      </w:pPr>
    </w:p>
    <w:p>
      <w:pPr>
        <w:ind w:left="820" w:right="60" w:hanging="326"/>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limited or no credit risk or substantially mitigated credit risk, as each respective client has a contractually binding obligation to make a contribution, such clients are generally of high credit quality and in many instances we collect the client contribution prior to making a payment to the seller.</w:t>
      </w:r>
    </w:p>
    <w:p>
      <w:pPr>
        <w:spacing w:after="0" w:line="18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In certain structured transactions, we may recognize revenue upon the sale of licenses to specific patent assets and/or upon completion of the rendering of advisory services.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Amortization of Patent Assets</w:t>
      </w:r>
    </w:p>
    <w:p>
      <w:pPr>
        <w:spacing w:after="0" w:line="77"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We capitalize the fair value of acquired patent assets as intangible assets. Because each client generally receives a license to the vast majority of our patent assets, we are unable to reliably determine the pattern over which our patent assets are consumed. As a result, we amortize each patent asset on a straight-line basis. The amortization period is equal to the asset’s estimated economic useful life. We estimate the economic useful life based upon the period of time over which we expect these assets to contribute directly or indirectly to our future cash flows, generally from 24 months to 60 months. We take into account various factors in making estimates regarding the useful life of our patent assets, including the remaining statutory life of the underlying patent, the applicability of the assets to future clients, the vesting period for current clients to obtain perpetual licenses to such patent assets, any contractual commitments by clients that are related to such patent assets, our estimate of the period of time during which we may sign subscription agreements with prospective clients that may find relevance in the patent assets, the vesting period for which such prospective clients earn the right to a perpetual license in the asset and the remaining contractual term of our existing clients at the time of acquisition. The assessment of many of these factors requires significant management judgment, and changes to these judgments could affect the amortization period of our patent assets and our results of operations. In certain instances, where we acquire patent assets and secure related committed cash flows from clients that extend beyond the statutory life of the underlying patents, the useful life for the additional patent rights may extend beyond the statutory life of the patents. We periodically evaluate our estimates to assess any adjustments that may be required to the remaining useful life of our patent assets.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Accounting for Stock-Based Awards</w:t>
      </w:r>
    </w:p>
    <w:p>
      <w:pPr>
        <w:spacing w:after="0" w:line="7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 xml:space="preserve">We account for stock-based compensation under Financial Accounting Standards Board (“FASB”) Accounting Standards Codification (“ASC”)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 ASC 718 requires that compensation expense for all equity-settled awards made to employees and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be measured and recognized based on estimated grant date fair values.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equity awards include stock options and restricted stock units (“RSUs”). Stock-based compensation expense for RSUs granted to employees and directors is measured based on the fair market value of our common stock on the date of grant.</w:t>
      </w:r>
    </w:p>
    <w:p>
      <w:pPr>
        <w:spacing w:after="0" w:line="170"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 fair value of stock options granted is estimated on the date of grant using the Black-Scholes option pricing model. This model requires inputs such as expected term, expected volatility and risk-free interest rate. These inputs are subjective and generally require significant analysis and judgment to develop. For all stock options granted to date, we calculated the expected term using the SEC simplified method. We have limited information on our own past volatility and we have a limited operating history. Therefore, we have estimated the volatility data based on a study of publicly traded industry peer companies. For purposes of identifying these peer companies, we considered the industry, stage of development, size, and financial leverage of potential comparable companies. The estimated forfeiture rate is derived primarily from our historical data, and the risk-free interest rate is based on the yield available on U.S. Treasury zero-coupon issues similar in duration to the expected term of our stock options. We recognize the fair value of our equity awards on a straight-line basis over the requisite service period during which the award vests, which is generally four years.</w:t>
      </w:r>
    </w:p>
    <w:p>
      <w:pPr>
        <w:spacing w:after="0" w:line="166"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weighted-average assumptions used to estimate the fair value of stock options granted for the years ended December 31, 2012, 2011 and 2010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1760" w:type="dxa"/>
            <w:vAlign w:val="bottom"/>
            <w:tcBorders>
              <w:bottom w:val="single" w:sz="8" w:color="auto"/>
            </w:tcBorders>
          </w:tcPr>
          <w:p>
            <w:pPr>
              <w:spacing w:after="0"/>
              <w:rPr>
                <w:sz w:val="16"/>
                <w:szCs w:val="16"/>
                <w:color w:val="auto"/>
              </w:rPr>
            </w:pPr>
          </w:p>
        </w:tc>
      </w:tr>
      <w:tr>
        <w:trPr>
          <w:trHeight w:val="264"/>
        </w:trPr>
        <w:tc>
          <w:tcPr>
            <w:tcW w:w="7200" w:type="dxa"/>
            <w:vAlign w:val="bottom"/>
            <w:gridSpan w:val="2"/>
          </w:tcPr>
          <w:p>
            <w:pPr>
              <w:ind w:left="6820"/>
              <w:spacing w:after="0"/>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jc w:val="right"/>
              <w:ind w:right="596"/>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1760" w:type="dxa"/>
            <w:vAlign w:val="bottom"/>
          </w:tcPr>
          <w:p>
            <w:pPr>
              <w:jc w:val="right"/>
              <w:ind w:right="654"/>
              <w:spacing w:after="0"/>
              <w:rPr>
                <w:sz w:val="20"/>
                <w:szCs w:val="20"/>
                <w:color w:val="auto"/>
              </w:rPr>
            </w:pPr>
            <w:r>
              <w:rPr>
                <w:rFonts w:ascii="Arial" w:cs="Arial" w:eastAsia="Arial" w:hAnsi="Arial"/>
                <w:sz w:val="14"/>
                <w:szCs w:val="14"/>
                <w:b w:val="1"/>
                <w:bCs w:val="1"/>
                <w:color w:val="auto"/>
              </w:rPr>
              <w:t>2010</w:t>
            </w:r>
          </w:p>
        </w:tc>
      </w:tr>
      <w:tr>
        <w:trPr>
          <w:trHeight w:val="250"/>
        </w:trPr>
        <w:tc>
          <w:tcPr>
            <w:tcW w:w="6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6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Expected term - (in years)</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640" w:type="dxa"/>
            <w:vAlign w:val="bottom"/>
          </w:tcPr>
          <w:p>
            <w:pPr>
              <w:jc w:val="right"/>
              <w:ind w:right="96"/>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6.2</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77" w:lineRule="exact"/>
        <w:rPr>
          <w:sz w:val="20"/>
          <w:szCs w:val="20"/>
          <w:color w:val="auto"/>
        </w:rPr>
      </w:pPr>
    </w:p>
    <w:p>
      <w:pPr>
        <w:ind w:right="480" w:firstLine="486"/>
        <w:spacing w:after="0" w:line="257" w:lineRule="auto"/>
        <w:rPr>
          <w:sz w:val="20"/>
          <w:szCs w:val="20"/>
          <w:color w:val="auto"/>
        </w:rPr>
      </w:pPr>
      <w:r>
        <w:rPr>
          <w:rFonts w:ascii="Arial" w:cs="Arial" w:eastAsia="Arial" w:hAnsi="Arial"/>
          <w:sz w:val="18"/>
          <w:szCs w:val="18"/>
          <w:color w:val="auto"/>
        </w:rPr>
        <w:t>We account for income taxes using the asset and liability approach, which requires the recognition of deferred tax assets or liabilities for the tax-effected temporary differences between the financial reporting and tax bases of our assets and liabilities and for net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the amount of any tax benefits that, based on available evidence, are not expected to be realized.</w:t>
      </w:r>
    </w:p>
    <w:p>
      <w:pPr>
        <w:spacing w:after="0" w:line="188"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tax laws and regulations in a multitude of jurisdictions across our global operations. ASC 740 provides that a tax benefit from an uncertain tax position may be recognized when it is more likely than not that the position will be sustained upon examination, including resolutions of any related appeals or litigation processes, on the basis of the technical merits. ASC 740 also provides guidance on measurement, derecognition, classification, interest and penalties, accounting in interim periods, disclosure, and transition.</w:t>
      </w:r>
    </w:p>
    <w:p>
      <w:pPr>
        <w:spacing w:after="0" w:line="18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recognize tax liabilities in accordance with ASC 740 and we adjust these liabilities when our judgment changes as a result of the evaluation of new information not previously available. Because of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new information is available.</w:t>
      </w:r>
    </w:p>
    <w:p>
      <w:pPr>
        <w:spacing w:after="0" w:line="18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tax expense or benefit for extraordinary items, unusual or infrequently occurring items and items that do not represent a tax effect of current-year ordinary income are treated as discrete items and recorded in the interim period in which the events occur.</w:t>
      </w:r>
    </w:p>
    <w:p>
      <w:pPr>
        <w:spacing w:after="0" w:line="170"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Our effective tax rate could be adversely affected by changes in federal, state or foreign tax laws, certain non-deductible expenses arising from stock-based awards and changes in accounting principles. During 2012, the Internal Revenue Service completed its examination of our federal income tax returns for the 2009 and 2008 tax years. In addition, during 2012, the State of California Franchise Tax Board also completed its examination of our California income tax returns for the 2009 and 2008 tax years. The examination did not have a material impact on our consolidated financial statements. The 2008 through 2012 tax periods remain open to examination by the federal and most state tax authorities. For our foreign jurisdictions, the 2009 through 2012 tax years remain open to examination by their respective tax authorities.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Accounting for Business Combinations</w:t>
      </w:r>
    </w:p>
    <w:p>
      <w:pPr>
        <w:spacing w:after="0" w:line="77"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 xml:space="preserve">We apply the provisions of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in the accounting for our business acquisitions. ASC 805 requires companies to separately recognize goodwill from the assets acquired and liabilities assumed, which are at their acquisition date fair values. Goodwill as of the acquisition date represents the excess of the purchase price over the fair values of the assets acquired and the liabilities assumed.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0" w:firstLine="486"/>
        <w:spacing w:after="0" w:line="297" w:lineRule="auto"/>
        <w:rPr>
          <w:sz w:val="20"/>
          <w:szCs w:val="20"/>
          <w:color w:val="auto"/>
        </w:rPr>
      </w:pPr>
      <w:r>
        <w:rPr>
          <w:rFonts w:ascii="Arial" w:cs="Arial" w:eastAsia="Arial" w:hAnsi="Arial"/>
          <w:sz w:val="16"/>
          <w:szCs w:val="16"/>
          <w:color w:val="auto"/>
        </w:rPr>
        <w:t>We use significant estimates and assumptions, including fair value estimates, to determine fair value of assets acquired and liabilities assumed and when applicable the related useful lives of the acquired assets, as of the business combination date. When those estimates are provisional, we refine them as necessary during the measurement period. The measurement period is the period after the acquisition date, not to exceed one year, in which we may gather new information about facts and circumstances that existed as of the acquisition date to adjust the provisional amounts recognized. Measurement period adjustments are applied retrospectively, if material. All other adjustments are recorded to the consolidated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The following table sets forth selected consolidated statements of operations data for each of the periods indicated (in thousands). Our historical results are not necessarily indicative of our results of operations to be expected for any future period.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2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2010</w:t>
            </w:r>
          </w:p>
        </w:tc>
      </w:tr>
      <w:tr>
        <w:trPr>
          <w:trHeight w:val="33"/>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197,688</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94,874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82,323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43,602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53,590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(Gain) loss on sale of patent assets, net</w:t>
            </w:r>
          </w:p>
        </w:tc>
        <w:tc>
          <w:tcPr>
            <w:tcW w:w="3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536</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61,952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26,819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(2,764)</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62,069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24,055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10,184</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38,957</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29,132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13,871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for the periods indicated, consolidated statements of operations data as a percentage of revenue.</w:t>
      </w:r>
    </w:p>
    <w:p>
      <w:pPr>
        <w:spacing w:after="0" w:line="185" w:lineRule="exact"/>
        <w:rPr>
          <w:sz w:val="20"/>
          <w:szCs w:val="20"/>
          <w:color w:val="auto"/>
        </w:rPr>
      </w:pPr>
    </w:p>
    <w:p>
      <w:pPr>
        <w:ind w:left="80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37465</wp:posOffset>
            </wp:positionV>
            <wp:extent cx="3112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gridSpan w:val="2"/>
          </w:tcPr>
          <w:p>
            <w:pPr>
              <w:ind w:left="7140"/>
              <w:spacing w:after="0"/>
              <w:rPr>
                <w:sz w:val="20"/>
                <w:szCs w:val="20"/>
                <w:color w:val="auto"/>
              </w:rPr>
            </w:pPr>
            <w:r>
              <w:rPr>
                <w:rFonts w:ascii="Arial" w:cs="Arial" w:eastAsia="Arial" w:hAnsi="Arial"/>
                <w:sz w:val="16"/>
                <w:szCs w:val="16"/>
                <w:b w:val="1"/>
                <w:bCs w:val="1"/>
                <w:color w:val="auto"/>
              </w:rPr>
              <w:t>2012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2010</w:t>
            </w:r>
          </w:p>
        </w:tc>
      </w:tr>
      <w:tr>
        <w:trPr>
          <w:trHeight w:val="33"/>
        </w:trPr>
        <w:tc>
          <w:tcPr>
            <w:tcW w:w="6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46</w:t>
            </w:r>
          </w:p>
        </w:tc>
      </w:tr>
      <w:tr>
        <w:trPr>
          <w:trHeight w:val="27"/>
        </w:trPr>
        <w:tc>
          <w:tcPr>
            <w:tcW w:w="6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(Gain) loss on sale of patent assets, net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w:t>
            </w:r>
          </w:p>
        </w:tc>
      </w:tr>
      <w:tr>
        <w:trPr>
          <w:trHeight w:val="27"/>
        </w:trPr>
        <w:tc>
          <w:tcPr>
            <w:tcW w:w="6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(3)</w:t>
            </w:r>
          </w:p>
        </w:tc>
      </w:tr>
      <w:tr>
        <w:trPr>
          <w:trHeight w:val="27"/>
        </w:trPr>
        <w:tc>
          <w:tcPr>
            <w:tcW w:w="6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11</w:t>
            </w:r>
          </w:p>
        </w:tc>
      </w:tr>
      <w:tr>
        <w:trPr>
          <w:trHeight w:val="27"/>
        </w:trPr>
        <w:tc>
          <w:tcPr>
            <w:tcW w:w="6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2012 and 2011</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180" w:firstLine="486"/>
        <w:spacing w:after="0" w:line="271" w:lineRule="auto"/>
        <w:rPr>
          <w:sz w:val="20"/>
          <w:szCs w:val="20"/>
          <w:color w:val="auto"/>
        </w:rPr>
      </w:pPr>
      <w:r>
        <w:rPr>
          <w:rFonts w:ascii="Arial" w:cs="Arial" w:eastAsia="Arial" w:hAnsi="Arial"/>
          <w:sz w:val="17"/>
          <w:szCs w:val="17"/>
          <w:color w:val="auto"/>
        </w:rPr>
        <w:t>Our revenue for the year ended December 31, 2012 was $197.7 million compared to $154.0 million during the same period a year ago, an increase of $43.6 million, or 28%. Subscription revenue, which includes membership subscription services and premiums earned from insurance policies, for the year ended December 31, 2012 was $185.6 million compared to $150.7 million for the year ended December 31, 2011. The increase in subscription revenue was attributable to an increase in membership fees, which was composed of $9.6 million from new clients who joined our network during the year ended December 31, 2012, $9.4 million from clients who joined our network during the year ended December 31, 2011 and $15.9 million from clients who joined our network prior to December 31, 2010. As of December 31, 2012 we had a total client network of 140 companies as compared to 112 as of December 31, 2011. Revenue for the year ended December 31, 2012 also included $10.0 million and $2.0 million from the sale of perpetual licenses and advisory fees, respectively, as compared to $3.3 million and nil in the same period in 2011.</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Our cost of revenue for the year ended December 31, 2012 was $82.3 million compared to $67.4 million during the same period a year ago, an increase of $15.0 million, or 22%. The prior period amount includes a $4.0 million charge related to a payment made in lieu of a contingent obligation. Excluding this amount, cost of revenue for the year ended December 31, 2012 increased by $19.0</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million, or 30%. The increase was primarily attributable to an $18.1 million increase in patent amortization expense as result of an increase in our patent assets.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selling, general and administrative expenses for the year ended December 31, 2012 were $53.6 million compared to $40.6 million during the same period a year ago, an increase of $13.0 million or 32%. The increase was primarily due to a $7.0 million increase in personnel-related costs, including stock-based compensation, attributable to increasing our headcount to 125 employees as of December 31, 2012, compared to 110 employees at December 31, 2011, a $2.3 million increase in our facility-related costs and depreciation due to leasing of additional office space and increased infrastructure costs associated with the growth of our business; a $1.2 million increase in our professional fees due to the growth of our business and incremental costs associated with being a public company and a $1.8 million increase in legal expenses primarily due to the $2.1 million cost recovery that was recognized for the year ended December 31, 2011 as a result of an incomplete syndicated acquisition that had been expensed in 2010. We expect that in the foreseeable future, selling, general and administrative expenses will increase as we seek to serve more clients, develop new products and services, and support our operations and compliance requirements as a public company.</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77"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Other income (expense), net for the year ended December 31, 2012 was $0.1 million compared to other income (expense), net of ($0.7 million) during the same period a year ago, a change of $0.8 million. The change was primarily due to the pay off of our outstanding deferred payment obligations. As of December 31, 2012 and 2011, our outstanding deferred payment obligations were $0.5 million and $5.1 million, respectively.</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Our tax provision for the year ended December 31, 2012 was $23.1 million, compared to $16.2 million for the year ended December 31, 2011. Our effective tax rate for year ended December 31, 2012 was 37% compared to 36% for the year ended December 31, 2011. The increase in our effective tax rate was primarily attributable to a shift in earnings in state jurisdictions, which resulted in an increase in our state income tax expense.</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Years Ended December 31, 2011 and 2010</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Our revenue for the year ended December 31, 2011 was $154.0 million compared to $94.9 million during the year ended December 31, 2010, an increase of $59.2 million, or 62%. Subscription revenue for the year ended December 31, 2011 was $150.7 million compared to $94.1 million for the year ended December 31, 2010. The increase in subscription revenue was attributable to an increase in membership fees, which was composed of $25.8 million from new clients who joined our network during the year ended December 31, 2011, $5.5 million from clients who joined our network during the year ended December 31, 2010 and $24.3 million from clients who joined our network prior to December 31, 2009. As of December 31, 2011 we had a total client network of 112 companies as compared to 72 as of December 31, 2010. Revenue also included $3.3 million from the sale of a perpetual license during 2011 as compared to other non-subscription revenue of $0.8 million in 2010.</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jc w:val="both"/>
        <w:ind w:right="20" w:firstLine="486"/>
        <w:spacing w:after="0" w:line="302" w:lineRule="auto"/>
        <w:rPr>
          <w:sz w:val="20"/>
          <w:szCs w:val="20"/>
          <w:color w:val="auto"/>
        </w:rPr>
      </w:pPr>
      <w:r>
        <w:rPr>
          <w:rFonts w:ascii="Arial" w:cs="Arial" w:eastAsia="Arial" w:hAnsi="Arial"/>
          <w:sz w:val="16"/>
          <w:szCs w:val="16"/>
          <w:color w:val="auto"/>
        </w:rPr>
        <w:t>Our cost of revenue for the year ended December 31, 2011 was $67.4 million compared to $43.6 million during the year ended December 31, 2010, an increase of $23.8 million, or 55%. The increase in cost of revenue was due primarily to additional amortization expense attributable to the increase in our net patent asset balances which were $163.4 million and $126.5 million at December 31, 2011 and 2010, respectively. Amortization expense related to our patent assets was $62.3 million for the year ended December 31, 2011 compared to $42.9 million for the year ended December 31, 2010.</w:t>
      </w:r>
    </w:p>
    <w:p>
      <w:pPr>
        <w:spacing w:after="0" w:line="10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Included in cost of revenue for 2011 was a $4.0 million charge related to a payment made in lieu of a contingent obligation. In 2008, we entered into a patent purchase agreement with an unaffiliated third party. The terms of the patent purchase agreement stipulated that we make a one-time payment of $5.0 million in the event we earn $170.0 million in any calendar year. In October 2011, we amended the patent purchase agreement and paid $4.0 million to satisfy all remaining obligations.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6"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Our selling, general and administrative expenses for the year ended December 31, 2011 were $40.6 million compared to $23.9 million for the year ended December 31, 2010, an increase of $16.7 million, or 70%. The increase was primarily due to a $13.4 million increase in personnel related costs, including stock-based compensation expense, as our headcount increased to 110 at December 31, 2011, compared to 66 at December 31, 2010. Our facility-related costs, depreciation and other corporate expenses for the year ended December 31, 2011 increased by $1.9 million compared to the year ended December 31, 2010 due to leasing of additional office space and increased infrastructure costs associated with the growth of our business. Our professional fees increased by $1.7 million for the year ended December 31, 2011 due to growth of our business and incremental costs associated with being a public company.</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Corporate expenses related to other taxes, insurance and sales and marketing costs increased $1.5 million in the year ended December 31, 2011 compared to the year ended December 31, 2010. Travel and entertainment expenses also increased by $0.4 million in the year ended December 31, 2011 when compared to the year ended December 31, 2010. These increases were partially offset by a reduction of legal related expenses of $2.3 million which was primarily attributable to the $2.1 million cost recovery of professional fees associated with an incomplete syndicated acquisition that had been expensed in 2010.</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77"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Other income (expense), net for the year ended December 31, 2011 was ($0.7 million) compared to other income (expense), net of ($2.8 million) during the same period a year ago, a decrease of $2.0 million. The decrease was primarily due to a reduction in outstanding deferred payment obligations. As of December 31, 2011 and 2010, our outstanding deferred payment obligations were $5.1 million and $23.6 million, respectively.</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tax provision at December 31, 2011 was $16.2 million, compared to $10.2 million for the year ended December 31, 2010. Our effective tax rate for the year ended December 31, 2011 was 36%, including the impact of discrete benefit items, compared to 42% for the year ended December 31, 2010. The decrease in our effective tax rate in 2011 was primarily attributable to the use of a single sales factor for California state income tax apportionment for the 2011 tax year, the first year for which such an election was available.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100" w:firstLine="446"/>
        <w:spacing w:after="0" w:line="291" w:lineRule="auto"/>
        <w:rPr>
          <w:sz w:val="20"/>
          <w:szCs w:val="20"/>
          <w:color w:val="auto"/>
        </w:rPr>
      </w:pPr>
      <w:r>
        <w:rPr>
          <w:rFonts w:ascii="Arial" w:cs="Arial" w:eastAsia="Arial" w:hAnsi="Arial"/>
          <w:sz w:val="16"/>
          <w:szCs w:val="16"/>
          <w:color w:val="auto"/>
        </w:rPr>
        <w:t>We have financed substantially all of our operations and patent asset acquisitions through the sale of equity securities, subscription fees collected from our clients and patent-seller financing. As of December 31, 2012, we had $73.6 million of cash and cash equivalents and $126.1 million in short-term investments. 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and development of new products and services. We anticipate an increased level of patent acquisition spending as our business grows.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right"/>
              <w:ind w:right="5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2"/>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2010</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91,377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120,348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120,134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(131,630)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(230,629)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(72,361)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170,374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(30,045)</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(33,111)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60,093</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17,728</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provided by operating activities for the year ended December 31, 2012 was $91.4 million, consisting of adjustments for non-cash items totaling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$91.4 million, net income of $39.0 million, and changes in working capital and non-current assets and liabilities of $39.0 million. Non-cash adjustments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income primarily consisted of $83.1 million of depreciation and amortization, $10.3 million of stock-based compensation, a reduction of $8.6 million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excess tax benefit from stock-based compensation, $5.1 million of amortization of premium on investments and a $1.5 million net increase in our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assets. The change in working capital resulted primarily from a $33.8 million increase in other receivables representing client contributions outstanding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result of the completion of a syndicated patent acquisition and licensing transaction, a $9.0 million increase in accounts receivable and a $4.0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decrease in deferred revenue, partially offset by a $8.7 million decrease in prepaid expenses and other assets. The decrease in deferred revenue was due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$185.9 million of revenue and other adjustments recognized during the period and was partially offset by revenue billings to new and existing clients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$182.0 million. The amount of deferred revenue in any given period varies with the addition of new clients, the mix of payment terms that we offer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timing of invoicing existing clients.</w:t>
      </w:r>
    </w:p>
    <w:p>
      <w:pPr>
        <w:spacing w:after="0" w:line="211"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Cash provided by operating activities for the year ended December 31, 2011 was $120.3 million, consisting of net income of $29.1 million, adjustments for non-cash items of $75.6 million and changes in working capital and non-current assets and liabilities totaling $15.6 million. The change in working capital resulted primarily from an increase in accounts receivable of $3.5 million, an increase in deferred revenue of $25.7 million and an increase in accrued liabilities of $5.2 million. The increase in deferred revenue for the year ended December 31, 2011 was primarily attributable to $179.9 million billed to new and existing clients, offset by $154.0 million of revenue and other adjustments recognized during the period.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77"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Cash used in investing activities for the year ended December 31, 2012 was $131.6 million, of which $87.4 million was used to acquire patent assets, $45.8 million paid for the business acquisition of Altitude Capital and $1.7 million was used to purchase property and equipment. This increase was partially offset by $2.4 million in proceeds from net maturities of short-term marketable securities. We expect our cash used in investing activities to increase in the future as we acquire additional patents.</w:t>
      </w:r>
    </w:p>
    <w:p>
      <w:pPr>
        <w:spacing w:after="0" w:line="187" w:lineRule="exact"/>
        <w:rPr>
          <w:sz w:val="20"/>
          <w:szCs w:val="20"/>
          <w:color w:val="auto"/>
        </w:rPr>
      </w:pPr>
    </w:p>
    <w:p>
      <w:pPr>
        <w:ind w:right="180" w:firstLine="486"/>
        <w:spacing w:after="0" w:line="312" w:lineRule="auto"/>
        <w:rPr>
          <w:sz w:val="20"/>
          <w:szCs w:val="20"/>
          <w:color w:val="auto"/>
        </w:rPr>
      </w:pPr>
      <w:r>
        <w:rPr>
          <w:rFonts w:ascii="Arial" w:cs="Arial" w:eastAsia="Arial" w:hAnsi="Arial"/>
          <w:sz w:val="16"/>
          <w:szCs w:val="16"/>
          <w:color w:val="auto"/>
        </w:rPr>
        <w:t>Cash used in investing activities for the year ended December 31, 2011 was $230.6 million, of which $101.2 million represented our acquisitions of patent assets and $124.2 million represented our net purchases of short-term marketable securities. To further enhance our capability for market intelligence and data analysis, we acquired substantially all of the assets of two companies in separate transactions for cash consideration totaling $3.3 million.</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77" w:lineRule="exact"/>
        <w:rPr>
          <w:sz w:val="20"/>
          <w:szCs w:val="20"/>
          <w:color w:val="auto"/>
        </w:rPr>
      </w:pPr>
    </w:p>
    <w:p>
      <w:pPr>
        <w:ind w:right="340" w:firstLine="486"/>
        <w:spacing w:after="0" w:line="264" w:lineRule="auto"/>
        <w:rPr>
          <w:sz w:val="20"/>
          <w:szCs w:val="20"/>
          <w:color w:val="auto"/>
        </w:rPr>
      </w:pPr>
      <w:r>
        <w:rPr>
          <w:rFonts w:ascii="Arial" w:cs="Arial" w:eastAsia="Arial" w:hAnsi="Arial"/>
          <w:sz w:val="18"/>
          <w:szCs w:val="18"/>
          <w:color w:val="auto"/>
        </w:rPr>
        <w:t>Net cash provided by financing activities for the year ended December 31, 2012 was $7.1 million, the result of excess tax benefit from stock-based compensation of $8.6 million, proceeds from exercise of stock options of $3.2 million, and proceeds from other obligations of $0.5 million, which were partially offset by $5.2 million of principal payments on our deferred payment obligations.</w:t>
      </w:r>
    </w:p>
    <w:p>
      <w:pPr>
        <w:spacing w:after="0" w:line="181"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Net cash provided by financing activities during the year ended December 31, 2011 was $170.4 million, the result of proceeds from our initial public offering and follow-on offering, net of issuance costs, of approximately $184.3 million, offset by the repayment of $19.3 million of deferred payment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1" w:lineRule="exact"/>
        <w:rPr>
          <w:sz w:val="20"/>
          <w:szCs w:val="20"/>
          <w:color w:val="auto"/>
        </w:rPr>
      </w:pPr>
    </w:p>
    <w:p>
      <w:pPr>
        <w:ind w:right="440" w:firstLine="567"/>
        <w:spacing w:after="0" w:line="277" w:lineRule="auto"/>
        <w:rPr>
          <w:sz w:val="20"/>
          <w:szCs w:val="20"/>
          <w:color w:val="auto"/>
        </w:rPr>
      </w:pPr>
      <w:r>
        <w:rPr>
          <w:rFonts w:ascii="Arial" w:cs="Arial" w:eastAsia="Arial" w:hAnsi="Arial"/>
          <w:sz w:val="18"/>
          <w:szCs w:val="18"/>
          <w:color w:val="auto"/>
        </w:rPr>
        <w:t>The following summarizes our non-cancelable minimum payments under contractual obligations and commitments as of December 31, 2012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Less Than</w:t>
            </w:r>
          </w:p>
        </w:tc>
        <w:tc>
          <w:tcPr>
            <w:tcW w:w="28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1 to 3</w:t>
            </w:r>
          </w:p>
        </w:tc>
        <w:tc>
          <w:tcPr>
            <w:tcW w:w="28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3 to 5</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More Than</w:t>
            </w:r>
          </w:p>
        </w:tc>
        <w:tc>
          <w:tcPr>
            <w:tcW w:w="300" w:type="dxa"/>
            <w:vAlign w:val="bottom"/>
          </w:tcPr>
          <w:p>
            <w:pPr>
              <w:spacing w:after="0"/>
              <w:rPr>
                <w:sz w:val="14"/>
                <w:szCs w:val="14"/>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5 Years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commitments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2,733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8,076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8,344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7,886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27,039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lease office facilities under non-cancelable operating leases that expire at various dates through 2019. Our facility leases generally require us to pay operating costs, including property taxes, insurance and maintenance.</w:t>
      </w:r>
    </w:p>
    <w:p>
      <w:pPr>
        <w:spacing w:after="0" w:line="170" w:lineRule="exact"/>
        <w:rPr>
          <w:sz w:val="20"/>
          <w:szCs w:val="20"/>
          <w:color w:val="auto"/>
        </w:rPr>
      </w:pPr>
    </w:p>
    <w:p>
      <w:pPr>
        <w:jc w:val="both"/>
        <w:ind w:right="100" w:firstLine="486"/>
        <w:spacing w:after="0" w:line="302" w:lineRule="auto"/>
        <w:rPr>
          <w:sz w:val="20"/>
          <w:szCs w:val="20"/>
          <w:color w:val="auto"/>
        </w:rPr>
      </w:pPr>
      <w:r>
        <w:rPr>
          <w:rFonts w:ascii="Arial" w:cs="Arial" w:eastAsia="Arial" w:hAnsi="Arial"/>
          <w:sz w:val="16"/>
          <w:szCs w:val="16"/>
          <w:color w:val="auto"/>
        </w:rPr>
        <w:t>In March 2012, we entered into an amended lease agreement related to our San Francisco, California office space. The amendment, which takes effect on May 1, 2013, will increase the rentable space to approximately 67,000 total square feet and will extend the term through October 2019. The monthly base rent payments pursuant to this lease will initially be approximately $0.3 million per month, increasing to approximately $0.4 million per month. Total future non-cancelable minimum lease payments from May 2013 through October 2019 will be $26.1 million, which is included in the table above.</w:t>
      </w:r>
    </w:p>
    <w:p>
      <w:pPr>
        <w:spacing w:after="0" w:line="154"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Other noncurrent liabilities in our consolidated balance sheets consist primarily of deferred tax liabilities. As of December 31, 2012, we had net noncurrent deferred tax liabilities of $18.1 million. At this time, we are unable to make a reasonably reliable estimate of the timing of payments in individual years in connection with these tax liabilities; therefore, such amounts are not included in the above contractual obligations table.</w:t>
      </w:r>
    </w:p>
    <w:p>
      <w:pPr>
        <w:spacing w:after="0" w:line="166"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the patent sale transactions that we have completed, we agreed to indemnify and hold harmless the buyer for losses resulting from a breach of representations and warranties made by us. The terms of these indemnification agreements are generally perpetual. The maximum amount of potential future indemnification is unlimited. To date, we have not paid any amounts to settle claims or defend lawsuits. We do not indemnify our clients for patent infringement.</w:t>
      </w:r>
    </w:p>
    <w:p>
      <w:pPr>
        <w:spacing w:after="0" w:line="187"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In accordance with our amended and restated bylaws and certain contractual obligations, we also indemnify our Board of Directors and certain officers and employees for certain events or occurrences, subject to certain limits, while the director, officer or employee is or was serving at our request in such capacity. The term of the indemnification period is indefinite. The maximum amount of potential future indemnification is unspecified. We have no reason to believe that there is any material liability for actions, events or occurrences that have occurred to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81" w:lineRule="exact"/>
        <w:rPr>
          <w:sz w:val="20"/>
          <w:szCs w:val="20"/>
          <w:color w:val="auto"/>
        </w:rPr>
      </w:pPr>
    </w:p>
    <w:p>
      <w:pPr>
        <w:jc w:val="both"/>
        <w:ind w:right="220" w:firstLine="486"/>
        <w:spacing w:after="0" w:line="264" w:lineRule="auto"/>
        <w:rPr>
          <w:sz w:val="20"/>
          <w:szCs w:val="20"/>
          <w:color w:val="auto"/>
        </w:rPr>
      </w:pPr>
      <w:r>
        <w:rPr>
          <w:rFonts w:ascii="Arial" w:cs="Arial" w:eastAsia="Arial" w:hAnsi="Arial"/>
          <w:sz w:val="18"/>
          <w:szCs w:val="18"/>
          <w:color w:val="auto"/>
        </w:rPr>
        <w:t>At December 31, 2012,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A full description of recent accounting pronouncements, including the expected dates of adoption and estimated effects on results of operations and financial condition can be found under the heading “Significant Accounting Policies” in Note 2 of the Notes to Consolidated Financial Statements in Part II, Item 8 of this Annual Report on Form 10-K. Such information is incorporated herein by reference.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1"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77"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Our subscription agreements are denominated in U.S. Dollars, and therefore, our revenue is not currently subject to significant foreign currency risk. Our expenses are incurred primarily in the United States, with a small portion of expenses incurred and denominated in the currencies where our other international offices are located. Our results of operations and cash flows are subject to fluctuations due to changes in foreign currency exchange rates, particularly changes in the Japanese Yen and the European Euro relative to the U.S. Dollar. To date, we have not entered into any foreign currency hedging contracts.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77"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We had cash, cash equivalents and short-term investments of $199.7 million as of December 31, 2012. Our cash balances deposited in U.S. banks are non-interest bearing and insured up to the FDIC limits. Cash equivalents consist of institutional money market funds, U.S. Government and agency securities, municipal bonds and commercial paper denominated primarily in U.S. Dollars. Interest rate fluctuations affect the returns on our invested funds.</w:t>
      </w:r>
    </w:p>
    <w:p>
      <w:pPr>
        <w:spacing w:after="0" w:line="14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of December 31, 2012, our short-term investments of $126.1 million were primarily invested in U.S. Government and Agency securities, commercial paper and corporate and municipal bonds maturing between 90 days and 12 months. As of December 31, 2012, our investments were classified as available-for-sale and, consequently, were recorded at fair value in the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December 31, 2012, we had not recorded an impairment related to our investments in the consolidated statement of operations.</w:t>
      </w:r>
    </w:p>
    <w:p>
      <w:pPr>
        <w:spacing w:after="0" w:line="193"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If overall interest rates had changed by 10% during the year ended December 31, 2012, the fair value of our investments would not have been materially affected.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77"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We believe that inflation has not had a material impact on our consolidated results of operations for the year ended December 31, 2012. There can be no assurance that future inflation will not have an adverse impact on our consolidated results of operations or financial condition.</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7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that approximate their fair values due to their short period of time to maturity. We do not use derivative financial instruments.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0620" w:type="dxa"/>
            <w:vAlign w:val="bottom"/>
            <w:gridSpan w:val="1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6"/>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940" w:type="dxa"/>
            <w:vAlign w:val="bottom"/>
            <w:gridSpan w:val="10"/>
          </w:tcPr>
          <w:p>
            <w:pPr>
              <w:ind w:left="140"/>
              <w:spacing w:after="0"/>
              <w:rPr>
                <w:sz w:val="20"/>
                <w:szCs w:val="20"/>
                <w:color w:val="auto"/>
              </w:rPr>
            </w:pPr>
            <w:r>
              <w:rPr>
                <w:rFonts w:ascii="Arial" w:cs="Arial" w:eastAsia="Arial" w:hAnsi="Arial"/>
                <w:sz w:val="18"/>
                <w:szCs w:val="18"/>
                <w:b w:val="1"/>
                <w:bCs w:val="1"/>
                <w:color w:val="auto"/>
              </w:rPr>
              <w:t>Financial Statements and Supplementary Data</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40" w:type="dxa"/>
            <w:vAlign w:val="bottom"/>
            <w:gridSpan w:val="7"/>
          </w:tcPr>
          <w:p>
            <w:pPr>
              <w:jc w:val="center"/>
              <w:ind w:right="2380"/>
              <w:spacing w:after="0"/>
              <w:rPr>
                <w:sz w:val="20"/>
                <w:szCs w:val="20"/>
                <w:color w:val="auto"/>
              </w:rPr>
            </w:pPr>
            <w:r>
              <w:rPr>
                <w:rFonts w:ascii="Arial" w:cs="Arial" w:eastAsia="Arial" w:hAnsi="Arial"/>
                <w:sz w:val="18"/>
                <w:szCs w:val="18"/>
                <w:color w:val="auto"/>
                <w:w w:val="90"/>
              </w:rPr>
              <w:t>Index to Consolidated Financial Statements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56"/>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Page</w:t>
            </w:r>
          </w:p>
        </w:tc>
      </w:tr>
      <w:tr>
        <w:trPr>
          <w:trHeight w:val="526"/>
        </w:trPr>
        <w:tc>
          <w:tcPr>
            <w:tcW w:w="40" w:type="dxa"/>
            <w:vAlign w:val="bottom"/>
          </w:tcPr>
          <w:p>
            <w:pPr>
              <w:spacing w:after="0"/>
              <w:rPr>
                <w:sz w:val="24"/>
                <w:szCs w:val="24"/>
                <w:color w:val="auto"/>
              </w:rPr>
            </w:pPr>
          </w:p>
        </w:tc>
        <w:tc>
          <w:tcPr>
            <w:tcW w:w="4220" w:type="dxa"/>
            <w:vAlign w:val="bottom"/>
            <w:gridSpan w:val="5"/>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Report of Independent Registered Public Accounting Firm</w:t>
              </w:r>
            </w:hyperlink>
          </w:p>
        </w:tc>
        <w:tc>
          <w:tcPr>
            <w:tcW w:w="6360" w:type="dxa"/>
            <w:vAlign w:val="bottom"/>
            <w:gridSpan w:val="6"/>
          </w:tcPr>
          <w:p>
            <w:pPr>
              <w:spacing w:after="0"/>
              <w:rPr>
                <w:sz w:val="24"/>
                <w:szCs w:val="24"/>
                <w:color w:val="auto"/>
              </w:rPr>
            </w:pPr>
          </w:p>
        </w:tc>
        <w:tc>
          <w:tcPr>
            <w:tcW w:w="800" w:type="dxa"/>
            <w:vAlign w:val="bottom"/>
            <w:gridSpan w:val="3"/>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34</w:t>
              </w:r>
            </w:hyperlink>
          </w:p>
        </w:tc>
      </w:tr>
      <w:tr>
        <w:trPr>
          <w:trHeight w:val="20"/>
        </w:trPr>
        <w:tc>
          <w:tcPr>
            <w:tcW w:w="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4640" w:type="dxa"/>
            <w:vAlign w:val="bottom"/>
            <w:gridSpan w:val="6"/>
          </w:tcPr>
          <w:p>
            <w:pPr>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Consolidated Balance Sheets as of December 31, 2012 and 2011</w:t>
              </w:r>
            </w:hyperlink>
          </w:p>
        </w:tc>
        <w:tc>
          <w:tcPr>
            <w:tcW w:w="5940" w:type="dxa"/>
            <w:vAlign w:val="bottom"/>
            <w:gridSpan w:val="5"/>
          </w:tcPr>
          <w:p>
            <w:pPr>
              <w:spacing w:after="0"/>
              <w:rPr>
                <w:sz w:val="24"/>
                <w:szCs w:val="24"/>
                <w:color w:val="auto"/>
              </w:rPr>
            </w:pPr>
          </w:p>
        </w:tc>
        <w:tc>
          <w:tcPr>
            <w:tcW w:w="800" w:type="dxa"/>
            <w:vAlign w:val="bottom"/>
            <w:gridSpan w:val="3"/>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10580" w:type="dxa"/>
            <w:vAlign w:val="bottom"/>
            <w:gridSpan w:val="11"/>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Consolidated Statements of Operations for the years ended December 31, 2012, 2011 and 2010</w:t>
              </w:r>
            </w:hyperlink>
          </w:p>
        </w:tc>
        <w:tc>
          <w:tcPr>
            <w:tcW w:w="800" w:type="dxa"/>
            <w:vAlign w:val="bottom"/>
            <w:gridSpan w:val="3"/>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r>
      <w:tr>
        <w:trPr>
          <w:trHeight w:val="20"/>
        </w:trPr>
        <w:tc>
          <w:tcPr>
            <w:tcW w:w="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10580" w:type="dxa"/>
            <w:vAlign w:val="bottom"/>
            <w:gridSpan w:val="1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Consolidated Statements of Comprehensive Income for the years ended December 31, 2012, 2011 and 2010</w:t>
              </w:r>
            </w:hyperlink>
          </w:p>
        </w:tc>
        <w:tc>
          <w:tcPr>
            <w:tcW w:w="800" w:type="dxa"/>
            <w:vAlign w:val="bottom"/>
            <w:gridSpan w:val="3"/>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r>
      <w:tr>
        <w:trPr>
          <w:trHeight w:val="20"/>
        </w:trPr>
        <w:tc>
          <w:tcPr>
            <w:tcW w:w="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10440" w:type="dxa"/>
            <w:vAlign w:val="bottom"/>
            <w:gridSpan w:val="10"/>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Consolidated Statements of Redeemable Convertible Preferred Stock and Stockholders’ Equity (Deficit) for the years ended December 31, 2012,</w:t>
              </w:r>
            </w:hyperlink>
          </w:p>
        </w:tc>
        <w:tc>
          <w:tcPr>
            <w:tcW w:w="140" w:type="dxa"/>
            <w:vAlign w:val="bottom"/>
          </w:tcPr>
          <w:p>
            <w:pPr>
              <w:spacing w:after="0"/>
              <w:rPr>
                <w:sz w:val="24"/>
                <w:szCs w:val="24"/>
                <w:color w:val="auto"/>
              </w:rPr>
            </w:pPr>
          </w:p>
        </w:tc>
        <w:tc>
          <w:tcPr>
            <w:tcW w:w="800" w:type="dxa"/>
            <w:vAlign w:val="bottom"/>
            <w:gridSpan w:val="3"/>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r>
      <w:tr>
        <w:trPr>
          <w:trHeight w:val="196"/>
        </w:trPr>
        <w:tc>
          <w:tcPr>
            <w:tcW w:w="40" w:type="dxa"/>
            <w:vAlign w:val="bottom"/>
          </w:tcPr>
          <w:p>
            <w:pPr>
              <w:spacing w:after="0"/>
              <w:rPr>
                <w:sz w:val="17"/>
                <w:szCs w:val="17"/>
                <w:color w:val="auto"/>
              </w:rPr>
            </w:pPr>
          </w:p>
        </w:tc>
        <w:tc>
          <w:tcPr>
            <w:tcW w:w="10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w:anchor="page40">
              <w:r>
                <w:rPr>
                  <w:rFonts w:ascii="Arial" w:cs="Arial" w:eastAsia="Arial" w:hAnsi="Arial"/>
                  <w:sz w:val="18"/>
                  <w:szCs w:val="18"/>
                  <w:color w:val="0000FF"/>
                  <w:w w:val="86"/>
                </w:rPr>
                <w:t>2011 and 2010</w:t>
              </w:r>
            </w:hyperlink>
          </w:p>
        </w:tc>
        <w:tc>
          <w:tcPr>
            <w:tcW w:w="9380" w:type="dxa"/>
            <w:vAlign w:val="bottom"/>
            <w:tcBorders>
              <w:top w:val="single" w:sz="8" w:color="0000FF"/>
            </w:tcBorders>
            <w:gridSpan w:val="8"/>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574"/>
        </w:trPr>
        <w:tc>
          <w:tcPr>
            <w:tcW w:w="40" w:type="dxa"/>
            <w:vAlign w:val="bottom"/>
          </w:tcPr>
          <w:p>
            <w:pPr>
              <w:spacing w:after="0"/>
              <w:rPr>
                <w:sz w:val="24"/>
                <w:szCs w:val="24"/>
                <w:color w:val="auto"/>
              </w:rPr>
            </w:pPr>
          </w:p>
        </w:tc>
        <w:tc>
          <w:tcPr>
            <w:tcW w:w="6900" w:type="dxa"/>
            <w:vAlign w:val="bottom"/>
            <w:gridSpan w:val="8"/>
          </w:tcPr>
          <w:p>
            <w:pPr>
              <w:spacing w:after="0"/>
              <w:rPr>
                <w:rFonts w:ascii="Arial" w:cs="Arial" w:eastAsia="Arial" w:hAnsi="Arial"/>
                <w:sz w:val="18"/>
                <w:szCs w:val="18"/>
                <w:color w:val="0000FF"/>
                <w:w w:val="88"/>
              </w:rPr>
            </w:pPr>
            <w:hyperlink w:anchor="page41">
              <w:r>
                <w:rPr>
                  <w:rFonts w:ascii="Arial" w:cs="Arial" w:eastAsia="Arial" w:hAnsi="Arial"/>
                  <w:sz w:val="18"/>
                  <w:szCs w:val="18"/>
                  <w:color w:val="0000FF"/>
                  <w:w w:val="88"/>
                </w:rPr>
                <w:t>Consolidated Statements of Cash Flows for the years ended December 31, 2012, 2011 and 2010</w:t>
              </w:r>
            </w:hyperlink>
          </w:p>
        </w:tc>
        <w:tc>
          <w:tcPr>
            <w:tcW w:w="3680" w:type="dxa"/>
            <w:vAlign w:val="bottom"/>
            <w:gridSpan w:val="3"/>
          </w:tcPr>
          <w:p>
            <w:pPr>
              <w:spacing w:after="0"/>
              <w:rPr>
                <w:sz w:val="24"/>
                <w:szCs w:val="24"/>
                <w:color w:val="auto"/>
              </w:rPr>
            </w:pPr>
          </w:p>
        </w:tc>
        <w:tc>
          <w:tcPr>
            <w:tcW w:w="800" w:type="dxa"/>
            <w:vAlign w:val="bottom"/>
            <w:gridSpan w:val="3"/>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39</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6900" w:type="dxa"/>
            <w:vAlign w:val="bottom"/>
            <w:gridSpan w:val="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Notes to Consolidated Financial Statements</w:t>
              </w:r>
            </w:hyperlink>
          </w:p>
        </w:tc>
        <w:tc>
          <w:tcPr>
            <w:tcW w:w="3680" w:type="dxa"/>
            <w:vAlign w:val="bottom"/>
            <w:gridSpan w:val="3"/>
          </w:tcPr>
          <w:p>
            <w:pPr>
              <w:spacing w:after="0"/>
              <w:rPr>
                <w:sz w:val="24"/>
                <w:szCs w:val="24"/>
                <w:color w:val="auto"/>
              </w:rPr>
            </w:pPr>
          </w:p>
        </w:tc>
        <w:tc>
          <w:tcPr>
            <w:tcW w:w="800" w:type="dxa"/>
            <w:vAlign w:val="bottom"/>
            <w:gridSpan w:val="3"/>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r>
      <w:tr>
        <w:trPr>
          <w:trHeight w:val="507"/>
        </w:trPr>
        <w:tc>
          <w:tcPr>
            <w:tcW w:w="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500" w:type="dxa"/>
            <w:vAlign w:val="bottom"/>
            <w:tcBorders>
              <w:top w:val="single" w:sz="8" w:color="0000FF"/>
            </w:tcBorders>
            <w:gridSpan w:val="3"/>
          </w:tcPr>
          <w:p>
            <w:pPr>
              <w:spacing w:after="0"/>
              <w:rPr>
                <w:sz w:val="24"/>
                <w:szCs w:val="24"/>
                <w:color w:val="auto"/>
              </w:rPr>
            </w:pPr>
          </w:p>
        </w:tc>
        <w:tc>
          <w:tcPr>
            <w:tcW w:w="3700" w:type="dxa"/>
            <w:vAlign w:val="bottom"/>
            <w:gridSpan w:val="3"/>
          </w:tcPr>
          <w:p>
            <w:pPr>
              <w:jc w:val="right"/>
              <w:ind w:right="108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RPX Corporation</w:t>
      </w:r>
    </w:p>
    <w:p>
      <w:pPr>
        <w:spacing w:after="0" w:line="21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comprehensive income, redeemable convertible preferred stock and stockholders' equity (deficit) and cash flows present fairly, in all material respects, the financial position of RPX Corporation and its subsidiaries at December 31, 2012 and 2011, and the results of their operations and their cash flows for each of the three years in the period ended December 31, 2012 in conformity with accounting principles generally accepted in the United States of America. Also in our opinion, the Company maintained, in all material respects, effective internal control over financial reporting as of December 31, 2012,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of the Treadway Commission (COSO). The Company's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and on the Company's internal control over financial reporting based on our audits (which was an integrated audit in 2012).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25" w:right="29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3"/>
        </w:trPr>
        <w:tc>
          <w:tcPr>
            <w:tcW w:w="85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73,638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106,749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126,976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33,775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7,658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5,192</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271,544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267,701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Patent assets, net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199,314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163,352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1,837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Restricted cash, less current portion</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less current portion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665</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493,967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437,994</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7"/>
        </w:trPr>
        <w:tc>
          <w:tcPr>
            <w:tcW w:w="8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7,206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7,762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96,513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payment obligations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5,056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2,182</w:t>
            </w: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111,336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112,334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18,108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14,695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133,708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138,910</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14)</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w w:val="93"/>
              </w:rPr>
              <w:t>Common stock, $0.0001 par value — 200,000 shares authorized; 51,084 and 49,145 issued and outstanding as of</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December 31, 2012 and 2011, respectively</w:t>
            </w:r>
          </w:p>
        </w:tc>
        <w:tc>
          <w:tcPr>
            <w:tcW w:w="3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281,530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259,315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78,744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39,787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360,259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299,084</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493,967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437,994</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197,688</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154,044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94,874</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82,323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67,371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43,602</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53,590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40,593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23,917</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(Gain) loss on sale of patent assets,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61,952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46,080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26,819</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45,357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24,055</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23,112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16,225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10,184</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38,957</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29,132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13,871</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1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38,455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19,697</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51"/>
        </w:trPr>
        <w:tc>
          <w:tcPr>
            <w:tcW w:w="7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38,474</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20,310</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0.77</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100" w:type="dxa"/>
            <w:vAlign w:val="bottom"/>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0.74</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7"/>
        </w:trPr>
        <w:tc>
          <w:tcPr>
            <w:tcW w:w="7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used in computing net income per common share:</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1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49,766</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32,032</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51"/>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51,802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35,920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7,164</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2010</w:t>
            </w: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38,957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13,871</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losses on 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Unrealized holding gains (losses) arising during the period</w:t>
            </w:r>
          </w:p>
        </w:tc>
        <w:tc>
          <w:tcPr>
            <w:tcW w:w="28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reclassification adjustment for gains included in net income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Pr>
          <w:p>
            <w:pPr>
              <w:ind w:left="180"/>
              <w:spacing w:after="0"/>
              <w:rPr>
                <w:sz w:val="20"/>
                <w:szCs w:val="20"/>
                <w:color w:val="auto"/>
              </w:rPr>
            </w:pPr>
            <w:r>
              <w:rPr>
                <w:rFonts w:ascii="Arial" w:cs="Arial" w:eastAsia="Arial" w:hAnsi="Arial"/>
                <w:sz w:val="18"/>
                <w:szCs w:val="18"/>
                <w:color w:val="auto"/>
              </w:rPr>
              <w:t>Net unrealized gains on available-for-sale securities,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38,960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29,109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13,871</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Redeemable Convertible Preferred Stock and Stockholders’ Equity (Deficit)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2009</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Issuance of Series C redeemable convertible preferred stock, net of issuance costs of $20</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 of common stock in exchange for assets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 of restricted stock upon early exercise of options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Vesting of stock options early exercised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 of common stock</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Components of comprehensive income, net of tax:</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Unrealized loss on available-for-sale securities, net of tax</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Total comprehensive income</w:t>
      </w:r>
    </w:p>
    <w:p>
      <w:pPr>
        <w:spacing w:after="0" w:line="121" w:lineRule="exact"/>
        <w:rPr>
          <w:sz w:val="20"/>
          <w:szCs w:val="20"/>
          <w:color w:val="auto"/>
        </w:rPr>
      </w:pPr>
    </w:p>
    <w:p>
      <w:pPr>
        <w:ind w:left="40" w:right="160"/>
        <w:spacing w:after="0" w:line="237" w:lineRule="auto"/>
        <w:rPr>
          <w:sz w:val="20"/>
          <w:szCs w:val="20"/>
          <w:color w:val="auto"/>
        </w:rPr>
      </w:pPr>
      <w:r>
        <w:rPr>
          <w:rFonts w:ascii="Arial" w:cs="Arial" w:eastAsia="Arial" w:hAnsi="Arial"/>
          <w:sz w:val="13"/>
          <w:szCs w:val="13"/>
          <w:color w:val="auto"/>
        </w:rPr>
        <w:t>Issuance of common stock in May 2011 initial public offering at $19.00 per share, net of issuance costs of $2,915</w:t>
      </w:r>
    </w:p>
    <w:p>
      <w:pPr>
        <w:spacing w:after="0" w:line="29" w:lineRule="exact"/>
        <w:rPr>
          <w:sz w:val="20"/>
          <w:szCs w:val="20"/>
          <w:color w:val="auto"/>
        </w:rPr>
      </w:pPr>
    </w:p>
    <w:p>
      <w:pPr>
        <w:ind w:left="40"/>
        <w:spacing w:after="0" w:line="237" w:lineRule="auto"/>
        <w:rPr>
          <w:sz w:val="20"/>
          <w:szCs w:val="20"/>
          <w:color w:val="auto"/>
        </w:rPr>
      </w:pPr>
      <w:r>
        <w:rPr>
          <w:rFonts w:ascii="Arial" w:cs="Arial" w:eastAsia="Arial" w:hAnsi="Arial"/>
          <w:sz w:val="13"/>
          <w:szCs w:val="13"/>
          <w:color w:val="auto"/>
        </w:rPr>
        <w:t>Issuance of common stock in September 2011 follow-on offering at $20.49 per share, net of issuance costs of $540</w:t>
      </w:r>
    </w:p>
    <w:p>
      <w:pPr>
        <w:spacing w:after="0" w:line="29" w:lineRule="exact"/>
        <w:rPr>
          <w:sz w:val="20"/>
          <w:szCs w:val="20"/>
          <w:color w:val="auto"/>
        </w:rPr>
      </w:pPr>
    </w:p>
    <w:p>
      <w:pPr>
        <w:ind w:left="40" w:right="40"/>
        <w:spacing w:after="0" w:line="237" w:lineRule="auto"/>
        <w:rPr>
          <w:sz w:val="20"/>
          <w:szCs w:val="20"/>
          <w:color w:val="auto"/>
        </w:rPr>
      </w:pPr>
      <w:r>
        <w:rPr>
          <w:rFonts w:ascii="Arial" w:cs="Arial" w:eastAsia="Arial" w:hAnsi="Arial"/>
          <w:sz w:val="13"/>
          <w:szCs w:val="13"/>
          <w:color w:val="auto"/>
        </w:rPr>
        <w:t>Issuance of common stock upon exercise of stock options, vesting of restricted stock units and other common stock issuances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 of restricted stock upon early exercise of options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Conversion of preferred stock into shares of common stock</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Vesting of stock options early exercised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Tax benefit of equity award deductions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2011</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Components of comprehensive income, net of tax:</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Unrealized gain on available-for-sale securities, net of tax</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Total comprehensive income</w:t>
      </w:r>
    </w:p>
    <w:p>
      <w:pPr>
        <w:spacing w:after="0" w:line="121" w:lineRule="exact"/>
        <w:rPr>
          <w:sz w:val="20"/>
          <w:szCs w:val="20"/>
          <w:color w:val="auto"/>
        </w:rPr>
      </w:pPr>
    </w:p>
    <w:p>
      <w:pPr>
        <w:ind w:left="40" w:right="40"/>
        <w:spacing w:after="0" w:line="237" w:lineRule="auto"/>
        <w:rPr>
          <w:sz w:val="20"/>
          <w:szCs w:val="20"/>
          <w:color w:val="auto"/>
        </w:rPr>
      </w:pPr>
      <w:r>
        <w:rPr>
          <w:rFonts w:ascii="Arial" w:cs="Arial" w:eastAsia="Arial" w:hAnsi="Arial"/>
          <w:sz w:val="13"/>
          <w:szCs w:val="13"/>
          <w:color w:val="auto"/>
        </w:rPr>
        <w:t>Issuance of common stock upon exercise of stock options, vesting of restricted stock units and other common stock issuances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 of restricted stock upon early exercise of options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Vesting of options early exercised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Tax benefit of equity award deductions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2012</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86"/>
              </w:rPr>
              <w:t>Redeemable</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gridSpan w:val="5"/>
          </w:tcPr>
          <w:p>
            <w:pPr>
              <w:jc w:val="center"/>
              <w:ind w:right="100"/>
              <w:spacing w:after="0" w:line="140" w:lineRule="exact"/>
              <w:rPr>
                <w:sz w:val="20"/>
                <w:szCs w:val="20"/>
                <w:color w:val="auto"/>
              </w:rPr>
            </w:pPr>
            <w:r>
              <w:rPr>
                <w:rFonts w:ascii="Arial" w:cs="Arial" w:eastAsia="Arial" w:hAnsi="Arial"/>
                <w:sz w:val="13"/>
                <w:szCs w:val="13"/>
                <w:b w:val="1"/>
                <w:bCs w:val="1"/>
                <w:color w:val="auto"/>
                <w:w w:val="86"/>
              </w:rPr>
              <w:t>Convertible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87"/>
              </w:rPr>
              <w:t>Retained</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2"/>
                <w:szCs w:val="12"/>
                <w:color w:val="auto"/>
              </w:rPr>
            </w:pPr>
          </w:p>
        </w:tc>
        <w:tc>
          <w:tcPr>
            <w:tcW w:w="660" w:type="dxa"/>
            <w:vAlign w:val="bottom"/>
          </w:tcPr>
          <w:p>
            <w:pPr>
              <w:jc w:val="center"/>
              <w:ind w:right="57"/>
              <w:spacing w:after="0" w:line="140"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44"/>
        </w:trPr>
        <w:tc>
          <w:tcPr>
            <w:tcW w:w="1320" w:type="dxa"/>
            <w:vAlign w:val="bottom"/>
            <w:tcBorders>
              <w:right w:val="single" w:sz="8" w:color="auto"/>
            </w:tcBorders>
            <w:gridSpan w:val="5"/>
          </w:tcPr>
          <w:p>
            <w:pPr>
              <w:jc w:val="center"/>
              <w:ind w:right="100"/>
              <w:spacing w:after="0" w:line="144" w:lineRule="exact"/>
              <w:rPr>
                <w:sz w:val="20"/>
                <w:szCs w:val="20"/>
                <w:color w:val="auto"/>
              </w:rPr>
            </w:pPr>
            <w:r>
              <w:rPr>
                <w:rFonts w:ascii="Arial" w:cs="Arial" w:eastAsia="Arial" w:hAnsi="Arial"/>
                <w:sz w:val="13"/>
                <w:szCs w:val="13"/>
                <w:b w:val="1"/>
                <w:bCs w:val="1"/>
                <w:color w:val="auto"/>
                <w:w w:val="88"/>
              </w:rPr>
              <w:t>Preferred Stock</w:t>
            </w:r>
          </w:p>
        </w:tc>
        <w:tc>
          <w:tcPr>
            <w:tcW w:w="100" w:type="dxa"/>
            <w:vAlign w:val="bottom"/>
          </w:tcPr>
          <w:p>
            <w:pPr>
              <w:spacing w:after="0"/>
              <w:rPr>
                <w:sz w:val="12"/>
                <w:szCs w:val="12"/>
                <w:color w:val="auto"/>
              </w:rPr>
            </w:pPr>
          </w:p>
        </w:tc>
        <w:tc>
          <w:tcPr>
            <w:tcW w:w="1200" w:type="dxa"/>
            <w:vAlign w:val="bottom"/>
            <w:gridSpan w:val="5"/>
          </w:tcPr>
          <w:p>
            <w:pPr>
              <w:ind w:left="140"/>
              <w:spacing w:after="0" w:line="144" w:lineRule="exact"/>
              <w:rPr>
                <w:sz w:val="20"/>
                <w:szCs w:val="20"/>
                <w:color w:val="auto"/>
              </w:rPr>
            </w:pPr>
            <w:r>
              <w:rPr>
                <w:rFonts w:ascii="Arial" w:cs="Arial" w:eastAsia="Arial" w:hAnsi="Arial"/>
                <w:sz w:val="13"/>
                <w:szCs w:val="13"/>
                <w:b w:val="1"/>
                <w:bCs w:val="1"/>
                <w:color w:val="auto"/>
              </w:rPr>
              <w:t>Common Stock</w:t>
            </w:r>
          </w:p>
        </w:tc>
        <w:tc>
          <w:tcPr>
            <w:tcW w:w="760" w:type="dxa"/>
            <w:vAlign w:val="bottom"/>
            <w:gridSpan w:val="3"/>
          </w:tcPr>
          <w:p>
            <w:pPr>
              <w:ind w:left="40"/>
              <w:spacing w:after="0" w:line="144"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6"/>
              </w:rPr>
              <w:t>Earnings</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Other</w:t>
            </w:r>
          </w:p>
        </w:tc>
        <w:tc>
          <w:tcPr>
            <w:tcW w:w="7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32"/>
        </w:trPr>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Paid-in</w:t>
            </w:r>
          </w:p>
        </w:tc>
        <w:tc>
          <w:tcPr>
            <w:tcW w:w="90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(Accumulated</w:t>
            </w:r>
          </w:p>
        </w:tc>
        <w:tc>
          <w:tcPr>
            <w:tcW w:w="1000" w:type="dxa"/>
            <w:vAlign w:val="bottom"/>
            <w:gridSpan w:val="3"/>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2"/>
                <w:szCs w:val="2"/>
                <w:color w:val="auto"/>
              </w:rPr>
            </w:pPr>
          </w:p>
        </w:tc>
        <w:tc>
          <w:tcPr>
            <w:tcW w:w="660" w:type="dxa"/>
            <w:vAlign w:val="bottom"/>
            <w:vMerge w:val="restart"/>
          </w:tcPr>
          <w:p>
            <w:pPr>
              <w:jc w:val="center"/>
              <w:ind w:right="57"/>
              <w:spacing w:after="0" w:line="135"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83"/>
        </w:trPr>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15"/>
                <w:szCs w:val="15"/>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41"/>
        </w:trPr>
        <w:tc>
          <w:tcPr>
            <w:tcW w:w="520" w:type="dxa"/>
            <w:vAlign w:val="bottom"/>
          </w:tcPr>
          <w:p>
            <w:pPr>
              <w:jc w:val="right"/>
              <w:ind w:right="37"/>
              <w:spacing w:after="0"/>
              <w:rPr>
                <w:sz w:val="20"/>
                <w:szCs w:val="20"/>
                <w:color w:val="auto"/>
              </w:rPr>
            </w:pPr>
            <w:r>
              <w:rPr>
                <w:rFonts w:ascii="Arial" w:cs="Arial" w:eastAsia="Arial" w:hAnsi="Arial"/>
                <w:sz w:val="13"/>
                <w:szCs w:val="13"/>
                <w:color w:val="auto"/>
              </w:rPr>
              <w:t>25,741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37"/>
              <w:spacing w:after="0"/>
              <w:rPr>
                <w:sz w:val="20"/>
                <w:szCs w:val="20"/>
                <w:color w:val="auto"/>
              </w:rPr>
            </w:pPr>
            <w:r>
              <w:rPr>
                <w:rFonts w:ascii="Arial" w:cs="Arial" w:eastAsia="Arial" w:hAnsi="Arial"/>
                <w:sz w:val="13"/>
                <w:szCs w:val="13"/>
                <w:color w:val="auto"/>
                <w:w w:val="85"/>
              </w:rPr>
              <w:t>59,012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color w:val="auto"/>
                <w:w w:val="90"/>
              </w:rPr>
              <w:t>11,209</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1,966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(3,216)</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(1,249)</w:t>
            </w:r>
          </w:p>
        </w:tc>
        <w:tc>
          <w:tcPr>
            <w:tcW w:w="0" w:type="dxa"/>
            <w:vAlign w:val="bottom"/>
          </w:tcPr>
          <w:p>
            <w:pPr>
              <w:spacing w:after="0"/>
              <w:rPr>
                <w:sz w:val="1"/>
                <w:szCs w:val="1"/>
                <w:color w:val="auto"/>
              </w:rPr>
            </w:pPr>
          </w:p>
        </w:tc>
      </w:tr>
      <w:tr>
        <w:trPr>
          <w:trHeight w:val="270"/>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13,871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13,871</w:t>
            </w:r>
          </w:p>
        </w:tc>
        <w:tc>
          <w:tcPr>
            <w:tcW w:w="0" w:type="dxa"/>
            <w:vAlign w:val="bottom"/>
          </w:tcPr>
          <w:p>
            <w:pPr>
              <w:spacing w:after="0"/>
              <w:rPr>
                <w:sz w:val="1"/>
                <w:szCs w:val="1"/>
                <w:color w:val="auto"/>
              </w:rPr>
            </w:pPr>
          </w:p>
        </w:tc>
      </w:tr>
      <w:tr>
        <w:trPr>
          <w:trHeight w:val="270"/>
        </w:trPr>
        <w:tc>
          <w:tcPr>
            <w:tcW w:w="520" w:type="dxa"/>
            <w:vAlign w:val="bottom"/>
          </w:tcPr>
          <w:p>
            <w:pPr>
              <w:jc w:val="right"/>
              <w:ind w:right="37"/>
              <w:spacing w:after="0"/>
              <w:rPr>
                <w:sz w:val="20"/>
                <w:szCs w:val="20"/>
                <w:color w:val="auto"/>
              </w:rPr>
            </w:pPr>
            <w:r>
              <w:rPr>
                <w:rFonts w:ascii="Arial" w:cs="Arial" w:eastAsia="Arial" w:hAnsi="Arial"/>
                <w:sz w:val="13"/>
                <w:szCs w:val="13"/>
                <w:color w:val="auto"/>
              </w:rPr>
              <w:t>489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3,781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70"/>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70"/>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1,246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1,246</w:t>
            </w:r>
          </w:p>
        </w:tc>
        <w:tc>
          <w:tcPr>
            <w:tcW w:w="0" w:type="dxa"/>
            <w:vAlign w:val="bottom"/>
          </w:tcPr>
          <w:p>
            <w:pPr>
              <w:spacing w:after="0"/>
              <w:rPr>
                <w:sz w:val="1"/>
                <w:szCs w:val="1"/>
                <w:color w:val="auto"/>
              </w:rPr>
            </w:pPr>
          </w:p>
        </w:tc>
      </w:tr>
      <w:tr>
        <w:trPr>
          <w:trHeight w:val="280"/>
        </w:trPr>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(489)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(3,238)</w:t>
            </w:r>
          </w:p>
        </w:tc>
        <w:tc>
          <w:tcPr>
            <w:tcW w:w="0" w:type="dxa"/>
            <w:vAlign w:val="bottom"/>
          </w:tcPr>
          <w:p>
            <w:pPr>
              <w:spacing w:after="0"/>
              <w:rPr>
                <w:sz w:val="1"/>
                <w:szCs w:val="1"/>
                <w:color w:val="auto"/>
              </w:rPr>
            </w:pPr>
          </w:p>
        </w:tc>
      </w:tr>
      <w:tr>
        <w:trPr>
          <w:trHeight w:val="241"/>
        </w:trPr>
        <w:tc>
          <w:tcPr>
            <w:tcW w:w="520" w:type="dxa"/>
            <w:vAlign w:val="bottom"/>
          </w:tcPr>
          <w:p>
            <w:pPr>
              <w:jc w:val="right"/>
              <w:ind w:right="37"/>
              <w:spacing w:after="0"/>
              <w:rPr>
                <w:sz w:val="20"/>
                <w:szCs w:val="20"/>
                <w:color w:val="auto"/>
              </w:rPr>
            </w:pPr>
            <w:r>
              <w:rPr>
                <w:rFonts w:ascii="Arial" w:cs="Arial" w:eastAsia="Arial" w:hAnsi="Arial"/>
                <w:sz w:val="13"/>
                <w:szCs w:val="13"/>
                <w:color w:val="auto"/>
              </w:rPr>
              <w:t>26,230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w w:val="85"/>
              </w:rPr>
              <w:t>62,793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color w:val="auto"/>
                <w:w w:val="90"/>
              </w:rPr>
              <w:t>10,944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10,655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10,707</w:t>
            </w:r>
          </w:p>
        </w:tc>
        <w:tc>
          <w:tcPr>
            <w:tcW w:w="0" w:type="dxa"/>
            <w:vAlign w:val="bottom"/>
          </w:tcPr>
          <w:p>
            <w:pPr>
              <w:spacing w:after="0"/>
              <w:rPr>
                <w:sz w:val="1"/>
                <w:szCs w:val="1"/>
                <w:color w:val="auto"/>
              </w:rPr>
            </w:pPr>
          </w:p>
        </w:tc>
      </w:tr>
      <w:tr>
        <w:trPr>
          <w:trHeight w:val="540"/>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29,132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29,132</w:t>
            </w:r>
          </w:p>
        </w:tc>
        <w:tc>
          <w:tcPr>
            <w:tcW w:w="0" w:type="dxa"/>
            <w:vAlign w:val="bottom"/>
          </w:tcPr>
          <w:p>
            <w:pPr>
              <w:spacing w:after="0"/>
              <w:rPr>
                <w:sz w:val="1"/>
                <w:szCs w:val="1"/>
                <w:color w:val="auto"/>
              </w:rPr>
            </w:pPr>
          </w:p>
        </w:tc>
      </w:tr>
      <w:tr>
        <w:trPr>
          <w:trHeight w:val="280"/>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29,109</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9,065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w w:val="93"/>
              </w:rPr>
              <w:t>157,256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157,257</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1,400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26,855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26,855</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1,269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2,835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2,835</w:t>
            </w:r>
          </w:p>
        </w:tc>
        <w:tc>
          <w:tcPr>
            <w:tcW w:w="0" w:type="dxa"/>
            <w:vAlign w:val="bottom"/>
          </w:tcPr>
          <w:p>
            <w:pPr>
              <w:spacing w:after="0"/>
              <w:rPr>
                <w:sz w:val="1"/>
                <w:szCs w:val="1"/>
                <w:color w:val="auto"/>
              </w:rPr>
            </w:pPr>
          </w:p>
        </w:tc>
      </w:tr>
      <w:tr>
        <w:trPr>
          <w:trHeight w:val="270"/>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237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520" w:type="dxa"/>
            <w:vAlign w:val="bottom"/>
          </w:tcPr>
          <w:p>
            <w:pPr>
              <w:jc w:val="right"/>
              <w:spacing w:after="0"/>
              <w:rPr>
                <w:sz w:val="20"/>
                <w:szCs w:val="20"/>
                <w:color w:val="auto"/>
              </w:rPr>
            </w:pPr>
            <w:r>
              <w:rPr>
                <w:rFonts w:ascii="Arial" w:cs="Arial" w:eastAsia="Arial" w:hAnsi="Arial"/>
                <w:sz w:val="13"/>
                <w:szCs w:val="13"/>
                <w:color w:val="auto"/>
                <w:w w:val="90"/>
              </w:rPr>
              <w:t>(26,230)</w:t>
            </w:r>
          </w:p>
        </w:tc>
        <w:tc>
          <w:tcPr>
            <w:tcW w:w="12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w w:val="99"/>
              </w:rPr>
              <w:t>(62,793)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color w:val="auto"/>
                <w:w w:val="90"/>
              </w:rPr>
              <w:t>26,230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62,790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62,793</w:t>
            </w:r>
          </w:p>
        </w:tc>
        <w:tc>
          <w:tcPr>
            <w:tcW w:w="0" w:type="dxa"/>
            <w:vAlign w:val="bottom"/>
          </w:tcPr>
          <w:p>
            <w:pPr>
              <w:spacing w:after="0"/>
              <w:rPr>
                <w:sz w:val="1"/>
                <w:szCs w:val="1"/>
                <w:color w:val="auto"/>
              </w:rPr>
            </w:pPr>
          </w:p>
        </w:tc>
      </w:tr>
      <w:tr>
        <w:trPr>
          <w:trHeight w:val="270"/>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270"/>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7,106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7,106</w:t>
            </w:r>
          </w:p>
        </w:tc>
        <w:tc>
          <w:tcPr>
            <w:tcW w:w="0" w:type="dxa"/>
            <w:vAlign w:val="bottom"/>
          </w:tcPr>
          <w:p>
            <w:pPr>
              <w:spacing w:after="0"/>
              <w:rPr>
                <w:sz w:val="1"/>
                <w:szCs w:val="1"/>
                <w:color w:val="auto"/>
              </w:rPr>
            </w:pPr>
          </w:p>
        </w:tc>
      </w:tr>
      <w:tr>
        <w:trPr>
          <w:trHeight w:val="270"/>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2,302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2,302</w:t>
            </w:r>
          </w:p>
        </w:tc>
        <w:tc>
          <w:tcPr>
            <w:tcW w:w="0" w:type="dxa"/>
            <w:vAlign w:val="bottom"/>
          </w:tcPr>
          <w:p>
            <w:pPr>
              <w:spacing w:after="0"/>
              <w:rPr>
                <w:sz w:val="1"/>
                <w:szCs w:val="1"/>
                <w:color w:val="auto"/>
              </w:rPr>
            </w:pPr>
          </w:p>
        </w:tc>
      </w:tr>
      <w:tr>
        <w:trPr>
          <w:trHeight w:val="280"/>
        </w:trPr>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41"/>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color w:val="auto"/>
                <w:w w:val="90"/>
              </w:rPr>
              <w:t>49,145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w w:val="93"/>
              </w:rPr>
              <w:t>259,315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39,787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299,084</w:t>
            </w:r>
          </w:p>
        </w:tc>
        <w:tc>
          <w:tcPr>
            <w:tcW w:w="0" w:type="dxa"/>
            <w:vAlign w:val="bottom"/>
          </w:tcPr>
          <w:p>
            <w:pPr>
              <w:spacing w:after="0"/>
              <w:rPr>
                <w:sz w:val="1"/>
                <w:szCs w:val="1"/>
                <w:color w:val="auto"/>
              </w:rPr>
            </w:pPr>
          </w:p>
        </w:tc>
      </w:tr>
      <w:tr>
        <w:trPr>
          <w:trHeight w:val="540"/>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38,957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38,957</w:t>
            </w:r>
          </w:p>
        </w:tc>
        <w:tc>
          <w:tcPr>
            <w:tcW w:w="0" w:type="dxa"/>
            <w:vAlign w:val="bottom"/>
          </w:tcPr>
          <w:p>
            <w:pPr>
              <w:spacing w:after="0"/>
              <w:rPr>
                <w:sz w:val="1"/>
                <w:szCs w:val="1"/>
                <w:color w:val="auto"/>
              </w:rPr>
            </w:pPr>
          </w:p>
        </w:tc>
      </w:tr>
      <w:tr>
        <w:trPr>
          <w:trHeight w:val="280"/>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38,960</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1,869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3,154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3,154</w:t>
            </w:r>
          </w:p>
        </w:tc>
        <w:tc>
          <w:tcPr>
            <w:tcW w:w="0" w:type="dxa"/>
            <w:vAlign w:val="bottom"/>
          </w:tcPr>
          <w:p>
            <w:pPr>
              <w:spacing w:after="0"/>
              <w:rPr>
                <w:sz w:val="1"/>
                <w:szCs w:val="1"/>
                <w:color w:val="auto"/>
              </w:rPr>
            </w:pPr>
          </w:p>
        </w:tc>
      </w:tr>
      <w:tr>
        <w:trPr>
          <w:trHeight w:val="270"/>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270"/>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10,644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10,644</w:t>
            </w:r>
          </w:p>
        </w:tc>
        <w:tc>
          <w:tcPr>
            <w:tcW w:w="0" w:type="dxa"/>
            <w:vAlign w:val="bottom"/>
          </w:tcPr>
          <w:p>
            <w:pPr>
              <w:spacing w:after="0"/>
              <w:rPr>
                <w:sz w:val="1"/>
                <w:szCs w:val="1"/>
                <w:color w:val="auto"/>
              </w:rPr>
            </w:pPr>
          </w:p>
        </w:tc>
      </w:tr>
      <w:tr>
        <w:trPr>
          <w:trHeight w:val="270"/>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8,317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8,317</w:t>
            </w:r>
          </w:p>
        </w:tc>
        <w:tc>
          <w:tcPr>
            <w:tcW w:w="0" w:type="dxa"/>
            <w:vAlign w:val="bottom"/>
          </w:tcPr>
          <w:p>
            <w:pPr>
              <w:spacing w:after="0"/>
              <w:rPr>
                <w:sz w:val="1"/>
                <w:szCs w:val="1"/>
                <w:color w:val="auto"/>
              </w:rPr>
            </w:pPr>
          </w:p>
        </w:tc>
      </w:tr>
      <w:tr>
        <w:trPr>
          <w:trHeight w:val="280"/>
        </w:trPr>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37"/>
        </w:trPr>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color w:val="auto"/>
                <w:w w:val="90"/>
              </w:rPr>
              <w:t>51,084</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w w:val="93"/>
              </w:rPr>
              <w:t>281,530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78,744</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360,259</w:t>
            </w:r>
          </w:p>
        </w:tc>
        <w:tc>
          <w:tcPr>
            <w:tcW w:w="0" w:type="dxa"/>
            <w:vAlign w:val="bottom"/>
          </w:tcPr>
          <w:p>
            <w:pPr>
              <w:spacing w:after="0"/>
              <w:rPr>
                <w:sz w:val="1"/>
                <w:szCs w:val="1"/>
                <w:color w:val="auto"/>
              </w:rPr>
            </w:pP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-5985510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-5641975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-5299075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-4956175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-4613275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-4270375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-3926840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-3549650</wp:posOffset>
            </wp:positionV>
            <wp:extent cx="724662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-3138170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-2795270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-2451735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-2108835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-1765935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-1423035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-1045845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-702310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-359410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240"/>
            <w:col w:w="6060"/>
          </w:cols>
          <w:pgMar w:left="240" w:top="125"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2010</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38,957</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29,132</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13,871</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83,137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63,446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43,332</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10,334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6,996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1,246</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Excess tax benefit from stock-based compensation</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(8,574)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Imputed interest on deferred payment obligations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1,649</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(Gain) loss on sale of patent assets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536</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premium on investments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Deferred taxes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1,477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5,624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7,057</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Changes in assets and liabilities: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(8,984)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(5,521)</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Other receivables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(33,775)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(6,014)</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(347)</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and other liabilities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6,563</w:t>
            </w:r>
          </w:p>
        </w:tc>
      </w:tr>
      <w:tr>
        <w:trPr>
          <w:trHeight w:val="264"/>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 revenue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(3,958)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25,714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57,749</w:t>
            </w:r>
          </w:p>
        </w:tc>
      </w:tr>
      <w:tr>
        <w:trPr>
          <w:trHeight w:val="25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91,377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120,348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120,134</w:t>
            </w:r>
          </w:p>
        </w:tc>
      </w:tr>
      <w:tr>
        <w:trPr>
          <w:trHeight w:val="229"/>
        </w:trPr>
        <w:tc>
          <w:tcPr>
            <w:tcW w:w="7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Purchases of investments classified as available-for-sale</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(185,582)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(202,430)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Maturities and sales of investments classified as available-for-sale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188,026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78,246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Business acquisitions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(45,765)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Decrease (increase) in restricted cash</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Purchases of intangible assets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Acquisitions of patent assets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(87,366)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(101,170)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(72,097)</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patent assets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r>
      <w:tr>
        <w:trPr>
          <w:trHeight w:val="250"/>
        </w:trPr>
        <w:tc>
          <w:tcPr>
            <w:tcW w:w="77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(131,630)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(230,629)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(72,361)</w:t>
            </w:r>
          </w:p>
        </w:tc>
      </w:tr>
      <w:tr>
        <w:trPr>
          <w:trHeight w:val="229"/>
        </w:trPr>
        <w:tc>
          <w:tcPr>
            <w:tcW w:w="7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principal on deferred payment obligations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(30,471)</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Proceeds from other obligations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Series C redeemable convertible preferred stock, net of issuance costs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3,781</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Proceeds from issuance of common stock in initial public offering, net of issuance costs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157,478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common stock in follow-on offering, net of issuance costs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26,855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Proceeds from exercise of stock options and other common stock issuances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2,993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104</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Excess tax benefit from stock-based compensation</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8,574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7,142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170,374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(30,045)</w:t>
            </w:r>
          </w:p>
        </w:tc>
      </w:tr>
      <w:tr>
        <w:trPr>
          <w:trHeight w:val="250"/>
        </w:trPr>
        <w:tc>
          <w:tcPr>
            <w:tcW w:w="778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(33,111)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60,093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17,728</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106,749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46,656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28,928</w:t>
            </w:r>
          </w:p>
        </w:tc>
      </w:tr>
      <w:tr>
        <w:trPr>
          <w:trHeight w:val="283"/>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73,638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106,749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46,656</w:t>
            </w:r>
          </w:p>
        </w:tc>
      </w:tr>
      <w:tr>
        <w:trPr>
          <w:trHeight w:val="210"/>
        </w:trPr>
        <w:tc>
          <w:tcPr>
            <w:tcW w:w="7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interest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3,686</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Cash paid for income taxes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4,672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6,110</w:t>
            </w:r>
          </w:p>
        </w:tc>
      </w:tr>
      <w:tr>
        <w:trPr>
          <w:trHeight w:val="290"/>
        </w:trPr>
        <w:tc>
          <w:tcPr>
            <w:tcW w:w="7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514"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514"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ind w:left="40"/>
              <w:spacing w:after="0"/>
              <w:rPr>
                <w:sz w:val="20"/>
                <w:szCs w:val="20"/>
                <w:color w:val="auto"/>
              </w:rPr>
            </w:pPr>
            <w:r>
              <w:rPr>
                <w:rFonts w:ascii="Arial" w:cs="Arial" w:eastAsia="Arial" w:hAnsi="Arial"/>
                <w:sz w:val="14"/>
                <w:szCs w:val="14"/>
                <w:b w:val="1"/>
                <w:bCs w:val="1"/>
                <w:color w:val="auto"/>
              </w:rPr>
              <w:t>Non-cash investing and financing activities</w:t>
            </w:r>
          </w:p>
        </w:tc>
        <w:tc>
          <w:tcPr>
            <w:tcW w:w="1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Conversion of redeemable convertible preferred stock to common stock</w:t>
            </w:r>
          </w:p>
        </w:tc>
        <w:tc>
          <w:tcPr>
            <w:tcW w:w="1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62,793</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Patent assets purchased or financed through notes payable or other deferred payment obligations</w:t>
            </w:r>
          </w:p>
        </w:tc>
        <w:tc>
          <w:tcPr>
            <w:tcW w:w="1420" w:type="dxa"/>
            <w:vAlign w:val="bottom"/>
          </w:tcPr>
          <w:p>
            <w:pPr>
              <w:spacing w:after="0"/>
              <w:rPr>
                <w:sz w:val="22"/>
                <w:szCs w:val="22"/>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14,542</w:t>
            </w: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patent assets purchased and accrued but not paid</w:t>
            </w:r>
          </w:p>
        </w:tc>
        <w:tc>
          <w:tcPr>
            <w:tcW w:w="1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1,100</w:t>
            </w: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(2,000)</w:t>
            </w:r>
          </w:p>
        </w:tc>
        <w:tc>
          <w:tcPr>
            <w:tcW w:w="4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Change in other assets purchased and accrued but not paid</w:t>
            </w:r>
          </w:p>
        </w:tc>
        <w:tc>
          <w:tcPr>
            <w:tcW w:w="14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4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Patent assets and intangible assets received in barter transactions</w:t>
            </w:r>
          </w:p>
        </w:tc>
        <w:tc>
          <w:tcPr>
            <w:tcW w:w="1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w:t>
            </w: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w:t>
            </w:r>
          </w:p>
        </w:tc>
        <w:tc>
          <w:tcPr>
            <w:tcW w:w="4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6760" w:type="dxa"/>
            <w:vAlign w:val="bottom"/>
          </w:tcPr>
          <w:p>
            <w:pPr>
              <w:ind w:left="180"/>
              <w:spacing w:after="0"/>
              <w:rPr>
                <w:sz w:val="20"/>
                <w:szCs w:val="20"/>
                <w:color w:val="auto"/>
              </w:rPr>
            </w:pPr>
            <w:r>
              <w:rPr>
                <w:rFonts w:ascii="Arial" w:cs="Arial" w:eastAsia="Arial" w:hAnsi="Arial"/>
                <w:sz w:val="14"/>
                <w:szCs w:val="14"/>
                <w:color w:val="auto"/>
              </w:rPr>
              <w:t>Costs related to public offerings accrued but not paid</w:t>
            </w:r>
          </w:p>
        </w:tc>
        <w:tc>
          <w:tcPr>
            <w:tcW w:w="1420" w:type="dxa"/>
            <w:vAlign w:val="bottom"/>
          </w:tcPr>
          <w:p>
            <w:pPr>
              <w:spacing w:after="0"/>
              <w:rPr>
                <w:sz w:val="22"/>
                <w:szCs w:val="22"/>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(260)</w:t>
            </w:r>
          </w:p>
        </w:tc>
        <w:tc>
          <w:tcPr>
            <w:tcW w:w="4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260</w:t>
            </w:r>
          </w:p>
        </w:tc>
      </w:tr>
    </w:tbl>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81"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RPX Corporation (also referred to herein as “RPX” or the “Company”) helps companies reduce patent-related risk and expense by providing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that are being or may be asserted against the Company’s current or prospective clients. The Company may occasionally enter into agreements to acquire covenants not to sue in order to further mitigate its clients’ litigation risk. The acquired patents, licenses to patents and agreements for covenants not to sue are collectively referred to as “patent assets.” The Company’s clients pay an annual subscription fee and in return, receive a license from the Company to substantially all of its patent assets and access to its proprietary patent market intelligence and data. In addition to the Company’s core solution, during the year ended December 31, 2012, the Company began underwriting patent infringement liability insurance policies to insure against certain costs of litigation from non-practicing entities (“NPEs”). The effect of the insurance policies that have been issued has been insignificant to the Company’s results of operations or financial condition for the year ended December 31, 2012.</w:t>
      </w:r>
    </w:p>
    <w:p>
      <w:pPr>
        <w:spacing w:after="0" w:line="160" w:lineRule="exact"/>
        <w:rPr>
          <w:sz w:val="20"/>
          <w:szCs w:val="20"/>
          <w:color w:val="auto"/>
        </w:rPr>
      </w:pPr>
    </w:p>
    <w:p>
      <w:pPr>
        <w:ind w:left="620" w:hanging="612"/>
        <w:spacing w:after="0"/>
        <w:tabs>
          <w:tab w:leader="none" w:pos="6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(“U.S. GAAP”) and include the accounts of RPX and its wholly owned subsidiaries. All intercompany transactions have been eliminated. Management performed an evaluation of the Company’s activities through the date of filing of this Annual Report on Form 10-K, and has concluded that there are no subsequent events requiring disclosure through that date.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contingent assets and liabilities, and disclosure of contingent assets and liabilities at the date of the consolidated financial statements and reported amounts of revenues and expenses during the reporting period covered by the consolidated financial statements and accompanying notes. The Company bases its estimates on various factors and information which may include, but are not limited to, history and prior experience, expected future results, new related events and current economic conditions, the results of which form the basis for making judgments about the carrying values of assets and liabilities that are not readily apparent from other sources. Actual results could differ materially from those estimates.</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estimates and assumptions made by management include the determination of:</w:t>
      </w:r>
    </w:p>
    <w:p>
      <w:pPr>
        <w:spacing w:after="0" w:line="77" w:lineRule="exact"/>
        <w:rPr>
          <w:sz w:val="20"/>
          <w:szCs w:val="20"/>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estimated economic useful lives of patent assets;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fair value of assets acquired and liabilities assumed for business combinations;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recognition and measurement of current and deferred income taxes; and</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fair value of stock awards issued.</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80" w:firstLine="486"/>
        <w:spacing w:after="0" w:line="276" w:lineRule="auto"/>
        <w:rPr>
          <w:sz w:val="20"/>
          <w:szCs w:val="20"/>
          <w:color w:val="auto"/>
        </w:rPr>
      </w:pPr>
      <w:r>
        <w:rPr>
          <w:rFonts w:ascii="Arial" w:cs="Arial" w:eastAsia="Arial" w:hAnsi="Arial"/>
          <w:sz w:val="17"/>
          <w:szCs w:val="17"/>
          <w:color w:val="auto"/>
        </w:rPr>
        <w:t xml:space="preserve">The Company recognizes revenue in accordance with Financial Accounting Standards Board (“FASB”) Accounting Standards Codification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and related authoritative guidance. The primary source of the Company’s revenue is fees paid by its clients under subscription agreements. The Company believes that its patent risk management solution comprises a single deliverable and thus the Company recognizes each subscription fee ratably over the period for which the fee applies. Revenue is recognized net of any discounts or other contractual incentives. The Company starts recognizing revenue when all of the following criteria have been met:</w:t>
      </w:r>
    </w:p>
    <w:p>
      <w:pPr>
        <w:spacing w:after="0" w:line="24" w:lineRule="exact"/>
        <w:rPr>
          <w:sz w:val="20"/>
          <w:szCs w:val="20"/>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exists. </w:t>
      </w:r>
      <w:r>
        <w:rPr>
          <w:rFonts w:ascii="Arial" w:cs="Arial" w:eastAsia="Arial" w:hAnsi="Arial"/>
          <w:sz w:val="18"/>
          <w:szCs w:val="18"/>
          <w:color w:val="auto"/>
        </w:rPr>
        <w:t>All subscription fees are supported by a dually executed subscription agreement.</w:t>
      </w:r>
    </w:p>
    <w:p>
      <w:pPr>
        <w:spacing w:after="0" w:line="76" w:lineRule="exact"/>
        <w:rPr>
          <w:rFonts w:ascii="Arial" w:cs="Arial" w:eastAsia="Arial" w:hAnsi="Arial"/>
          <w:sz w:val="18"/>
          <w:szCs w:val="18"/>
          <w:color w:val="auto"/>
        </w:rPr>
      </w:pPr>
    </w:p>
    <w:p>
      <w:pPr>
        <w:ind w:left="820" w:right="40" w:hanging="326"/>
        <w:spacing w:after="0" w:line="279"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Delivery has occurred or services have been rendered. </w:t>
      </w:r>
      <w:r>
        <w:rPr>
          <w:rFonts w:ascii="Arial" w:cs="Arial" w:eastAsia="Arial" w:hAnsi="Arial"/>
          <w:sz w:val="17"/>
          <w:szCs w:val="17"/>
          <w:color w:val="auto"/>
        </w:rPr>
        <w:t>The subscription agreement calls for the Company to provide its patent risk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 over a specific term commencing on the agreement effective date. Because services are not on an individualized basis (</w:t>
      </w:r>
      <w:r>
        <w:rPr>
          <w:rFonts w:ascii="Arial" w:cs="Arial" w:eastAsia="Arial" w:hAnsi="Arial"/>
          <w:sz w:val="17"/>
          <w:szCs w:val="17"/>
          <w:i w:val="1"/>
          <w:iCs w:val="1"/>
          <w:color w:val="auto"/>
        </w:rPr>
        <w:t>i.e.</w:t>
      </w:r>
      <w:r>
        <w:rPr>
          <w:rFonts w:ascii="Arial" w:cs="Arial" w:eastAsia="Arial" w:hAnsi="Arial"/>
          <w:sz w:val="17"/>
          <w:szCs w:val="17"/>
          <w:color w:val="auto"/>
        </w:rPr>
        <w:t>, the Company generally performs its services on behalf of all of its clients as opposed to each client individually), delivery occurs automatically with the passage of time. Consequently, the Company recognizes subscription revenue ratably.</w:t>
      </w:r>
    </w:p>
    <w:p>
      <w:pPr>
        <w:spacing w:after="0" w:line="22" w:lineRule="exact"/>
        <w:rPr>
          <w:rFonts w:ascii="Arial" w:cs="Arial" w:eastAsia="Arial" w:hAnsi="Arial"/>
          <w:sz w:val="17"/>
          <w:szCs w:val="17"/>
          <w:color w:val="auto"/>
        </w:rPr>
      </w:pPr>
    </w:p>
    <w:p>
      <w:pPr>
        <w:jc w:val="both"/>
        <w:ind w:left="820" w:right="420" w:hanging="326"/>
        <w:spacing w:after="0" w:line="264"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Seller’s price to the buyer is fixed or determinable. </w:t>
      </w:r>
      <w:r>
        <w:rPr>
          <w:rFonts w:ascii="Arial" w:cs="Arial" w:eastAsia="Arial" w:hAnsi="Arial"/>
          <w:sz w:val="18"/>
          <w:szCs w:val="18"/>
          <w:color w:val="auto"/>
        </w:rPr>
        <w:t>Each client’s annual subscription fee is generally based on the Company’s fee schedule in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at the time of the client’s initial agreement. A client’s subscription fee is generally determined using its fee schedule and its normalized operating income, which is defined as the greater of (i) the average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47" w:lineRule="exact"/>
        <w:rPr>
          <w:sz w:val="20"/>
          <w:szCs w:val="20"/>
          <w:color w:val="auto"/>
        </w:rPr>
      </w:pPr>
    </w:p>
    <w:p>
      <w:pPr>
        <w:jc w:val="both"/>
        <w:ind w:left="820" w:right="160"/>
        <w:spacing w:after="0" w:line="331" w:lineRule="auto"/>
        <w:rPr>
          <w:sz w:val="20"/>
          <w:szCs w:val="20"/>
          <w:color w:val="auto"/>
        </w:rPr>
      </w:pPr>
      <w:r>
        <w:rPr>
          <w:rFonts w:ascii="Arial" w:cs="Arial" w:eastAsia="Arial" w:hAnsi="Arial"/>
          <w:sz w:val="17"/>
          <w:szCs w:val="17"/>
          <w:color w:val="auto"/>
        </w:rPr>
        <w:t>its operating income for the three most recently reported fiscal years and (ii) 5% of its revenue for the most recently reported fiscal year. The fee for the first year of the agreement is typically determined and invoiced at the time of contract execution. The fee for each subsequent year of the agreement is generally calculated and invoiced in advance prior to each anniversary date of the agreement.</w:t>
      </w:r>
    </w:p>
    <w:p>
      <w:pPr>
        <w:spacing w:after="0" w:line="2" w:lineRule="exact"/>
        <w:rPr>
          <w:sz w:val="20"/>
          <w:szCs w:val="20"/>
          <w:color w:val="auto"/>
        </w:rPr>
      </w:pPr>
    </w:p>
    <w:p>
      <w:pPr>
        <w:ind w:left="820" w:right="20" w:hanging="326"/>
        <w:spacing w:after="0" w:line="264"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Collectability is reasonably assured. </w:t>
      </w:r>
      <w:r>
        <w:rPr>
          <w:rFonts w:ascii="Arial" w:cs="Arial" w:eastAsia="Arial" w:hAnsi="Arial"/>
          <w:sz w:val="18"/>
          <w:szCs w:val="18"/>
          <w:color w:val="auto"/>
        </w:rPr>
        <w:t>Subscription fees are generally collected on or near the effective date of the agreement and again at or near</w:t>
      </w:r>
      <w:r>
        <w:rPr>
          <w:rFonts w:ascii="Arial" w:cs="Arial" w:eastAsia="Arial" w:hAnsi="Arial"/>
          <w:sz w:val="18"/>
          <w:szCs w:val="18"/>
          <w:i w:val="1"/>
          <w:iCs w:val="1"/>
          <w:color w:val="auto"/>
        </w:rPr>
        <w:t xml:space="preserve"> </w:t>
      </w:r>
      <w:r>
        <w:rPr>
          <w:rFonts w:ascii="Arial" w:cs="Arial" w:eastAsia="Arial" w:hAnsi="Arial"/>
          <w:sz w:val="18"/>
          <w:szCs w:val="18"/>
          <w:color w:val="auto"/>
        </w:rPr>
        <w:t>each anniversary date thereof. The Company does not recognize revenue in instances where collectability is not reasonably assured. Generally, the Company’s subscription agreements state that all fees paid are non-refundable.</w:t>
      </w:r>
    </w:p>
    <w:p>
      <w:pPr>
        <w:spacing w:after="0" w:line="181"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In some limited instances, the subscription agreement includes a contingency clause, giving one or both parties an option to terminate the agreement and receive a full refund if contingencies are not resolved within a defined time period. In those instances, revenue will not be recognized until all contingencies have been removed. The revenue earned during the period between the effective date of the agreement and the contingency removal date is recognized on the contingency removal date. Thereafter, revenue is recognized ratably over the remaining subscription term.</w:t>
      </w:r>
    </w:p>
    <w:p>
      <w:pPr>
        <w:spacing w:after="0" w:line="17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Company’s clients generally receive a term license to, and a release from, all prior damages associated with patent assets in the Company’s portfolio. The term license to each patent asset converts to a perpetual license at the end of a contractually specified vesting period, provided that the client is a member at such time. The Company does not view the conversion from term license to perpetual license to be a separate deliverable in its arrangements with its clients because the utility of, access to and freedom to practice the inventions covered by the patent asset is no different between a term and perpetual license.</w:t>
      </w:r>
    </w:p>
    <w:p>
      <w:pPr>
        <w:spacing w:after="0" w:line="188"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 xml:space="preserve">In some instances, the Company accepts a payment from a client to finance part or all of an acquisition. The Company refers to such transactions as structured acquisitions. Structured acquisitions where the Company accepts payment from several clients is referred to as a syndicated acquisition. The accounting for structured acquisitions is complex and often requires judgments on the part of management as to the appropriate accounting treatment. In accordance with ASC 605-45, </w:t>
      </w:r>
      <w:r>
        <w:rPr>
          <w:rFonts w:ascii="Arial" w:cs="Arial" w:eastAsia="Arial" w:hAnsi="Arial"/>
          <w:sz w:val="17"/>
          <w:szCs w:val="17"/>
          <w:i w:val="1"/>
          <w:iCs w:val="1"/>
          <w:color w:val="auto"/>
        </w:rPr>
        <w:t>Revenue Recognition: Principal Agent Considerations</w:t>
      </w:r>
      <w:r>
        <w:rPr>
          <w:rFonts w:ascii="Arial" w:cs="Arial" w:eastAsia="Arial" w:hAnsi="Arial"/>
          <w:sz w:val="17"/>
          <w:szCs w:val="17"/>
          <w:color w:val="auto"/>
        </w:rPr>
        <w:t>, in instances where the Company substantively acts as an agent to acquire patent rights from a seller on behalf of clients who are paying for such rights separately from their subscription agreements, the Company may treat the client payments on a net basis. When treated on a net basis, there may be little or no revenue recognized for such contributions, and the basis of the acquired patent rights may exclude the amounts paid by the contributing client based on the Company’s determination that it is not the principal in these transactions. In these situations, where the Company substantively acts as an agent, the contributing clients are typically defendants in an active or threatened patent infringement litigation filed by the owner of a patent. The Company’s involvement is to assist its clients to secure a dismissal from litigation and a license to the underlying patents.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indicators evaluated to reach the determination that the Company is not the principal in the transaction include, among others:</w:t>
      </w:r>
    </w:p>
    <w:p>
      <w:pPr>
        <w:spacing w:after="0" w:line="77" w:lineRule="exact"/>
        <w:rPr>
          <w:sz w:val="20"/>
          <w:szCs w:val="20"/>
          <w:color w:val="auto"/>
        </w:rPr>
      </w:pPr>
    </w:p>
    <w:p>
      <w:pPr>
        <w:ind w:left="820" w:right="140" w:hanging="326"/>
        <w:spacing w:after="0" w:line="264"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seller of the patent assets is generally viewed as the primary obligor in the arrangement, given that it owns and controls the underlying patent(s) and thus has the absolute authority to grant and deliver any release from past damages and dismissal from litigation, as well the general terms of the license granted;</w:t>
      </w:r>
    </w:p>
    <w:p>
      <w:pPr>
        <w:spacing w:after="0" w:line="32" w:lineRule="exact"/>
        <w:rPr>
          <w:rFonts w:ascii="Arial" w:cs="Arial" w:eastAsia="Arial" w:hAnsi="Arial"/>
          <w:sz w:val="18"/>
          <w:szCs w:val="18"/>
          <w:color w:val="auto"/>
        </w:rPr>
      </w:pPr>
    </w:p>
    <w:p>
      <w:pPr>
        <w:ind w:left="820" w:right="40" w:hanging="326"/>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no inventory risk, as the clients generally enter into their contractual obligations with the Company prior to or contemporaneous to the Company entering into its contractual obligation with the seller;</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generally has limited pricing latitude as client contributions are based on the sales price set by the seller;</w:t>
      </w:r>
    </w:p>
    <w:p>
      <w:pPr>
        <w:spacing w:after="0" w:line="76"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is not involved in the determination of the product or service specification and has no ability to change the product or perform any part of the service in connection with these transactions, as the seller owns the underlying patent(s); and</w:t>
      </w:r>
    </w:p>
    <w:p>
      <w:pPr>
        <w:spacing w:after="0" w:line="21" w:lineRule="exact"/>
        <w:rPr>
          <w:rFonts w:ascii="Arial" w:cs="Arial" w:eastAsia="Arial" w:hAnsi="Arial"/>
          <w:sz w:val="18"/>
          <w:szCs w:val="18"/>
          <w:color w:val="auto"/>
        </w:rPr>
      </w:pPr>
    </w:p>
    <w:p>
      <w:pPr>
        <w:ind w:left="820" w:right="40" w:hanging="326"/>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limited or no credit risk, as each respective client has a contractually binding obligation, such clients are generally of high credit quality and in many instances the Company collects the client contribution prior to making a payment to the seller.</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certain structured transactions, the Company may recognize revenue upon the sale of licenses to specific patent assets and/or upon completion of the rendering of advisory services.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Accounting for Payments to Clients</w:t>
      </w:r>
    </w:p>
    <w:p>
      <w:pPr>
        <w:spacing w:after="0" w:line="77"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 xml:space="preserve">The Company occasionally agrees to provide payments, discounts or other contractual incentives to clients in exchange for specified consideration. The Company accounts for such contract provisions in accordance with ASC 605-50, </w:t>
      </w:r>
      <w:r>
        <w:rPr>
          <w:rFonts w:ascii="Arial" w:cs="Arial" w:eastAsia="Arial" w:hAnsi="Arial"/>
          <w:sz w:val="18"/>
          <w:szCs w:val="18"/>
          <w:i w:val="1"/>
          <w:iCs w:val="1"/>
          <w:color w:val="auto"/>
        </w:rPr>
        <w:t>Revenue Recognition: Customer Payments and Incentives</w:t>
      </w:r>
      <w:r>
        <w:rPr>
          <w:rFonts w:ascii="Arial" w:cs="Arial" w:eastAsia="Arial" w:hAnsi="Arial"/>
          <w:sz w:val="18"/>
          <w:szCs w:val="18"/>
          <w:color w:val="auto"/>
        </w:rPr>
        <w:t>, which requires the Company to offset the amount of the payment, discount or other contractual incentive against revenue if the Company is unable to demonstrate both receipt of an identifiable benefit and determine the fair value of the benefit received.</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77" w:lineRule="exact"/>
        <w:rPr>
          <w:sz w:val="20"/>
          <w:szCs w:val="20"/>
          <w:color w:val="auto"/>
        </w:rPr>
      </w:pPr>
    </w:p>
    <w:p>
      <w:pPr>
        <w:ind w:right="160" w:firstLine="486"/>
        <w:spacing w:after="0" w:line="297" w:lineRule="auto"/>
        <w:rPr>
          <w:sz w:val="20"/>
          <w:szCs w:val="20"/>
          <w:color w:val="auto"/>
        </w:rPr>
      </w:pPr>
      <w:r>
        <w:rPr>
          <w:rFonts w:ascii="Arial" w:cs="Arial" w:eastAsia="Arial" w:hAnsi="Arial"/>
          <w:sz w:val="16"/>
          <w:szCs w:val="16"/>
          <w:color w:val="auto"/>
        </w:rPr>
        <w:t>The Company generally invoices its clients upon execution of a new agreement and prior to any payment date for existing agreements. The Company records the amount of fees billed as deferred revenue and recognizes such amounts as revenue ratably over the period for which they apply. The Company generally records deferred revenue when it has the legal right to bill amounts owed. In the rare instance where a term has commenced but the fees have not yet been invoiced, the Company records an unbilled receivable. Deferred revenue that will be recognized during the succeeding 12-month period from the respective balance sheet date is recorded as deferred revenue, current, and the remaining portion is recorded as non-current.</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77"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Accounts receivable primarily includes amounts billed to clients under their subscription agreements. The majority of the Company’s clients are well-established operating companies with investment-grade credit. For the periods ended December 31, 2012 and 2011, the Company has not incurred any losses on its accounts receivable. Based upon its historical collections experience and specific client information, the Company has determined that no allowance for doubtful accounts was required at either December 31, 2012 or 2011.</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7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Company is subject to concentrations of credit risk principally attributable to cash, cash equivalents, investments, accounts receivable and other receivables. The Company’s cash balances (both, restricted and non-restricted) deposited in U.S. banks are non-interest bearing and are insured up to the Federal Deposit Insurance Corporation (“FDIC”) limits. Cash equivalents primarily consist of institutional money market funds, U.S. government and agency securities, municipal bonds and commercial paper denominated primarily in U.S. dollars. Investment policies have been implemented that limit purchases of debt securities to investment-grade securities.</w:t>
      </w:r>
    </w:p>
    <w:p>
      <w:pPr>
        <w:spacing w:after="0" w:line="188"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Credit risk with respect to accounts and other receivables is generally mitigated by short collection periods and/or subscription agreements that provide for payments in advance of the rendering of services. Three clients accounted for 22%, 18% and 13% of accounts receivable at December 31, 2012. Four clients accounted for 26%, 20%, 14% and 12% of accounts receivable at December 31, 2011. Two clients, neither of which was represented in the accounts receivable balance at December 31, 2012, accounted for 62% and 38% of other receivables at December 31, 2012. No client accounted for more than 10% of subscription fee revenue in any of the years ended December 31, 2012, 2011 or 2010.</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7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that would be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the Company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79" w:lineRule="exact"/>
        <w:rPr>
          <w:sz w:val="20"/>
          <w:szCs w:val="20"/>
          <w:color w:val="auto"/>
        </w:rPr>
      </w:pPr>
    </w:p>
    <w:p>
      <w:pPr>
        <w:ind w:left="1220" w:right="200" w:hanging="728"/>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Valuations based on quoted prices in active markets for identical assets or liabilities and readily accessible by the Company at the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22" w:lineRule="exact"/>
        <w:rPr>
          <w:sz w:val="20"/>
          <w:szCs w:val="20"/>
          <w:color w:val="auto"/>
        </w:rPr>
      </w:pPr>
    </w:p>
    <w:p>
      <w:pPr>
        <w:ind w:left="1220" w:right="440" w:hanging="72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Valuations based on inputs other than quoted prices included within Level 1 that are observable for assets or liabilities,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through market corroboration, for substantially the full term of the financial instrument.</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based on inputs that are unobservable.</w:t>
      </w:r>
    </w:p>
    <w:p>
      <w:pPr>
        <w:spacing w:after="0" w:line="22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carrying amounts of the Company’s financial instruments, which include cash equivalents, investments, accounts receivable, other receivables and accounts payable, approximate their fair values due to their short maturities. Based on borrowing rates currently available to the Company for notes payable and other deferred payment obligations with similar terms, and considering the Company’s credit risk, the carrying value of deferred payment obligations approximates fair value.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77"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Company’s cash and cash equivalents principally consist of institutional money market funds, corporate bonds, municipal bonds and commercial paper denominated primarily in U.S. dollars. Cash equivalents are highly liquid, short-term investments having an original maturity of 90 days or less that are readily convertible to known amounts of cash.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77"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The Company holds short-term investments in U.S. government and agency securities, commercial paper corporate bonds, and municipal bonds with maturities greater than 90 days. The Company considers its investments as available to support current operations. As a result, the Company classifies its investments including those with stated maturities beyond twelve months, as current assets in the accompanying consolidated balance sheets. The Company classifies these securities as “available-for-sale” and carries them at fair value on the consolidated balance sheets. Unrealized gains or losses are recorded, net of estimated taxes, in accumulated other comprehensive income (loss), a component of stockholders’ equity. Realized gains and losses are recognized upon sale. The specific identification method is used to determine the cost basis of fixed income securities sold.</w:t>
      </w:r>
    </w:p>
    <w:p>
      <w:pPr>
        <w:spacing w:after="0" w:line="165"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color w:val="auto"/>
        </w:rPr>
        <w:t>The Company periodically evaluates its investments for impairment due to declines in market value considered to be “other-than-temporary.” This evaluation consists of several qualitative and quantitative factors, including the Company’s ability and intent to hold the investment until a forecasted recovery occurs, as well as any decline in the investment quality of the security and the severity and duration of the unrealized loss. In the event of a determination that a decline in market value is other-than-temporary, the Company will recognize an impairment loss, and a new cost basis in the investment will be established. To date, the Company has not recorded any impairment related to its investments in its consolidated statements of operations.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77" w:lineRule="exact"/>
        <w:rPr>
          <w:sz w:val="20"/>
          <w:szCs w:val="20"/>
          <w:color w:val="auto"/>
        </w:rPr>
      </w:pPr>
    </w:p>
    <w:p>
      <w:pPr>
        <w:ind w:right="260" w:firstLine="486"/>
        <w:spacing w:after="0" w:line="297" w:lineRule="auto"/>
        <w:rPr>
          <w:sz w:val="20"/>
          <w:szCs w:val="20"/>
          <w:color w:val="auto"/>
        </w:rPr>
      </w:pPr>
      <w:r>
        <w:rPr>
          <w:rFonts w:ascii="Arial" w:cs="Arial" w:eastAsia="Arial" w:hAnsi="Arial"/>
          <w:sz w:val="16"/>
          <w:szCs w:val="16"/>
          <w:color w:val="auto"/>
        </w:rPr>
        <w:t>Property and equipment are stated at cost less accumulated depreciation. Depreciation is computed using a straight-line method over the estimated useful lives of the related assets, which is generally three to five years. Maintenance and repairs are charged to expense as incurred, and improvements and betterments are capitalized. When assets are retired or otherwise disposed of, the cost and accumulated depreciation are removed from the consolidated balance sheet and any resulting gain or loss is reflected in the consolidated statement of operations in the period realized. Leasehold improvements are amortized on a straight-line basis over the term of the lease, or the useful life of the assets, whichever is shorter.</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Internal-Use Software and Website Development Costs</w:t>
      </w:r>
    </w:p>
    <w:p>
      <w:pPr>
        <w:spacing w:after="0" w:line="7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The Company capitalizes development costs related to internal-use software and its website and records such amounts as property and equipment, net, on its consolidated balance sheets. These costs include personnel and personnel-related expenses and consultant fees incurred during the application development stages of the project. Costs related to preliminary project activities, minor enhancement and maintenance, and post implementation activities are expensed as incurred. Internal-use software is amortized on a straight-line basis over its useful life, which is generally three years, beginning on the date the software is placed into service. Management evaluates the useful lives of these assets on an annual basis and tests for impairment whenever events or changes in circumstances occur that could impact the recoverability of these assets.</w:t>
      </w:r>
    </w:p>
    <w:p>
      <w:pPr>
        <w:spacing w:after="0" w:line="178"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During the years ended December 31, 2012 and 2011, the Company capitalized $1.9 million and $1.2 million, respectively, of internal-use software and website development costs. Amortization of internal-use software was $0.8 million, $0.1 million and nil for the years ended December 31, 2012, 2011 and 2010, respectively.</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Patent Assets</w:t>
      </w:r>
    </w:p>
    <w:p>
      <w:pPr>
        <w:spacing w:after="0" w:line="77" w:lineRule="exact"/>
        <w:rPr>
          <w:sz w:val="20"/>
          <w:szCs w:val="20"/>
          <w:color w:val="auto"/>
        </w:rPr>
      </w:pPr>
    </w:p>
    <w:p>
      <w:pPr>
        <w:ind w:right="160" w:firstLine="486"/>
        <w:spacing w:after="0" w:line="312" w:lineRule="auto"/>
        <w:rPr>
          <w:sz w:val="20"/>
          <w:szCs w:val="20"/>
          <w:color w:val="auto"/>
        </w:rPr>
      </w:pPr>
      <w:r>
        <w:rPr>
          <w:rFonts w:ascii="Arial" w:cs="Arial" w:eastAsia="Arial" w:hAnsi="Arial"/>
          <w:sz w:val="16"/>
          <w:szCs w:val="16"/>
          <w:color w:val="auto"/>
        </w:rPr>
        <w:t>The Company generally acquires patent assets from third parties using cash and contractually deferred payments. Patent assets are recorded at fair value. The fair value of the assets acquired is generally based on the fair value of the consideration exchanged. The asset value includes the cost of legal and other fees associated with the acquisition of the assets. Costs incurred to maintain and prosecute patents and patent applications are expensed as incurred.</w:t>
      </w:r>
    </w:p>
    <w:p>
      <w:pPr>
        <w:spacing w:after="0" w:line="14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Because each client generally receives a license to the vast majority of the Company’s patent assets, the Company is unable to reliably determine the pattern over which its patent assets are consumed. As a result, the Company amortizes each patent asset on a straight-line basis. The amortization period is equal to the asset’s estimated economic useful life. Estimating the economic useful life of patent assets requires significant management judgment. The Company considers various factors in estimating the economic useful lives of its patent assets, including the remaining statutory life of the underlying patents, the applicability of the assets to future clients, the vesting period for current clients to obtain perpetual licenses to such patent assets, any contractual commitments by clients that are related to such patent assets, its estimate of the period of time during which the Company may sign subscription agreements with prospective clients that may find relevance in the patent assets, the vesting period for which such clients earn the right to a perpetual license in the asset and the remaining contractual term of the Company’s existing clients at the time of acquisition. In certain instances, where the Company acquires patent assets and secures related client committed cash flows that extend beyond the statutory life of the underlying patents, the useful life may extend beyond the statutory life of the patents. As of December 31, 2012, the estimated economic useful life of the Company’s patent assets generally ranged from 24 to 60 months, and the weighted-average estimated economic useful life at the time of acquisition, excluding fully amortized patent assets, was 46 months. The Company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periodically evaluates whether events and circumstances have occurred that may warrant a revision to the remaining estimated useful life of its patent assets.</w:t>
      </w:r>
    </w:p>
    <w:p>
      <w:pPr>
        <w:spacing w:after="0" w:line="194"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In instances where the Company sells patent assets, the amount of consideration received is compared to the asset’s carrying value to determine and recognize a gain or loss.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Patent Asset Financing</w:t>
      </w:r>
    </w:p>
    <w:p>
      <w:pPr>
        <w:spacing w:after="0" w:line="77"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 Company may use seller financing in the form of notes payable or contractually deferred payments for acquisitions of patent assets. In such cases, the acquired assets may serve as collateral or be otherwise encumbered during the term of the financing. Contractual amounts owed under such financing arrangements are recorded at fair value using a market rate of interest. If such financing arrangements do not have a stated interest rate, the Company imputes interest at a market rate (thereby discounting the future payments to present value) to account for the time-value-of-money component of the asset purchase. The difference between the contractual amounts due and the present value is recognized as interest expense over the period the payments are due. The Company records a corresponding patent asset for any such contractual obligations. Amounts due within approximately one year of the date of the acquisition under financing arrangements with no stated interest rate are recorded at face value. The interest component is imputed, if necessary, at the time of acquisition by using the then-current market yield of an index of comparable maturity securities with a credit rating comparable to that of the Company.</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77"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The Company assesses the recoverability of its long-lived assets, which includes patent assets, other intangible assets and property and equipment, when events or changes in circumstances indicate their carrying value may not be recoverable. Such events or changes in circumstances may include: a significant adverse change in the extent or manner in which a long-lived asset is being used, a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more-likely-than-not, a long-lived asset will be sold or otherwise disposed of significantly before the end of its previously estimated useful life. The Company licenses the portfolio of patent assets to all of its clients and thus views these assets as a single asset group. The Company assesses recoverability of a long-lived asset by determining whether the carrying value of these assets can be recovered through projected undiscounted cash flows. If the carrying value of the assets exceeds the forecasted undiscounted cash flows, an impairment loss is recognized, and is recorded as the amount by which the carrying value exceeds the estimated fair value. An impairment loss is charged to operations in the period in which management determines such impairment. To date, there have been no impairments of long-lived assets identified.</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7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Company classifies assets as held for sale when certain criteria are met, including: management’s commitment to a plan to sell the assets; the availability of the assets for immediate sale in their present condition; whether an active program to locate buyers and other actions to sell the assets has been initiated; whether the sale of the assets is probable and their transfer is expected to qualify for recognition as a completed sale within one year; whether the assets are being marketed at reasonable prices in relation to their fair value; and how likely it is that significant changes will be made to the plan to sell the assets. There were no assets held for sale at December 31, 2012 or 2011.</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380" w:firstLine="486"/>
        <w:spacing w:after="0" w:line="264"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a business combination. The Company evaluates goodwill for impairment on an annual basis during its third fiscal quarter or whenever events and changes in circumstances suggest that the carrying amount may not be recoverable.</w:t>
      </w:r>
    </w:p>
    <w:p>
      <w:pPr>
        <w:spacing w:after="0" w:line="18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 xml:space="preserve">In accordance with ASC Topic 350, </w:t>
      </w:r>
      <w:r>
        <w:rPr>
          <w:rFonts w:ascii="Arial" w:cs="Arial" w:eastAsia="Arial" w:hAnsi="Arial"/>
          <w:sz w:val="16"/>
          <w:szCs w:val="16"/>
          <w:i w:val="1"/>
          <w:iCs w:val="1"/>
          <w:color w:val="auto"/>
        </w:rPr>
        <w:t>Intangibles - Goodwill &amp; Other</w:t>
      </w:r>
      <w:r>
        <w:rPr>
          <w:rFonts w:ascii="Arial" w:cs="Arial" w:eastAsia="Arial" w:hAnsi="Arial"/>
          <w:sz w:val="16"/>
          <w:szCs w:val="16"/>
          <w:color w:val="auto"/>
        </w:rPr>
        <w:t xml:space="preserve"> (“ASC Topic 350”), the goodwill impairment test consists of a two-step process, if necessary. The Company first assesses qualitative factors to determine whether it is more likely than not that the fair value of a reporting unit is less than its carrying amount as a basis for determining whether it is necessary to perform the two-step goodwill impairment test described in ASC Topic 350. The more likely than not threshold is defined as having a likelihood of more than 50 percent. If, after assessing the totality of events or circumstances, the Company determines that it is not more likely than not that the fair value of a reporting unit is less than its carrying amount, then performing the two-step impairment test is unnecessary and goodwill is considered to be unimpaired. However, if based on the Company’s qualitative assessment, it concludes that it is more likely than not that the fair value of a reporting unit is less than its carrying amount, the Company will proceed with performing the two-step process.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first step of the impairment test involves comparing the fair value of the reporting unit to its net book value, including goodwill.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the Company had one reporting unit. If the net book value exceeds its fair value, then the Company would perform the second step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goodwill impairment test to determine the amount of the impairment loss. The</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impairment loss would be calculated by comparing the implied fair value of the Company to its net book value. In calculating the implied fair value of the Company’s goodwill, the fair value of the Company would be allocated to all of the other assets and liabilities based on their fair values. The excess of the fair value of the Company over the amount assigned to its other assets and liabilities is the implied fair value of goodwill. An impairment loss would be recognized when the carrying amount of goodwill exceeds its implied fair value. There have been no impairments of goodwill recorded in the Company’s consolidated statements of operations through December 31, 2012.</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77"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Intangible assets, net primarily consists of intangible assets acquired from other companies as a result of acquisitions. Such assets are capitalized and amortized on a straight-line basis over their estimated useful lives. Intangible assets, net excludes patent related intangible assets, which are recorded within patent assets, net in the accompanying consolidated balance sheets.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expenses advertising costs as they are incurred. Advertising expenses were not material for any of the periods presented.</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Accounting</w:t>
      </w:r>
    </w:p>
    <w:p>
      <w:pPr>
        <w:spacing w:after="0" w:line="77"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The Company’s subscription agreements are denominated in U.S. dollars; however, several of the Company’s clients report revenue and operating income in foreign currencies. As subscription fees are determined using the reported revenue and operating income of the Company’s clients, a significant sustained change in exchange rates could result in a change in subscription fees from clients reporting revenue and operating income in a currency other than the U.S. dollar. The Company’s expenses are incurred primarily in the United States, with a small portion of expenses incurred and denominated in Japanese Yen and the Euro. The functional currency of the Company’s international subsidiaries is the U.S. dollar. Monetary assets and liabilities are remeasured using the current exchange rate at the balance sheet date. Non-monetary assets and liabilities and capital accounts are remeasured using historical exchange rates. Expenses are remeasured using the average exchange rates in effect during the period. Foreign currency exchange gains and losses, which have not been material for any periods presented, are included in the consolidated statements of operations under other income (expense), net.</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 accounts for income taxes using an asset and liability approach, which requires the recognition of deferred tax assets or liabilities for the tax-effected temporary differences between the financial reporting and tax bases of its assets and liabilities and for net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the amount of any tax benefits that, based on available evidence, are not expected to be realized.</w:t>
      </w:r>
    </w:p>
    <w:p>
      <w:pPr>
        <w:spacing w:after="0" w:line="188"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The Company assesses the likelihood that its deferred tax assets will be recovered from future taxable income, and to the extent the Company believes that recovery is not likely, the Company establishes a valuation allowance. Judgment is required in determining the Company’s provision for income taxes, deferred tax assets, and liabilities and any valuation allowance recorded against the net deferred tax assets. The Company had not applied a valuation allowance against its deferred tax balances for the years ended December 31, 2012 or 2011.</w:t>
      </w:r>
    </w:p>
    <w:p>
      <w:pPr>
        <w:spacing w:after="0" w:line="171"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calculation of the Company’s tax liabilities involves dealing with uncertainties in the application of complex tax laws and regulations in a multitude of jurisdictions across its global operations. ASC 740 provides that a tax benefit from an uncertain tax position may be recognized when it is more likely than not that the position will be sustained upon examination, including resolutions of any related appeals or litigation processes, on the basis of the technical merits. ASC 740 also provides guidance on measurement, derecognition, classification, interest and penalties, accounting in interim periods, disclosure and transition.</w:t>
      </w:r>
    </w:p>
    <w:p>
      <w:pPr>
        <w:spacing w:after="0" w:line="188"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 Company recognizes tax liabilities in accordance with ASC 740 and adjusts these liabilities when its judgment changes as a result of the evaluation of new information not previously available. Because of the complexity of some of these uncertainties, the ultimate resolution may result in a payment that is materially different from its current estimate of the tax liabilities. These differences will be reflected as increases or decreases to income tax expense in the period in which new information is available.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 xml:space="preserve">The Company accounts for stock-based compensation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that compensation expense for all equity-settled awards made to employees and directors be measured and recognized based on estimated grant date fair values. These equity awards include stock options and restricted stock units (“RSUs”). Stock-based compensation expense for RSUs granted to employees and directors is measured based on the fair market value of the Company’s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5" w:right="2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common stock on the date of grant. Stock-based compensation expense for stock options awarded to employees and directors is estimated based on the fair value of each stock option using an option pricing model. The value of awards expected to vest is recognized as expense on a straight-line basis over the requisite service period.</w:t>
      </w:r>
    </w:p>
    <w:p>
      <w:pPr>
        <w:spacing w:after="0" w:line="181"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 xml:space="preserve">The Company accounts for stock-based compensation for equity-settled awards issued to non-employees in exchange for goods and services under ASC 505-50, </w:t>
      </w:r>
      <w:r>
        <w:rPr>
          <w:rFonts w:ascii="Arial" w:cs="Arial" w:eastAsia="Arial" w:hAnsi="Arial"/>
          <w:sz w:val="17"/>
          <w:szCs w:val="17"/>
          <w:i w:val="1"/>
          <w:iCs w:val="1"/>
          <w:color w:val="auto"/>
        </w:rPr>
        <w:t>Equity-Based Payments to Non-Employees</w:t>
      </w:r>
      <w:r>
        <w:rPr>
          <w:rFonts w:ascii="Arial" w:cs="Arial" w:eastAsia="Arial" w:hAnsi="Arial"/>
          <w:sz w:val="17"/>
          <w:szCs w:val="17"/>
          <w:color w:val="auto"/>
        </w:rPr>
        <w:t xml:space="preserve"> (“ASC 505-50”). ASC 505-50 requires that equity awards issued to non-employees be measured at the fair value as of the date at which either the commitment for performance by the non-employee to earn the award is reached or the date the non-employee’s performance is complete. Until that point is reached, the award must be revalued at each reporting period with the true-up to expense recorded in the then current period earnings. The value of the award is recognized as an expense over the requisite service period.</w:t>
      </w:r>
    </w:p>
    <w:p>
      <w:pPr>
        <w:spacing w:after="0" w:line="17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Company selected the Black-Scholes option pricing model as the most appropriate method for determining the estimated fair value for stock options. The Black-Scholes model requires the use of highly subjective and complex assumptions which determine the fair value of stock-based awards, including the option’s expected term and the price volatility of the underlying stock. Forfeitures are estimated at the time of grant and revised, if necessary, in subsequent periods if actual forfeitures differ from those estimates. See Note 15.</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77" w:lineRule="exact"/>
        <w:rPr>
          <w:sz w:val="20"/>
          <w:szCs w:val="20"/>
          <w:color w:val="auto"/>
        </w:rPr>
      </w:pPr>
    </w:p>
    <w:p>
      <w:pPr>
        <w:ind w:right="220" w:firstLine="486"/>
        <w:spacing w:after="0" w:line="312" w:lineRule="auto"/>
        <w:rPr>
          <w:sz w:val="20"/>
          <w:szCs w:val="20"/>
          <w:color w:val="auto"/>
        </w:rPr>
      </w:pPr>
      <w:r>
        <w:rPr>
          <w:rFonts w:ascii="Arial" w:cs="Arial" w:eastAsia="Arial" w:hAnsi="Arial"/>
          <w:sz w:val="16"/>
          <w:szCs w:val="16"/>
          <w:color w:val="auto"/>
        </w:rPr>
        <w:t xml:space="preserve">The Company applies the provisions of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in the accounting for its business acquisitions. ASC 805 requires companies to recognize goodwill separately from the assets acquired and liabilities assumed, which are valued at their acquisition date fair values. Goodwill as of the acquisition date represents the excess of the purchase price over the fair values of the assets acquired and the liabilities assumed.</w:t>
      </w:r>
    </w:p>
    <w:p>
      <w:pPr>
        <w:spacing w:after="0" w:line="147"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The Company uses significant estimates and assumptions, including fair value estimates, to determine fair value of assets acquired and liabilities assumed and when applicable the related useful lives of the acquired assets, as of the business combination date. When those estimates are provisional, the Company refines them as necessary during the measurement period. The measurement period is the period after the acquisition date, not to exceed one year, in which the Company may gather new information about facts and circumstances that existed as of the acquisition date to adjust the provisional amounts recognized. Measurement period adjustments are applied retrospectively, if material. All other adjustments are recorded to the consolidated statements of operations.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77"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 xml:space="preserve">In February 2013, the FASB issued Accounting Standards Update (“ASU”) 2013-02, </w:t>
      </w:r>
      <w:r>
        <w:rPr>
          <w:rFonts w:ascii="Arial" w:cs="Arial" w:eastAsia="Arial" w:hAnsi="Arial"/>
          <w:sz w:val="18"/>
          <w:szCs w:val="18"/>
          <w:i w:val="1"/>
          <w:iCs w:val="1"/>
          <w:color w:val="auto"/>
        </w:rPr>
        <w:t>Reporting of Amounts of Reclassified Out of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(“ASU 2013-02”), which amends</w:t>
      </w:r>
      <w:r>
        <w:rPr>
          <w:rFonts w:ascii="Arial" w:cs="Arial" w:eastAsia="Arial" w:hAnsi="Arial"/>
          <w:sz w:val="18"/>
          <w:szCs w:val="18"/>
          <w:i w:val="1"/>
          <w:iCs w:val="1"/>
          <w:color w:val="auto"/>
        </w:rPr>
        <w:t xml:space="preserve"> Comprehensive Income (Topic 220) </w:t>
      </w:r>
      <w:r>
        <w:rPr>
          <w:rFonts w:ascii="Arial" w:cs="Arial" w:eastAsia="Arial" w:hAnsi="Arial"/>
          <w:sz w:val="18"/>
          <w:szCs w:val="18"/>
          <w:color w:val="auto"/>
        </w:rPr>
        <w:t>in the ASC. These amendments require an entity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the amounts reclassified out of accumulated other comprehensive income by component. In addition, an entity is required to present significant amounts reclassified out of accumulated other comprehensive income by the respective line items of net income. The amendments in ASU 2013-02 will be effective for fiscal periods beginning after December 15, 2012. The adoption of ASU 2013-02 is not expected to have a material impact on the Company’s financial position or results of operations.</w:t>
      </w:r>
    </w:p>
    <w:p>
      <w:pPr>
        <w:spacing w:after="0" w:line="19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 xml:space="preserve">In October 2012, the FASB issued ASU 2012-04, </w:t>
      </w:r>
      <w:r>
        <w:rPr>
          <w:rFonts w:ascii="Arial" w:cs="Arial" w:eastAsia="Arial" w:hAnsi="Arial"/>
          <w:sz w:val="18"/>
          <w:szCs w:val="18"/>
          <w:i w:val="1"/>
          <w:iCs w:val="1"/>
          <w:color w:val="auto"/>
        </w:rPr>
        <w:t>Technical Corrections and Improvements</w:t>
      </w:r>
      <w:r>
        <w:rPr>
          <w:rFonts w:ascii="Arial" w:cs="Arial" w:eastAsia="Arial" w:hAnsi="Arial"/>
          <w:sz w:val="18"/>
          <w:szCs w:val="18"/>
          <w:color w:val="auto"/>
        </w:rPr>
        <w:t xml:space="preserve"> (“ASU 2012-04”), which amends a wide range of topics in the ASC. These amendments include technical corrections and improvements to the ASC and conforming amendments related to fair value measurements. The amendments in ASU 2012-04 will be effective for fiscal periods beginning after December 15, 2012. The adoption of ASU 2012-04 is not expected to have a material impact on the Company’s financial position or results of operations.</w:t>
      </w:r>
    </w:p>
    <w:p>
      <w:pPr>
        <w:spacing w:after="0" w:line="187"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 xml:space="preserve">In July 2012, the FASB issued ASU 2012-02, </w:t>
      </w:r>
      <w:r>
        <w:rPr>
          <w:rFonts w:ascii="Arial" w:cs="Arial" w:eastAsia="Arial" w:hAnsi="Arial"/>
          <w:sz w:val="16"/>
          <w:szCs w:val="16"/>
          <w:i w:val="1"/>
          <w:iCs w:val="1"/>
          <w:color w:val="auto"/>
        </w:rPr>
        <w:t>Intangibles - Goodwill and Other (Topic 350): Testing Indefinite-Lived Intangible Assets for Impairment</w:t>
      </w:r>
      <w:r>
        <w:rPr>
          <w:rFonts w:ascii="Arial" w:cs="Arial" w:eastAsia="Arial" w:hAnsi="Arial"/>
          <w:sz w:val="16"/>
          <w:szCs w:val="16"/>
          <w:color w:val="auto"/>
        </w:rPr>
        <w:t xml:space="preserve"> (“ASU 2012-02”), which amends ASU 2011-08, </w:t>
      </w:r>
      <w:r>
        <w:rPr>
          <w:rFonts w:ascii="Arial" w:cs="Arial" w:eastAsia="Arial" w:hAnsi="Arial"/>
          <w:sz w:val="16"/>
          <w:szCs w:val="16"/>
          <w:i w:val="1"/>
          <w:iCs w:val="1"/>
          <w:color w:val="auto"/>
        </w:rPr>
        <w:t>Intangibles - Goodwill and Other (Topic 350): Testing Indefinite-Lived Intangible Assets for Impairment</w:t>
      </w:r>
      <w:r>
        <w:rPr>
          <w:rFonts w:ascii="Arial" w:cs="Arial" w:eastAsia="Arial" w:hAnsi="Arial"/>
          <w:sz w:val="16"/>
          <w:szCs w:val="16"/>
          <w:color w:val="auto"/>
        </w:rPr>
        <w:t xml:space="preserve"> and permits an entity to first assess qualitative factors to determine whether it is more likely than not that an indefinite-lived intangible asset is impaired as a basis for determining whether it is necessary to perform the quantitative impairment test in accordance with Subtopic 350-30, </w:t>
      </w:r>
      <w:r>
        <w:rPr>
          <w:rFonts w:ascii="Arial" w:cs="Arial" w:eastAsia="Arial" w:hAnsi="Arial"/>
          <w:sz w:val="16"/>
          <w:szCs w:val="16"/>
          <w:i w:val="1"/>
          <w:iCs w:val="1"/>
          <w:color w:val="auto"/>
        </w:rPr>
        <w:t>Intangibles - Goodwill and Other -</w:t>
      </w:r>
      <w:r>
        <w:rPr>
          <w:rFonts w:ascii="Arial" w:cs="Arial" w:eastAsia="Arial" w:hAnsi="Arial"/>
          <w:sz w:val="16"/>
          <w:szCs w:val="16"/>
          <w:color w:val="auto"/>
        </w:rPr>
        <w:t xml:space="preserve"> </w:t>
      </w:r>
      <w:r>
        <w:rPr>
          <w:rFonts w:ascii="Arial" w:cs="Arial" w:eastAsia="Arial" w:hAnsi="Arial"/>
          <w:sz w:val="16"/>
          <w:szCs w:val="16"/>
          <w:i w:val="1"/>
          <w:iCs w:val="1"/>
          <w:color w:val="auto"/>
        </w:rPr>
        <w:t>General Intangibles Other than Goodwill</w:t>
      </w:r>
      <w:r>
        <w:rPr>
          <w:rFonts w:ascii="Arial" w:cs="Arial" w:eastAsia="Arial" w:hAnsi="Arial"/>
          <w:sz w:val="16"/>
          <w:szCs w:val="16"/>
          <w:color w:val="auto"/>
        </w:rPr>
        <w:t>. The amendments are effective for annual and interim impairment tests performed for fiscal years beginning after</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15, 2012. Early adoption is permitted, including for annual and interim impairment tests performed as of a date before July 27, 2012, if a public entity’s financial statements for the most recent annual or interim period have not yet been issued or, for nonpublic entities, have not yet been made available for issuance. The adoption of ASU 2012-02 is not expected to have a material impact on the Company’s financial position or results of operations.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7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 xml:space="preserve">In August 2012, the FASB issued ASU 2012-03, </w:t>
      </w:r>
      <w:r>
        <w:rPr>
          <w:rFonts w:ascii="Arial" w:cs="Arial" w:eastAsia="Arial" w:hAnsi="Arial"/>
          <w:sz w:val="18"/>
          <w:szCs w:val="18"/>
          <w:i w:val="1"/>
          <w:iCs w:val="1"/>
          <w:color w:val="auto"/>
        </w:rPr>
        <w:t>Technical Amendments and Corrections to SEC Sections: Amendments to SEC Paragraphs Pursuant</w:t>
      </w:r>
      <w:r>
        <w:rPr>
          <w:rFonts w:ascii="Arial" w:cs="Arial" w:eastAsia="Arial" w:hAnsi="Arial"/>
          <w:sz w:val="18"/>
          <w:szCs w:val="18"/>
          <w:color w:val="auto"/>
        </w:rPr>
        <w:t xml:space="preserve"> </w:t>
      </w:r>
      <w:r>
        <w:rPr>
          <w:rFonts w:ascii="Arial" w:cs="Arial" w:eastAsia="Arial" w:hAnsi="Arial"/>
          <w:sz w:val="18"/>
          <w:szCs w:val="18"/>
          <w:i w:val="1"/>
          <w:iCs w:val="1"/>
          <w:color w:val="auto"/>
        </w:rPr>
        <w:t>to SEC Staff Accounting Bulletin No. 114 (“SAB 114”), Technical Amendments Pursuant to SEC Release No.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i w:val="1"/>
          <w:iCs w:val="1"/>
          <w:color w:val="auto"/>
        </w:rPr>
        <w:t>33-9250, and Corrections Related to FASB Accounting Standards Update 2010-22</w:t>
      </w:r>
      <w:r>
        <w:rPr>
          <w:rFonts w:ascii="Arial" w:cs="Arial" w:eastAsia="Arial" w:hAnsi="Arial"/>
          <w:sz w:val="18"/>
          <w:szCs w:val="18"/>
          <w:color w:val="auto"/>
        </w:rPr>
        <w:t>, which amends various SEC paragraphs pursuant to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SAB114. This ASU became effective upon issuance, and the adoption of this ASU had no impact on the Company’s financial position or results of operations.</w:t>
      </w:r>
    </w:p>
    <w:p>
      <w:pPr>
        <w:spacing w:after="0" w:line="18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 xml:space="preserve">In June 2011, the FASB issued ASU 2011-05, </w:t>
      </w:r>
      <w:r>
        <w:rPr>
          <w:rFonts w:ascii="Arial" w:cs="Arial" w:eastAsia="Arial" w:hAnsi="Arial"/>
          <w:sz w:val="18"/>
          <w:szCs w:val="18"/>
          <w:i w:val="1"/>
          <w:iCs w:val="1"/>
          <w:color w:val="auto"/>
        </w:rPr>
        <w:t>Presentation of Comprehensive Income</w:t>
      </w:r>
      <w:r>
        <w:rPr>
          <w:rFonts w:ascii="Arial" w:cs="Arial" w:eastAsia="Arial" w:hAnsi="Arial"/>
          <w:sz w:val="18"/>
          <w:szCs w:val="18"/>
          <w:color w:val="auto"/>
        </w:rPr>
        <w:t xml:space="preserve"> (“ASU 2011-05”), which requires companies to present the components of net income and other comprehensive income either in a single continuous statement or in two separate but consecutive statements. ASU 2011-05 eliminates the option to present components of other comprehensive income as part of the statement of changes in stockholders’ equity. ASU 2011-05 does not change the items which must be reported in other comprehensive income, how such items are measured or when they must be reclassified to net income. Additionally, ASU 2011-05 does not affect the calculation or reporting of earnings per share. On January 1, 2012, the Company adopted this ASU and elected the two-statement presentation option. Other than the change in presentation, the adoption of this ASU had no impact on the Company’s financial position or results of operations.</w:t>
      </w:r>
    </w:p>
    <w:p>
      <w:pPr>
        <w:spacing w:after="0" w:line="185"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Available to Common Stockholders</w:t>
      </w:r>
    </w:p>
    <w:p>
      <w:pPr>
        <w:spacing w:after="0" w:line="81" w:lineRule="exact"/>
        <w:rPr>
          <w:sz w:val="20"/>
          <w:szCs w:val="20"/>
          <w:color w:val="auto"/>
        </w:rPr>
      </w:pPr>
    </w:p>
    <w:p>
      <w:pPr>
        <w:ind w:right="60" w:firstLine="446"/>
        <w:spacing w:after="0" w:line="276" w:lineRule="auto"/>
        <w:rPr>
          <w:sz w:val="20"/>
          <w:szCs w:val="20"/>
          <w:color w:val="auto"/>
        </w:rPr>
      </w:pPr>
      <w:r>
        <w:rPr>
          <w:rFonts w:ascii="Arial" w:cs="Arial" w:eastAsia="Arial" w:hAnsi="Arial"/>
          <w:sz w:val="17"/>
          <w:szCs w:val="17"/>
          <w:color w:val="auto"/>
        </w:rPr>
        <w:t>Basic and diluted net income per share available to common stockholders are presented in conformity with the two-class method required for participating securities. Upon the Company’s initial public offering in May 2011, all shares of the Company’s redeemable convertible preferred stock were converted to common stock. Prior to the initial public offering, holders of shares of Series A, Series A-1, Series B and Series C redeemable convertible preferred stock were each entitled to receive 8% per annum non-cumulative dividends, payable prior and in preference to any dividends on common stock. In addition, the holders of restricted common stock are entitled to receive non-forfeitable dividends if declared.</w:t>
      </w:r>
    </w:p>
    <w:p>
      <w:pPr>
        <w:spacing w:after="0" w:line="173" w:lineRule="exact"/>
        <w:rPr>
          <w:sz w:val="20"/>
          <w:szCs w:val="20"/>
          <w:color w:val="auto"/>
        </w:rPr>
      </w:pPr>
    </w:p>
    <w:p>
      <w:pPr>
        <w:ind w:right="180" w:firstLine="446"/>
        <w:spacing w:after="0" w:line="272" w:lineRule="auto"/>
        <w:rPr>
          <w:sz w:val="20"/>
          <w:szCs w:val="20"/>
          <w:color w:val="auto"/>
        </w:rPr>
      </w:pPr>
      <w:r>
        <w:rPr>
          <w:rFonts w:ascii="Arial" w:cs="Arial" w:eastAsia="Arial" w:hAnsi="Arial"/>
          <w:sz w:val="17"/>
          <w:szCs w:val="17"/>
          <w:color w:val="auto"/>
        </w:rPr>
        <w:t>Under the two-class method, basic net income per share available to common stockholders is computed by dividing the net income available to common stockholders by the weighted-average number of shares of common stock outstanding during the period. Net income available to common stockholders is determined by allocating undistributed earnings, calculated as net income less current period shares of Series A, Series A-1, Series B and Series C redeemable convertible preferred stock non-cumulative dividends, among common stockholders, restricted stockholders and Series A, Series A-1, Series B and Series C redeemable convertible preferred stockholders. Diluted net income per share available to common stockholders is computed by using the weighted-average number of shares of common stock outstanding, including potential dilutive shares of common stock, assuming the dilutive effect of outstanding stock options and restricted stock units using the treasury stock method.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basic and diluted net income per share available to common stockholders: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jc w:val="center"/>
              <w:ind w:left="511"/>
              <w:spacing w:after="0"/>
              <w:rPr>
                <w:sz w:val="20"/>
                <w:szCs w:val="20"/>
                <w:color w:val="auto"/>
              </w:rPr>
            </w:pPr>
            <w:r>
              <w:rPr>
                <w:rFonts w:ascii="Arial" w:cs="Arial" w:eastAsia="Arial" w:hAnsi="Arial"/>
                <w:sz w:val="16"/>
                <w:szCs w:val="16"/>
                <w:b w:val="1"/>
                <w:bCs w:val="1"/>
                <w:color w:val="auto"/>
                <w:w w:val="91"/>
              </w:rPr>
              <w:t>Year Ended December 31,</w:t>
            </w:r>
          </w:p>
        </w:tc>
        <w:tc>
          <w:tcPr>
            <w:tcW w:w="8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71"/>
              <w:spacing w:after="0"/>
              <w:rPr>
                <w:sz w:val="20"/>
                <w:szCs w:val="20"/>
                <w:color w:val="auto"/>
              </w:rPr>
            </w:pPr>
            <w:r>
              <w:rPr>
                <w:rFonts w:ascii="Arial" w:cs="Arial" w:eastAsia="Arial" w:hAnsi="Arial"/>
                <w:sz w:val="16"/>
                <w:szCs w:val="16"/>
                <w:b w:val="1"/>
                <w:bCs w:val="1"/>
                <w:color w:val="auto"/>
                <w:w w:val="84"/>
              </w:rPr>
              <w:t>2011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1"/>
              <w:spacing w:after="0"/>
              <w:rPr>
                <w:sz w:val="20"/>
                <w:szCs w:val="20"/>
                <w:color w:val="auto"/>
              </w:rPr>
            </w:pPr>
            <w:r>
              <w:rPr>
                <w:rFonts w:ascii="Arial" w:cs="Arial" w:eastAsia="Arial" w:hAnsi="Arial"/>
                <w:sz w:val="16"/>
                <w:szCs w:val="16"/>
                <w:b w:val="1"/>
                <w:bCs w:val="1"/>
                <w:color w:val="auto"/>
              </w:rPr>
              <w:t>2010</w:t>
            </w: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7"/>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80" w:type="dxa"/>
            <w:vAlign w:val="bottom"/>
            <w:gridSpan w:val="7"/>
          </w:tcPr>
          <w:p>
            <w:pPr>
              <w:jc w:val="center"/>
              <w:ind w:right="151"/>
              <w:spacing w:after="0"/>
              <w:rPr>
                <w:sz w:val="20"/>
                <w:szCs w:val="20"/>
                <w:color w:val="auto"/>
              </w:rPr>
            </w:pPr>
            <w:r>
              <w:rPr>
                <w:rFonts w:ascii="Arial" w:cs="Arial" w:eastAsia="Arial" w:hAnsi="Arial"/>
                <w:sz w:val="18"/>
                <w:szCs w:val="18"/>
                <w:color w:val="auto"/>
                <w:w w:val="87"/>
              </w:rPr>
              <w:t>(in thousands, except per share data)</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38,957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29,132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13,871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Allocation of net income to participating stockholders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(12,479)</w:t>
            </w:r>
          </w:p>
        </w:tc>
      </w:tr>
      <w:tr>
        <w:trPr>
          <w:trHeight w:val="297"/>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available to common stockholders – basic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38,455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19,697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1,392</w:t>
            </w:r>
          </w:p>
        </w:tc>
      </w:tr>
      <w:tr>
        <w:trPr>
          <w:trHeight w:val="23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Net income available to common stockholders –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38,455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19,697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1,392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Undistributed earnings re-allocated to common stockholders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r>
      <w:tr>
        <w:trPr>
          <w:trHeight w:val="297"/>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available to common stockholders – diluted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38,474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20,310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1,671</w:t>
            </w:r>
          </w:p>
        </w:tc>
      </w:tr>
      <w:tr>
        <w:trPr>
          <w:trHeight w:val="122"/>
        </w:trPr>
        <w:tc>
          <w:tcPr>
            <w:tcW w:w="7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shares: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304"/>
        </w:trPr>
        <w:tc>
          <w:tcPr>
            <w:tcW w:w="77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w w:val="95"/>
              </w:rPr>
              <w:t>Weighted-average shares used in computing basic net income available to common stockholders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49,766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32,032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5,747</w:t>
            </w:r>
          </w:p>
        </w:tc>
      </w:tr>
      <w:tr>
        <w:trPr>
          <w:trHeight w:val="23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shares: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w w:val="95"/>
              </w:rPr>
              <w:t>Weighted-average shares used in computing basic net income available to common stockholders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49,766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32,032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5,747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stock options using treasury-stock method</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1,417</w:t>
            </w:r>
          </w:p>
        </w:tc>
      </w:tr>
      <w:tr>
        <w:trPr>
          <w:trHeight w:val="297"/>
        </w:trPr>
        <w:tc>
          <w:tcPr>
            <w:tcW w:w="77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w w:val="94"/>
              </w:rPr>
              <w:t>Weighted-average shares used in computing diluted net income available to common stockholders</w:t>
            </w: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51,802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35,920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7,164</w:t>
            </w:r>
          </w:p>
        </w:tc>
      </w:tr>
      <w:tr>
        <w:trPr>
          <w:trHeight w:val="122"/>
        </w:trPr>
        <w:tc>
          <w:tcPr>
            <w:tcW w:w="7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51"/>
        </w:trPr>
        <w:tc>
          <w:tcPr>
            <w:tcW w:w="77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0.23</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For the years ended December 31, 2012, 2011 and 2010 the following securities were not included in the calculation of diluted shares outstanding, as the effect would have been anti-dilutive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20" w:type="dxa"/>
            <w:vAlign w:val="bottom"/>
            <w:gridSpan w:val="5"/>
          </w:tcPr>
          <w:p>
            <w:pPr>
              <w:ind w:left="940"/>
              <w:spacing w:after="0"/>
              <w:rPr>
                <w:sz w:val="20"/>
                <w:szCs w:val="20"/>
                <w:color w:val="auto"/>
              </w:rPr>
            </w:pPr>
            <w:r>
              <w:rPr>
                <w:rFonts w:ascii="Arial" w:cs="Arial" w:eastAsia="Arial" w:hAnsi="Arial"/>
                <w:sz w:val="16"/>
                <w:szCs w:val="16"/>
                <w:b w:val="1"/>
                <w:bCs w:val="1"/>
                <w:color w:val="auto"/>
                <w:w w:val="94"/>
              </w:rPr>
              <w:t>Year Ended December 31,</w:t>
            </w:r>
          </w:p>
        </w:tc>
        <w:tc>
          <w:tcPr>
            <w:tcW w:w="820" w:type="dxa"/>
            <w:vAlign w:val="bottom"/>
          </w:tcPr>
          <w:p>
            <w:pPr>
              <w:spacing w:after="0"/>
              <w:rPr>
                <w:sz w:val="18"/>
                <w:szCs w:val="18"/>
                <w:color w:val="auto"/>
              </w:rPr>
            </w:pPr>
          </w:p>
        </w:tc>
      </w:tr>
      <w:tr>
        <w:trPr>
          <w:trHeight w:val="33"/>
        </w:trPr>
        <w:tc>
          <w:tcPr>
            <w:tcW w:w="46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4660" w:type="dxa"/>
            <w:vAlign w:val="bottom"/>
          </w:tcPr>
          <w:p>
            <w:pPr>
              <w:spacing w:after="0"/>
              <w:rPr>
                <w:sz w:val="20"/>
                <w:szCs w:val="20"/>
                <w:color w:val="auto"/>
              </w:rPr>
            </w:pPr>
          </w:p>
        </w:tc>
        <w:tc>
          <w:tcPr>
            <w:tcW w:w="4280" w:type="dxa"/>
            <w:vAlign w:val="bottom"/>
            <w:gridSpan w:val="2"/>
          </w:tcPr>
          <w:p>
            <w:pPr>
              <w:jc w:val="right"/>
              <w:ind w:right="334"/>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1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2010</w:t>
            </w:r>
          </w:p>
        </w:tc>
      </w:tr>
      <w:tr>
        <w:trPr>
          <w:trHeight w:val="33"/>
        </w:trPr>
        <w:tc>
          <w:tcPr>
            <w:tcW w:w="46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w:t>
            </w:r>
          </w:p>
        </w:tc>
        <w:tc>
          <w:tcPr>
            <w:tcW w:w="3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Shares of redeemable convertible preferred stock</w:t>
            </w:r>
          </w:p>
        </w:tc>
        <w:tc>
          <w:tcPr>
            <w:tcW w:w="3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9,270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25,810</w:t>
            </w:r>
          </w:p>
        </w:tc>
      </w:tr>
      <w:tr>
        <w:trPr>
          <w:trHeight w:val="27"/>
        </w:trPr>
        <w:tc>
          <w:tcPr>
            <w:tcW w:w="46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of common stock subject to repurchase</w:t>
            </w:r>
          </w:p>
        </w:tc>
        <w:tc>
          <w:tcPr>
            <w:tcW w:w="428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5,529</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Stock options outstanding</w:t>
            </w:r>
          </w:p>
        </w:tc>
        <w:tc>
          <w:tcPr>
            <w:tcW w:w="4280" w:type="dxa"/>
            <w:vAlign w:val="bottom"/>
            <w:gridSpan w:val="2"/>
          </w:tcPr>
          <w:p>
            <w:pPr>
              <w:jc w:val="right"/>
              <w:ind w:right="34"/>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units outstanding</w:t>
            </w:r>
          </w:p>
        </w:tc>
        <w:tc>
          <w:tcPr>
            <w:tcW w:w="428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459"/>
        </w:trPr>
        <w:tc>
          <w:tcPr>
            <w:tcW w:w="4660" w:type="dxa"/>
            <w:vAlign w:val="bottom"/>
          </w:tcPr>
          <w:p>
            <w:pPr>
              <w:spacing w:after="0"/>
              <w:rPr>
                <w:sz w:val="24"/>
                <w:szCs w:val="24"/>
                <w:color w:val="auto"/>
              </w:rPr>
            </w:pPr>
          </w:p>
        </w:tc>
        <w:tc>
          <w:tcPr>
            <w:tcW w:w="3120" w:type="dxa"/>
            <w:vAlign w:val="bottom"/>
          </w:tcPr>
          <w:p>
            <w:pPr>
              <w:jc w:val="right"/>
              <w:ind w:right="1892"/>
              <w:spacing w:after="0"/>
              <w:rPr>
                <w:sz w:val="20"/>
                <w:szCs w:val="20"/>
                <w:color w:val="auto"/>
              </w:rPr>
            </w:pPr>
            <w:r>
              <w:rPr>
                <w:rFonts w:ascii="Arial" w:cs="Arial" w:eastAsia="Arial" w:hAnsi="Arial"/>
                <w:sz w:val="18"/>
                <w:szCs w:val="18"/>
                <w:color w:val="auto"/>
              </w:rPr>
              <w:t>49</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present the financial assets measured at fair value on a recurring basis as of December 31, 2012 and 2011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 2012</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Level 1</w:t>
            </w:r>
          </w:p>
        </w:tc>
        <w:tc>
          <w:tcPr>
            <w:tcW w:w="220" w:type="dxa"/>
            <w:vAlign w:val="bottom"/>
          </w:tcPr>
          <w:p>
            <w:pPr>
              <w:spacing w:after="0"/>
              <w:rPr>
                <w:sz w:val="20"/>
                <w:szCs w:val="20"/>
                <w:color w:val="auto"/>
              </w:rPr>
            </w:pPr>
          </w:p>
        </w:tc>
        <w:tc>
          <w:tcPr>
            <w:tcW w:w="920" w:type="dxa"/>
            <w:vAlign w:val="bottom"/>
          </w:tcPr>
          <w:p>
            <w:pPr>
              <w:jc w:val="right"/>
              <w:ind w:right="231"/>
              <w:spacing w:after="0"/>
              <w:rPr>
                <w:sz w:val="20"/>
                <w:szCs w:val="20"/>
                <w:color w:val="auto"/>
              </w:rPr>
            </w:pPr>
            <w:r>
              <w:rPr>
                <w:rFonts w:ascii="Arial" w:cs="Arial" w:eastAsia="Arial" w:hAnsi="Arial"/>
                <w:sz w:val="16"/>
                <w:szCs w:val="16"/>
                <w:b w:val="1"/>
                <w:bCs w:val="1"/>
                <w:color w:val="auto"/>
              </w:rPr>
              <w:t>Level 2</w:t>
            </w:r>
          </w:p>
        </w:tc>
      </w:tr>
      <w:tr>
        <w:trPr>
          <w:trHeight w:val="33"/>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14,670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14,670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19,800</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3,992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3,992</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and agency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r>
      <w:tr>
        <w:trPr>
          <w:trHeight w:val="237"/>
        </w:trPr>
        <w:tc>
          <w:tcPr>
            <w:tcW w:w="77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47,462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14,670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32,792</w:t>
            </w:r>
          </w:p>
        </w:tc>
      </w:tr>
      <w:tr>
        <w:trPr>
          <w:trHeight w:val="67"/>
        </w:trPr>
        <w:tc>
          <w:tcPr>
            <w:tcW w:w="77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305"/>
        </w:trPr>
        <w:tc>
          <w:tcPr>
            <w:tcW w:w="7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13,697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13,697</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105,515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105,515</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6,880</w:t>
            </w:r>
          </w:p>
        </w:tc>
      </w:tr>
      <w:tr>
        <w:trPr>
          <w:trHeight w:val="237"/>
        </w:trPr>
        <w:tc>
          <w:tcPr>
            <w:tcW w:w="77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126,092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126,092</w:t>
            </w:r>
          </w:p>
        </w:tc>
      </w:tr>
      <w:tr>
        <w:trPr>
          <w:trHeight w:val="27"/>
        </w:trPr>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69"/>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 2011</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
        </w:trPr>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Level 1</w:t>
            </w:r>
          </w:p>
        </w:tc>
        <w:tc>
          <w:tcPr>
            <w:tcW w:w="220" w:type="dxa"/>
            <w:vAlign w:val="bottom"/>
          </w:tcPr>
          <w:p>
            <w:pPr>
              <w:spacing w:after="0"/>
              <w:rPr>
                <w:sz w:val="20"/>
                <w:szCs w:val="20"/>
                <w:color w:val="auto"/>
              </w:rPr>
            </w:pPr>
          </w:p>
        </w:tc>
        <w:tc>
          <w:tcPr>
            <w:tcW w:w="920" w:type="dxa"/>
            <w:vAlign w:val="bottom"/>
          </w:tcPr>
          <w:p>
            <w:pPr>
              <w:jc w:val="right"/>
              <w:ind w:right="231"/>
              <w:spacing w:after="0"/>
              <w:rPr>
                <w:sz w:val="20"/>
                <w:szCs w:val="20"/>
                <w:color w:val="auto"/>
              </w:rPr>
            </w:pPr>
            <w:r>
              <w:rPr>
                <w:rFonts w:ascii="Arial" w:cs="Arial" w:eastAsia="Arial" w:hAnsi="Arial"/>
                <w:sz w:val="16"/>
                <w:szCs w:val="16"/>
                <w:b w:val="1"/>
                <w:bCs w:val="1"/>
                <w:color w:val="auto"/>
              </w:rPr>
              <w:t>Level 2</w:t>
            </w:r>
          </w:p>
        </w:tc>
      </w:tr>
      <w:tr>
        <w:trPr>
          <w:trHeight w:val="33"/>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21,504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21,504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8,385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8,385</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2,045</w:t>
            </w:r>
          </w:p>
        </w:tc>
      </w:tr>
      <w:tr>
        <w:trPr>
          <w:trHeight w:val="237"/>
        </w:trPr>
        <w:tc>
          <w:tcPr>
            <w:tcW w:w="77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56,339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21,504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34,835</w:t>
            </w:r>
          </w:p>
        </w:tc>
      </w:tr>
      <w:tr>
        <w:trPr>
          <w:trHeight w:val="67"/>
        </w:trPr>
        <w:tc>
          <w:tcPr>
            <w:tcW w:w="77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305"/>
        </w:trPr>
        <w:tc>
          <w:tcPr>
            <w:tcW w:w="7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4,850</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65,675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65,675</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6,828</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U.S. government and agency securities</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49,623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49,623</w:t>
            </w:r>
          </w:p>
        </w:tc>
      </w:tr>
      <w:tr>
        <w:trPr>
          <w:trHeight w:val="27"/>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126,976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126,976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and 2011, the Company did not use level 3 inputs to measure financial assets or liabilities at fair value.</w:t>
      </w:r>
    </w:p>
    <w:p>
      <w:pPr>
        <w:spacing w:after="0" w:line="221"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81"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The following table summarizes the Company’s investments in available-for-sale securities as of December 31, 2012 and 2011 (in thousands):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2012</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center"/>
              <w:ind w:left="493"/>
              <w:spacing w:after="0"/>
              <w:rPr>
                <w:sz w:val="20"/>
                <w:szCs w:val="20"/>
                <w:color w:val="auto"/>
              </w:rPr>
            </w:pPr>
            <w:r>
              <w:rPr>
                <w:rFonts w:ascii="Arial" w:cs="Arial" w:eastAsia="Arial" w:hAnsi="Arial"/>
                <w:sz w:val="16"/>
                <w:szCs w:val="16"/>
                <w:b w:val="1"/>
                <w:bCs w:val="1"/>
                <w:color w:val="auto"/>
                <w:w w:val="93"/>
              </w:rPr>
              <w:t>Unrealized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6"/>
              </w:rPr>
              <w:t>Estimated Fair</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Amortized Cost</w:t>
            </w:r>
          </w:p>
        </w:tc>
        <w:tc>
          <w:tcPr>
            <w:tcW w:w="2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Gains</w:t>
            </w:r>
          </w:p>
        </w:tc>
        <w:tc>
          <w:tcPr>
            <w:tcW w:w="3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Losses</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13,697</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105,536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105,515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6,880</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126,113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126,092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December 31, 2011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center"/>
              <w:ind w:left="493"/>
              <w:spacing w:after="0"/>
              <w:rPr>
                <w:sz w:val="20"/>
                <w:szCs w:val="20"/>
                <w:color w:val="auto"/>
              </w:rPr>
            </w:pPr>
            <w:r>
              <w:rPr>
                <w:rFonts w:ascii="Arial" w:cs="Arial" w:eastAsia="Arial" w:hAnsi="Arial"/>
                <w:sz w:val="16"/>
                <w:szCs w:val="16"/>
                <w:b w:val="1"/>
                <w:bCs w:val="1"/>
                <w:color w:val="auto"/>
                <w:w w:val="93"/>
              </w:rPr>
              <w:t>Unrealized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6"/>
              </w:rPr>
              <w:t>Estimated Fair</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Amortized Cost</w:t>
            </w:r>
          </w:p>
        </w:tc>
        <w:tc>
          <w:tcPr>
            <w:tcW w:w="2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Gains</w:t>
            </w:r>
          </w:p>
        </w:tc>
        <w:tc>
          <w:tcPr>
            <w:tcW w:w="3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Losses</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29,255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74,060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8,887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49,623</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183,336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183,315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within accumulated other comprehensive income (loss). Realized gains and losses on available-for-sale securities are included in other income (expense), net in the Company’s consolidated statements of operations.</w:t>
      </w:r>
    </w:p>
    <w:p>
      <w:pPr>
        <w:spacing w:after="0" w:line="181"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The weighted-average remaining maturity of the Company’s investment portfolio was less than one year as of December 31, 2012 and 2011. As of December 31, 2012, no individual securities incurred continuous unrealized losses for greater than 12 months.</w:t>
      </w:r>
    </w:p>
    <w:p>
      <w:pPr>
        <w:spacing w:after="0" w:line="166"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Other Receivables</w:t>
      </w:r>
    </w:p>
    <w:p>
      <w:pPr>
        <w:spacing w:after="0" w:line="94" w:lineRule="exact"/>
        <w:rPr>
          <w:sz w:val="20"/>
          <w:szCs w:val="20"/>
          <w:color w:val="auto"/>
        </w:rPr>
      </w:pPr>
    </w:p>
    <w:p>
      <w:pPr>
        <w:jc w:val="both"/>
        <w:ind w:right="120" w:firstLine="486"/>
        <w:spacing w:after="0" w:line="312" w:lineRule="auto"/>
        <w:rPr>
          <w:sz w:val="20"/>
          <w:szCs w:val="20"/>
          <w:color w:val="auto"/>
        </w:rPr>
      </w:pPr>
      <w:r>
        <w:rPr>
          <w:rFonts w:ascii="Arial" w:cs="Arial" w:eastAsia="Arial" w:hAnsi="Arial"/>
          <w:sz w:val="16"/>
          <w:szCs w:val="16"/>
          <w:color w:val="auto"/>
        </w:rPr>
        <w:t>In December 2012, the Company completed a syndicated patent acquisition and licensing transaction. The Company secured licenses under the patent portfolio, as well as dismissals from pending patent litigation for nine of the Company’s clients that participated in the transaction. As of December 31, 2012 there were $33.8 million of contributions outstanding and recorded as other receivables. The contributions were collected in full in January 2013.</w:t>
      </w:r>
    </w:p>
    <w:p>
      <w:pPr>
        <w:spacing w:after="0" w:line="8"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Patent assets,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Patent assets acquired</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74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Balance as of December</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in business</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center"/>
              <w:ind w:right="74"/>
              <w:spacing w:after="0"/>
              <w:rPr>
                <w:sz w:val="20"/>
                <w:szCs w:val="20"/>
                <w:color w:val="auto"/>
              </w:rPr>
            </w:pPr>
            <w:r>
              <w:rPr>
                <w:rFonts w:ascii="Arial" w:cs="Arial" w:eastAsia="Arial" w:hAnsi="Arial"/>
                <w:sz w:val="16"/>
                <w:szCs w:val="16"/>
                <w:b w:val="1"/>
                <w:bCs w:val="1"/>
                <w:color w:val="auto"/>
                <w:w w:val="87"/>
              </w:rPr>
              <w:t>Balance as of</w:t>
            </w:r>
          </w:p>
        </w:tc>
      </w:tr>
      <w:tr>
        <w:trPr>
          <w:trHeight w:val="210"/>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512"/>
              <w:spacing w:after="0"/>
              <w:rPr>
                <w:sz w:val="20"/>
                <w:szCs w:val="20"/>
                <w:color w:val="auto"/>
              </w:rPr>
            </w:pPr>
            <w:r>
              <w:rPr>
                <w:rFonts w:ascii="Arial" w:cs="Arial" w:eastAsia="Arial" w:hAnsi="Arial"/>
                <w:sz w:val="16"/>
                <w:szCs w:val="16"/>
                <w:b w:val="1"/>
                <w:bCs w:val="1"/>
                <w:color w:val="auto"/>
              </w:rPr>
              <w:t>31, 2011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433"/>
              <w:spacing w:after="0"/>
              <w:rPr>
                <w:sz w:val="20"/>
                <w:szCs w:val="20"/>
                <w:color w:val="auto"/>
              </w:rPr>
            </w:pPr>
            <w:r>
              <w:rPr>
                <w:rFonts w:ascii="Arial" w:cs="Arial" w:eastAsia="Arial" w:hAnsi="Arial"/>
                <w:sz w:val="16"/>
                <w:szCs w:val="16"/>
                <w:b w:val="1"/>
                <w:bCs w:val="1"/>
                <w:color w:val="auto"/>
              </w:rPr>
              <w:t>Additions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combination</w:t>
            </w:r>
          </w:p>
        </w:tc>
        <w:tc>
          <w:tcPr>
            <w:tcW w:w="3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4"/>
              </w:rPr>
              <w:t>Sale</w:t>
            </w:r>
          </w:p>
        </w:tc>
        <w:tc>
          <w:tcPr>
            <w:tcW w:w="160" w:type="dxa"/>
            <w:vAlign w:val="bottom"/>
          </w:tcPr>
          <w:p>
            <w:pPr>
              <w:spacing w:after="0"/>
              <w:rPr>
                <w:sz w:val="18"/>
                <w:szCs w:val="18"/>
                <w:color w:val="auto"/>
              </w:rPr>
            </w:pPr>
          </w:p>
        </w:tc>
        <w:tc>
          <w:tcPr>
            <w:tcW w:w="1540" w:type="dxa"/>
            <w:vAlign w:val="bottom"/>
          </w:tcPr>
          <w:p>
            <w:pPr>
              <w:jc w:val="center"/>
              <w:ind w:right="74"/>
              <w:spacing w:after="0"/>
              <w:rPr>
                <w:sz w:val="20"/>
                <w:szCs w:val="20"/>
                <w:color w:val="auto"/>
              </w:rPr>
            </w:pPr>
            <w:r>
              <w:rPr>
                <w:rFonts w:ascii="Arial" w:cs="Arial" w:eastAsia="Arial" w:hAnsi="Arial"/>
                <w:sz w:val="16"/>
                <w:szCs w:val="16"/>
                <w:b w:val="1"/>
                <w:bCs w:val="1"/>
                <w:color w:val="auto"/>
                <w:w w:val="90"/>
              </w:rPr>
              <w:t>December 31, 2012</w:t>
            </w:r>
          </w:p>
        </w:tc>
      </w:tr>
      <w:tr>
        <w:trPr>
          <w:trHeight w:val="33"/>
        </w:trPr>
        <w:tc>
          <w:tcPr>
            <w:tcW w:w="2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287,555</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88,520</w:t>
            </w:r>
          </w:p>
        </w:tc>
        <w:tc>
          <w:tcPr>
            <w:tcW w:w="36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403,875</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(124,203)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(80,385)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(204,561)</w:t>
            </w:r>
          </w:p>
        </w:tc>
      </w:tr>
      <w:tr>
        <w:trPr>
          <w:trHeight w:val="27"/>
        </w:trPr>
        <w:tc>
          <w:tcPr>
            <w:tcW w:w="2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163,352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199,314</w:t>
            </w:r>
          </w:p>
        </w:tc>
      </w:tr>
      <w:tr>
        <w:trPr>
          <w:trHeight w:val="20"/>
        </w:trPr>
        <w:tc>
          <w:tcPr>
            <w:tcW w:w="2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554"/>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Balance as of December</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center"/>
              <w:ind w:right="74"/>
              <w:spacing w:after="0"/>
              <w:rPr>
                <w:sz w:val="20"/>
                <w:szCs w:val="20"/>
                <w:color w:val="auto"/>
              </w:rPr>
            </w:pPr>
            <w:r>
              <w:rPr>
                <w:rFonts w:ascii="Arial" w:cs="Arial" w:eastAsia="Arial" w:hAnsi="Arial"/>
                <w:sz w:val="16"/>
                <w:szCs w:val="16"/>
                <w:b w:val="1"/>
                <w:bCs w:val="1"/>
                <w:color w:val="auto"/>
                <w:w w:val="87"/>
              </w:rPr>
              <w:t>Balance as of</w:t>
            </w:r>
          </w:p>
        </w:tc>
      </w:tr>
      <w:tr>
        <w:trPr>
          <w:trHeight w:val="210"/>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ind w:right="213"/>
              <w:spacing w:after="0"/>
              <w:rPr>
                <w:sz w:val="20"/>
                <w:szCs w:val="20"/>
                <w:color w:val="auto"/>
              </w:rPr>
            </w:pPr>
            <w:r>
              <w:rPr>
                <w:rFonts w:ascii="Arial" w:cs="Arial" w:eastAsia="Arial" w:hAnsi="Arial"/>
                <w:sz w:val="16"/>
                <w:szCs w:val="16"/>
                <w:b w:val="1"/>
                <w:bCs w:val="1"/>
                <w:color w:val="auto"/>
                <w:w w:val="93"/>
              </w:rPr>
              <w:t>31, 2010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Additions</w:t>
            </w:r>
          </w:p>
        </w:tc>
        <w:tc>
          <w:tcPr>
            <w:tcW w:w="160" w:type="dxa"/>
            <w:vAlign w:val="bottom"/>
          </w:tcPr>
          <w:p>
            <w:pPr>
              <w:spacing w:after="0"/>
              <w:rPr>
                <w:sz w:val="18"/>
                <w:szCs w:val="18"/>
                <w:color w:val="auto"/>
              </w:rPr>
            </w:pPr>
          </w:p>
        </w:tc>
        <w:tc>
          <w:tcPr>
            <w:tcW w:w="1540" w:type="dxa"/>
            <w:vAlign w:val="bottom"/>
          </w:tcPr>
          <w:p>
            <w:pPr>
              <w:jc w:val="center"/>
              <w:ind w:right="74"/>
              <w:spacing w:after="0"/>
              <w:rPr>
                <w:sz w:val="20"/>
                <w:szCs w:val="20"/>
                <w:color w:val="auto"/>
              </w:rPr>
            </w:pPr>
            <w:r>
              <w:rPr>
                <w:rFonts w:ascii="Arial" w:cs="Arial" w:eastAsia="Arial" w:hAnsi="Arial"/>
                <w:sz w:val="16"/>
                <w:szCs w:val="16"/>
                <w:b w:val="1"/>
                <w:bCs w:val="1"/>
                <w:color w:val="auto"/>
                <w:w w:val="90"/>
              </w:rPr>
              <w:t>December 31, 2011</w:t>
            </w:r>
          </w:p>
        </w:tc>
      </w:tr>
      <w:tr>
        <w:trPr>
          <w:trHeight w:val="33"/>
        </w:trPr>
        <w:tc>
          <w:tcPr>
            <w:tcW w:w="24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188,384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287,555</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(61,876)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(62,327)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(124,203)</w:t>
            </w:r>
          </w:p>
        </w:tc>
      </w:tr>
      <w:tr>
        <w:trPr>
          <w:trHeight w:val="27"/>
        </w:trPr>
        <w:tc>
          <w:tcPr>
            <w:tcW w:w="24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126,508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163,352</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The Company’s acquired patent assets relate to technologies used or supplied by companies in a variety of market sectors, including consumer electronics, e-commerce, financial services, media distribution, mobile communications, networking,</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semiconductors, and software. The Company amortizes each acquired portfolio of patent assets on a straight-line basis over its estimated economic useful life. As of December 31, 2012, the estimated economic useful lives of the Company’s patent assets generally ranged from 24 to 60 months. As of December 31, 2012, the weighted-average estimated economic useful life at the time of acquisition, excluding fully amortized patent assets, was 46 months.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expected future annual amortization expense of patent assets as of December 31, 2012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jc w:val="right"/>
              <w:ind w:right="9570"/>
              <w:spacing w:after="0"/>
              <w:rPr>
                <w:sz w:val="20"/>
                <w:szCs w:val="20"/>
                <w:color w:val="auto"/>
              </w:rPr>
            </w:pPr>
            <w:r>
              <w:rPr>
                <w:rFonts w:ascii="Arial" w:cs="Arial" w:eastAsia="Arial" w:hAnsi="Arial"/>
                <w:sz w:val="18"/>
                <w:szCs w:val="18"/>
                <w:color w:val="auto"/>
                <w:w w:val="94"/>
              </w:rPr>
              <w:t>2013</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79,336</w:t>
            </w:r>
          </w:p>
        </w:tc>
      </w:tr>
      <w:tr>
        <w:trPr>
          <w:trHeight w:val="243"/>
        </w:trPr>
        <w:tc>
          <w:tcPr>
            <w:tcW w:w="10060" w:type="dxa"/>
            <w:vAlign w:val="bottom"/>
          </w:tcPr>
          <w:p>
            <w:pPr>
              <w:jc w:val="right"/>
              <w:ind w:right="9570"/>
              <w:spacing w:after="0"/>
              <w:rPr>
                <w:sz w:val="20"/>
                <w:szCs w:val="20"/>
                <w:color w:val="auto"/>
              </w:rPr>
            </w:pPr>
            <w:r>
              <w:rPr>
                <w:rFonts w:ascii="Arial" w:cs="Arial" w:eastAsia="Arial" w:hAnsi="Arial"/>
                <w:sz w:val="18"/>
                <w:szCs w:val="18"/>
                <w:color w:val="auto"/>
                <w:w w:val="94"/>
              </w:rPr>
              <w:t>2014</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54,287</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jc w:val="right"/>
              <w:ind w:right="9570"/>
              <w:spacing w:after="0"/>
              <w:rPr>
                <w:sz w:val="20"/>
                <w:szCs w:val="20"/>
                <w:color w:val="auto"/>
              </w:rPr>
            </w:pPr>
            <w:r>
              <w:rPr>
                <w:rFonts w:ascii="Arial" w:cs="Arial" w:eastAsia="Arial" w:hAnsi="Arial"/>
                <w:sz w:val="18"/>
                <w:szCs w:val="18"/>
                <w:color w:val="auto"/>
                <w:w w:val="94"/>
              </w:rPr>
              <w:t>2015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40,019</w:t>
            </w:r>
          </w:p>
        </w:tc>
      </w:tr>
      <w:tr>
        <w:trPr>
          <w:trHeight w:val="243"/>
        </w:trPr>
        <w:tc>
          <w:tcPr>
            <w:tcW w:w="10060" w:type="dxa"/>
            <w:vAlign w:val="bottom"/>
          </w:tcPr>
          <w:p>
            <w:pPr>
              <w:jc w:val="right"/>
              <w:ind w:right="9570"/>
              <w:spacing w:after="0"/>
              <w:rPr>
                <w:sz w:val="20"/>
                <w:szCs w:val="20"/>
                <w:color w:val="auto"/>
              </w:rPr>
            </w:pPr>
            <w:r>
              <w:rPr>
                <w:rFonts w:ascii="Arial" w:cs="Arial" w:eastAsia="Arial" w:hAnsi="Arial"/>
                <w:sz w:val="18"/>
                <w:szCs w:val="18"/>
                <w:color w:val="auto"/>
                <w:w w:val="94"/>
              </w:rPr>
              <w:t>2016</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21,706</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jc w:val="right"/>
              <w:ind w:right="9570"/>
              <w:spacing w:after="0"/>
              <w:rPr>
                <w:sz w:val="20"/>
                <w:szCs w:val="20"/>
                <w:color w:val="auto"/>
              </w:rPr>
            </w:pPr>
            <w:r>
              <w:rPr>
                <w:rFonts w:ascii="Arial" w:cs="Arial" w:eastAsia="Arial" w:hAnsi="Arial"/>
                <w:sz w:val="18"/>
                <w:szCs w:val="18"/>
                <w:color w:val="auto"/>
                <w:w w:val="94"/>
              </w:rPr>
              <w:t>2017</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3,966</w:t>
            </w:r>
          </w:p>
        </w:tc>
      </w:tr>
      <w:tr>
        <w:trPr>
          <w:trHeight w:val="257"/>
        </w:trPr>
        <w:tc>
          <w:tcPr>
            <w:tcW w:w="10060" w:type="dxa"/>
            <w:vAlign w:val="bottom"/>
          </w:tcPr>
          <w:p>
            <w:pPr>
              <w:jc w:val="right"/>
              <w:ind w:right="6650"/>
              <w:spacing w:after="0"/>
              <w:rPr>
                <w:sz w:val="20"/>
                <w:szCs w:val="20"/>
                <w:color w:val="auto"/>
              </w:rPr>
            </w:pPr>
            <w:r>
              <w:rPr>
                <w:rFonts w:ascii="Arial" w:cs="Arial" w:eastAsia="Arial" w:hAnsi="Arial"/>
                <w:sz w:val="18"/>
                <w:szCs w:val="18"/>
                <w:color w:val="auto"/>
                <w:w w:val="94"/>
              </w:rPr>
              <w:t>Total estimated future amortization expense</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199,314</w:t>
            </w:r>
          </w:p>
        </w:tc>
      </w:tr>
      <w:tr>
        <w:trPr>
          <w:trHeight w:val="20"/>
        </w:trPr>
        <w:tc>
          <w:tcPr>
            <w:tcW w:w="10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Amortization expense was $80.4 million, $62.3 million and $42.9 million for the years ended December 31, 2012, 2011 and 2010, respectively.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Structured Acquisitions</w:t>
      </w:r>
    </w:p>
    <w:p>
      <w:pPr>
        <w:spacing w:after="0" w:line="7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Structured acquisitions are transactions involving patent assets that may cost more than the Company is prepared to spend with its own capital resources or that are relevant only to a very small number of clients. In such transactions, the Company may work to acquire these assets with financial assistance from the particular clients against whom they are being or may be asserted. Such clients either pay amounts separate from their subscription fee or, less frequently, lend the Company funds to be used in the transaction. As discussed in the revenue recognition policy in Note 2, the Company may treat the contributions from such clients as revenue on a gross or net basis depending on the specific facts and circumstances of the transaction. In the event that such contributions are recognized on a net basis, the Company will only capitalize the acquired asset that relates to its non-contributing clients. As a result, in such situations the cost basis of the acquired patent rights excludes the amounts paid by the contributing clients.</w:t>
      </w:r>
    </w:p>
    <w:p>
      <w:pPr>
        <w:spacing w:after="0" w:line="174"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91"/>
              <w:spacing w:after="0"/>
              <w:rPr>
                <w:sz w:val="20"/>
                <w:szCs w:val="20"/>
                <w:color w:val="auto"/>
              </w:rPr>
            </w:pPr>
            <w:r>
              <w:rPr>
                <w:rFonts w:ascii="Arial" w:cs="Arial" w:eastAsia="Arial" w:hAnsi="Arial"/>
                <w:sz w:val="16"/>
                <w:szCs w:val="16"/>
                <w:b w:val="1"/>
                <w:bCs w:val="1"/>
                <w:color w:val="auto"/>
                <w:w w:val="84"/>
              </w:rPr>
              <w:t>2011</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Internal-use software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1,221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Work-in-progress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property and equipment, gross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4,877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57"/>
        </w:trPr>
        <w:tc>
          <w:tcPr>
            <w:tcW w:w="8800" w:type="dxa"/>
            <w:vAlign w:val="bottom"/>
          </w:tcPr>
          <w:p>
            <w:pPr>
              <w:ind w:left="180"/>
              <w:spacing w:after="0"/>
              <w:rPr>
                <w:sz w:val="20"/>
                <w:szCs w:val="20"/>
                <w:color w:val="auto"/>
              </w:rPr>
            </w:pPr>
            <w:r>
              <w:rPr>
                <w:rFonts w:ascii="Arial" w:cs="Arial" w:eastAsia="Arial" w:hAnsi="Arial"/>
                <w:sz w:val="18"/>
                <w:szCs w:val="18"/>
                <w:color w:val="auto"/>
              </w:rPr>
              <w:t>Total property and equipment,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2,317</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446"/>
        <w:spacing w:after="0" w:line="264" w:lineRule="auto"/>
        <w:rPr>
          <w:sz w:val="20"/>
          <w:szCs w:val="20"/>
          <w:color w:val="auto"/>
        </w:rPr>
      </w:pPr>
      <w:r>
        <w:rPr>
          <w:rFonts w:ascii="Arial" w:cs="Arial" w:eastAsia="Arial" w:hAnsi="Arial"/>
          <w:sz w:val="18"/>
          <w:szCs w:val="18"/>
          <w:color w:val="auto"/>
        </w:rPr>
        <w:t>Depreciation and amortization expense was $1.3 million, $0.4 million and $0.1 million for the years ended December 31, 2012, 2011 and 2010, respectively. Stock-based compensation capitalized as part of the cost of internal-use software was $0.3 million, $0.1 million, and nil for the years ended December 31, 2012, 2011 and 2010, respectively.</w:t>
      </w:r>
    </w:p>
    <w:p>
      <w:pPr>
        <w:spacing w:after="0" w:line="177"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8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On March 30, 2012, the Company entered into a number of agreements with Digitude Innovations, LLC (“Digitude”), Preservation Technologies LLC (“Preservation”), and Robert and Susan Kramer (collectively, the “Agreements”). The Agreements were subject to closing conditions that were satisfied on April 19, 2012. Pursuant to the Agreements, the Company paid $45.8 million and acquired, among other things, (i) certain patents, patent rights and a covenant not to sue and (ii) all of the issued and outstanding membership interests in Altitude Capital Management LLC.</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following table summarizes the estimated fair values of the components of identifiable intangible assets acquired and liabilities assumed as of the date of acquisition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27,850</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Proprietary data and models</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7"/>
        </w:trPr>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Covenant not to compete</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8,373</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(8,143)</w:t>
            </w:r>
          </w:p>
        </w:tc>
      </w:tr>
      <w:tr>
        <w:trPr>
          <w:trHeight w:val="27"/>
        </w:trPr>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14,785</w:t>
            </w:r>
          </w:p>
        </w:tc>
      </w:tr>
      <w:tr>
        <w:trPr>
          <w:trHeight w:val="257"/>
        </w:trPr>
        <w:tc>
          <w:tcPr>
            <w:tcW w:w="1016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45,765</w:t>
            </w:r>
          </w:p>
        </w:tc>
      </w:tr>
      <w:tr>
        <w:trPr>
          <w:trHeight w:val="20"/>
        </w:trPr>
        <w:tc>
          <w:tcPr>
            <w:tcW w:w="10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6"/>
          <w:szCs w:val="16"/>
          <w:color w:val="auto"/>
        </w:rPr>
        <w:t>The fair values assigned to identifiable intangible assets acquired and liabilities assumed are based on management’s estimates and assumptions. The excess of purchase consideration over the fair value of identifiable intangible assets acquired and liabilities assumed was recorded as goodwill. Patent assets represent the ownership or rights to more than 500 U.S. (and more than 50 non-U.S.) patents that were held by Digitude, certain sub-license rights to patents licensed exclusively by Preservation and a covenant not to sue entered into with Robert Kramer. The patent assets have an estimated weighted-average life of 55 months. The portfolios acquired cover a broad range of technologies including mobile handsets, TVs, cameras, PCs, media players, content delivery, video-on-demand, internet streaming, and enterprise networks and have increased the Company’s total portfolio of patent assets by more than 30%. Proprietary data and models primarily consist of specialized data and processes related to patent analysis and valuation methodologies. These assets have an estimated weighted-average useful life of 48 months. Trademark represents the value of the Altitude Capital trademark with an estimated useful life of 48 months. The covenant not to compete represents certain restrictive covenants pursuant to which Robert Kramer has agreed to refrain from competing against any of the Company’s lines of business for a period of 21 months. Goodwill recorded as a result of this acquisition is primarily related to enhancing the Company’s position as a market leader capable of executing highly complex structured acquisitions. The value of goodwill is deductible for tax purposes.</w:t>
      </w:r>
    </w:p>
    <w:p>
      <w:pPr>
        <w:spacing w:after="0" w:line="173"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Under ASC 805-10, acquisition-related costs are not included as a component of consideration transferred but are required to be expensed as incurred. Acquisition-related costs were $0.6 million for the year ended December 31, 2012 and are included in selling, general and administrative expenses. Pro forma results of operations reflecting the acquisition have not been presented because the effect of the acquisition is not material to the Company’s results of operations.</w:t>
      </w:r>
    </w:p>
    <w:p>
      <w:pPr>
        <w:spacing w:after="0" w:line="183"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amounts of goodwill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Balance as of January 1,</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 w:type="dxa"/>
            <w:vAlign w:val="bottom"/>
            <w:tcBorders>
              <w:bottom w:val="single" w:sz="8" w:color="CCEEFF"/>
            </w:tcBorders>
            <w:shd w:val="clear" w:color="auto" w:fill="CCEEFF"/>
          </w:tcPr>
          <w:p>
            <w:pPr>
              <w:spacing w:after="0"/>
              <w:rPr>
                <w:sz w:val="23"/>
                <w:szCs w:val="23"/>
                <w:color w:val="auto"/>
              </w:rPr>
            </w:pPr>
          </w:p>
        </w:tc>
        <w:tc>
          <w:tcPr>
            <w:tcW w:w="3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Goodwill from acquisitions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16,460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7"/>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11.</w:t>
            </w:r>
          </w:p>
        </w:tc>
        <w:tc>
          <w:tcPr>
            <w:tcW w:w="30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Intangible Assets, Net</w:t>
            </w: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3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00" w:type="dxa"/>
            <w:vAlign w:val="bottom"/>
          </w:tcPr>
          <w:p>
            <w:pPr>
              <w:spacing w:after="0"/>
              <w:rPr>
                <w:sz w:val="24"/>
                <w:szCs w:val="24"/>
                <w:color w:val="auto"/>
              </w:rPr>
            </w:pPr>
          </w:p>
        </w:tc>
        <w:tc>
          <w:tcPr>
            <w:tcW w:w="7360" w:type="dxa"/>
            <w:vAlign w:val="bottom"/>
            <w:gridSpan w:val="11"/>
          </w:tcPr>
          <w:p>
            <w:pPr>
              <w:jc w:val="right"/>
              <w:spacing w:after="0"/>
              <w:rPr>
                <w:sz w:val="20"/>
                <w:szCs w:val="20"/>
                <w:color w:val="auto"/>
              </w:rPr>
            </w:pPr>
            <w:r>
              <w:rPr>
                <w:rFonts w:ascii="Arial" w:cs="Arial" w:eastAsia="Arial" w:hAnsi="Arial"/>
                <w:sz w:val="18"/>
                <w:szCs w:val="18"/>
                <w:color w:val="auto"/>
                <w:w w:val="91"/>
              </w:rPr>
              <w:t>Intangible assets, net, as of December 31, 2012 and 2011 consisted of the following (in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2012</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 2011</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Net Carrying</w:t>
            </w:r>
          </w:p>
        </w:tc>
        <w:tc>
          <w:tcPr>
            <w:tcW w:w="22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1120" w:type="dxa"/>
            <w:vAlign w:val="bottom"/>
          </w:tcPr>
          <w:p>
            <w:pPr>
              <w:jc w:val="center"/>
              <w:ind w:right="33"/>
              <w:spacing w:after="0"/>
              <w:rPr>
                <w:sz w:val="20"/>
                <w:szCs w:val="20"/>
                <w:color w:val="auto"/>
              </w:rPr>
            </w:pPr>
            <w:r>
              <w:rPr>
                <w:rFonts w:ascii="Arial" w:cs="Arial" w:eastAsia="Arial" w:hAnsi="Arial"/>
                <w:sz w:val="16"/>
                <w:szCs w:val="16"/>
                <w:b w:val="1"/>
                <w:bCs w:val="1"/>
                <w:color w:val="auto"/>
                <w:w w:val="95"/>
              </w:rPr>
              <w:t>Net Carrying</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8"/>
                <w:szCs w:val="18"/>
                <w:color w:val="auto"/>
              </w:rPr>
            </w:pPr>
          </w:p>
        </w:tc>
        <w:tc>
          <w:tcPr>
            <w:tcW w:w="1040" w:type="dxa"/>
            <w:vAlign w:val="bottom"/>
          </w:tcPr>
          <w:p>
            <w:pPr>
              <w:jc w:val="right"/>
              <w:ind w:right="27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140" w:type="dxa"/>
            <w:vAlign w:val="bottom"/>
          </w:tcPr>
          <w:p>
            <w:pPr>
              <w:spacing w:after="0"/>
              <w:rPr>
                <w:sz w:val="18"/>
                <w:szCs w:val="18"/>
                <w:color w:val="auto"/>
              </w:rPr>
            </w:pPr>
          </w:p>
        </w:tc>
        <w:tc>
          <w:tcPr>
            <w:tcW w:w="1120" w:type="dxa"/>
            <w:vAlign w:val="bottom"/>
          </w:tcPr>
          <w:p>
            <w:pPr>
              <w:jc w:val="center"/>
              <w:ind w:right="53"/>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33"/>
        </w:trPr>
        <w:tc>
          <w:tcPr>
            <w:tcW w:w="334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Trademarks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1,890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3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Proprietary data and models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3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Covenant not to compete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3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Intangible assets in-progress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3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estimated future amortization expenses for intangible assets (excluding intangible assets in-progress) are summarized below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jc w:val="right"/>
              <w:ind w:right="9570"/>
              <w:spacing w:after="0"/>
              <w:rPr>
                <w:sz w:val="20"/>
                <w:szCs w:val="20"/>
                <w:color w:val="auto"/>
              </w:rPr>
            </w:pPr>
            <w:r>
              <w:rPr>
                <w:rFonts w:ascii="Arial" w:cs="Arial" w:eastAsia="Arial" w:hAnsi="Arial"/>
                <w:sz w:val="18"/>
                <w:szCs w:val="18"/>
                <w:color w:val="auto"/>
                <w:w w:val="94"/>
              </w:rPr>
              <w:t>2013</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1,496</w:t>
            </w:r>
          </w:p>
        </w:tc>
      </w:tr>
      <w:tr>
        <w:trPr>
          <w:trHeight w:val="243"/>
        </w:trPr>
        <w:tc>
          <w:tcPr>
            <w:tcW w:w="10060" w:type="dxa"/>
            <w:vAlign w:val="bottom"/>
          </w:tcPr>
          <w:p>
            <w:pPr>
              <w:jc w:val="right"/>
              <w:ind w:right="9570"/>
              <w:spacing w:after="0"/>
              <w:rPr>
                <w:sz w:val="20"/>
                <w:szCs w:val="20"/>
                <w:color w:val="auto"/>
              </w:rPr>
            </w:pPr>
            <w:r>
              <w:rPr>
                <w:rFonts w:ascii="Arial" w:cs="Arial" w:eastAsia="Arial" w:hAnsi="Arial"/>
                <w:sz w:val="18"/>
                <w:szCs w:val="18"/>
                <w:color w:val="auto"/>
                <w:w w:val="94"/>
              </w:rPr>
              <w:t>2014</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906</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jc w:val="right"/>
              <w:ind w:right="9570"/>
              <w:spacing w:after="0"/>
              <w:rPr>
                <w:sz w:val="20"/>
                <w:szCs w:val="20"/>
                <w:color w:val="auto"/>
              </w:rPr>
            </w:pPr>
            <w:r>
              <w:rPr>
                <w:rFonts w:ascii="Arial" w:cs="Arial" w:eastAsia="Arial" w:hAnsi="Arial"/>
                <w:sz w:val="18"/>
                <w:szCs w:val="18"/>
                <w:color w:val="auto"/>
                <w:w w:val="94"/>
              </w:rPr>
              <w:t>2015</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r>
      <w:tr>
        <w:trPr>
          <w:trHeight w:val="243"/>
        </w:trPr>
        <w:tc>
          <w:tcPr>
            <w:tcW w:w="10060" w:type="dxa"/>
            <w:vAlign w:val="bottom"/>
          </w:tcPr>
          <w:p>
            <w:pPr>
              <w:jc w:val="right"/>
              <w:ind w:right="9570"/>
              <w:spacing w:after="0"/>
              <w:rPr>
                <w:sz w:val="20"/>
                <w:szCs w:val="20"/>
                <w:color w:val="auto"/>
              </w:rPr>
            </w:pPr>
            <w:r>
              <w:rPr>
                <w:rFonts w:ascii="Arial" w:cs="Arial" w:eastAsia="Arial" w:hAnsi="Arial"/>
                <w:sz w:val="18"/>
                <w:szCs w:val="18"/>
                <w:color w:val="auto"/>
                <w:w w:val="94"/>
              </w:rPr>
              <w:t>2016</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jc w:val="right"/>
              <w:ind w:right="6650"/>
              <w:spacing w:after="0"/>
              <w:rPr>
                <w:sz w:val="20"/>
                <w:szCs w:val="20"/>
                <w:color w:val="auto"/>
              </w:rPr>
            </w:pPr>
            <w:r>
              <w:rPr>
                <w:rFonts w:ascii="Arial" w:cs="Arial" w:eastAsia="Arial" w:hAnsi="Arial"/>
                <w:sz w:val="18"/>
                <w:szCs w:val="18"/>
                <w:color w:val="auto"/>
                <w:w w:val="94"/>
              </w:rPr>
              <w:t>Total estimated future amortization expense</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3,226</w:t>
            </w:r>
          </w:p>
        </w:tc>
      </w:tr>
      <w:tr>
        <w:trPr>
          <w:trHeight w:val="20"/>
        </w:trPr>
        <w:tc>
          <w:tcPr>
            <w:tcW w:w="10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Amortization expense was $1.5 million, $0.7 million and $0.4 million for the years ended December 31, 2012, 2011 and 2010, respectively.</w:t>
      </w:r>
    </w:p>
    <w:p>
      <w:pPr>
        <w:spacing w:after="0" w:line="233"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w w:val="99"/>
              </w:rPr>
              <w:t>December 31,</w:t>
            </w:r>
          </w:p>
        </w:tc>
        <w:tc>
          <w:tcPr>
            <w:tcW w:w="88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2011</w:t>
            </w:r>
          </w:p>
        </w:tc>
      </w:tr>
      <w:tr>
        <w:trPr>
          <w:trHeight w:val="33"/>
        </w:trPr>
        <w:tc>
          <w:tcPr>
            <w:tcW w:w="8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Accrued payroll-related expenses</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6,567</w:t>
            </w: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7,160</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r>
      <w:tr>
        <w:trPr>
          <w:trHeight w:val="297"/>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accrued liabilities</w:t>
            </w:r>
          </w:p>
        </w:tc>
        <w:tc>
          <w:tcPr>
            <w:tcW w:w="84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8"/>
              </w:rPr>
              <w:t>7,206</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7,762</w:t>
            </w:r>
          </w:p>
        </w:tc>
      </w:tr>
      <w:tr>
        <w:trPr>
          <w:trHeight w:val="311"/>
        </w:trPr>
        <w:tc>
          <w:tcPr>
            <w:tcW w:w="858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Patent and other assets purchased but not paid</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1,100</w:t>
            </w: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250</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1,932</w:t>
            </w: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Total other current liabilities</w:t>
            </w:r>
          </w:p>
        </w:tc>
        <w:tc>
          <w:tcPr>
            <w:tcW w:w="84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8"/>
              </w:rPr>
              <w:t>1,813</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2,182</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Payment Obligations</w:t>
      </w:r>
    </w:p>
    <w:p>
      <w:pPr>
        <w:spacing w:after="0" w:line="81" w:lineRule="exact"/>
        <w:rPr>
          <w:sz w:val="20"/>
          <w:szCs w:val="20"/>
          <w:color w:val="auto"/>
        </w:rPr>
      </w:pPr>
    </w:p>
    <w:p>
      <w:pPr>
        <w:jc w:val="both"/>
        <w:ind w:right="40" w:firstLine="446"/>
        <w:spacing w:after="0" w:line="276" w:lineRule="auto"/>
        <w:rPr>
          <w:sz w:val="20"/>
          <w:szCs w:val="20"/>
          <w:color w:val="auto"/>
        </w:rPr>
      </w:pPr>
      <w:r>
        <w:rPr>
          <w:rFonts w:ascii="Arial" w:cs="Arial" w:eastAsia="Arial" w:hAnsi="Arial"/>
          <w:sz w:val="17"/>
          <w:szCs w:val="17"/>
          <w:color w:val="auto"/>
        </w:rPr>
        <w:t>On July 6, 2009, the Company entered into an agreement to purchase certain patent assets for a total of $4.4 million. Under the terms of the agreement, the Company paid $1.1 million in cash at signing, with a remaining non-interest bearing contract obligation of $3.3 million due in three equal installments in July of each of 2010, 2011 and 2012. The contract obligation was recorded at fair value utilizing the imputed interest rate method. Interest was imputed using a rate of 10.2% per annum, which represented the Company’s estimated market borrowing rate as of the initial transaction date. As of December 31, 2012 and 2011, the remaining unpaid principal balance associated with the obligation was nil and $1.1 million, respectively.</w:t>
      </w:r>
    </w:p>
    <w:p>
      <w:pPr>
        <w:spacing w:after="0" w:line="173"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On January 26, 2009, the Company entered into an agreement to acquire certain patent assets for a total of $12.0 million. Under the terms of the agreement, the Company paid $3.0 million upfront, with a remaining non-interest bearing contract obligation of $9.0 million due in three equal installments in January of each of 2010, 2011 and 2012. The contract obligation was recorded at fair value utilizing the imputed interest rate method. Interest was imputed using a rate of 13.9% per annum, which represented the Company’s estimated market borrowing rate as of the date of the transaction. As of December 31, 2012 and 2011, the remaining unpaid principal balance associated with the obligation was nil and $3.0 million, respectively.</w:t>
      </w:r>
    </w:p>
    <w:p>
      <w:pPr>
        <w:spacing w:after="0" w:line="154" w:lineRule="exact"/>
        <w:rPr>
          <w:sz w:val="20"/>
          <w:szCs w:val="20"/>
          <w:color w:val="auto"/>
        </w:rPr>
      </w:pPr>
    </w:p>
    <w:p>
      <w:pPr>
        <w:ind w:left="500" w:right="8380" w:hanging="492"/>
        <w:spacing w:after="0" w:line="397" w:lineRule="auto"/>
        <w:tabs>
          <w:tab w:leader="none" w:pos="500" w:val="left"/>
        </w:tabs>
        <w:numPr>
          <w:ilvl w:val="0"/>
          <w:numId w:val="3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 Commitments</w:t>
      </w:r>
    </w:p>
    <w:p>
      <w:pPr>
        <w:spacing w:after="0" w:line="1"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The Company leases its facilities under non-cancelable lease agreements. The Company’s operating lease obligations have increased from those as of December 31, 2011 as a result of the following agreement entered into during the year ended December 31, 2012.</w:t>
      </w:r>
    </w:p>
    <w:p>
      <w:pPr>
        <w:spacing w:after="0" w:line="170" w:lineRule="exact"/>
        <w:rPr>
          <w:sz w:val="20"/>
          <w:szCs w:val="20"/>
          <w:color w:val="auto"/>
        </w:rPr>
      </w:pPr>
    </w:p>
    <w:p>
      <w:pPr>
        <w:ind w:right="40" w:firstLine="446"/>
        <w:spacing w:after="0" w:line="312" w:lineRule="auto"/>
        <w:rPr>
          <w:sz w:val="20"/>
          <w:szCs w:val="20"/>
          <w:color w:val="auto"/>
        </w:rPr>
      </w:pPr>
      <w:r>
        <w:rPr>
          <w:rFonts w:ascii="Arial" w:cs="Arial" w:eastAsia="Arial" w:hAnsi="Arial"/>
          <w:sz w:val="16"/>
          <w:szCs w:val="16"/>
          <w:color w:val="auto"/>
        </w:rPr>
        <w:t>In March 2012, the Company entered into an amended lease agreement related to its San Francisco, California office space. The amendment, which takes effect on May 1, 2013, will increase the rentable space to approximately 67,000 total square feet and extend the term through October 2019. The monthly base rent payments pursuant to this lease will initially be approximately $0.3 million per month, increasing to approximately $0.4 million per month.</w:t>
      </w:r>
    </w:p>
    <w:p>
      <w:pPr>
        <w:spacing w:after="0" w:line="147"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Rent expense related to non-cancelable operating leases was $2.4 million, $1.7 million and $0.7 million for the years ended December 31, 2012, 2011 and 2010,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aggregate future non-cancelable minimum lease payments for the Company’s operating leases as of December 31, 2012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2,733</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4,005</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4,072</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4,139</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7,886</w:t>
            </w:r>
          </w:p>
        </w:tc>
      </w:tr>
      <w:tr>
        <w:trPr>
          <w:trHeight w:val="27"/>
        </w:trPr>
        <w:tc>
          <w:tcPr>
            <w:tcW w:w="100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future non-cancelable minimum lease payments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27,041</w:t>
            </w:r>
          </w:p>
        </w:tc>
      </w:tr>
      <w:tr>
        <w:trPr>
          <w:trHeight w:val="20"/>
        </w:trPr>
        <w:tc>
          <w:tcPr>
            <w:tcW w:w="10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w:t>
      </w:r>
    </w:p>
    <w:p>
      <w:pPr>
        <w:spacing w:after="0" w:line="7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contingencies. A liability is recorded when and if it is determined that such a liability for litigation or contingencies is both probable and reasonably estimable. No liability for litigation or contingencies was recorded as of December 31, 2012 or 2011.</w:t>
      </w:r>
    </w:p>
    <w:p>
      <w:pPr>
        <w:spacing w:after="0" w:line="187"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In February 2013, Volkswagen Group of America, Inc. (“Volkswagen”) filed a third party complaint (the "Complaint") against the Company as part of an existing patent infringement lawsuit in the U.S. District Court for the Eastern District of Texas that was originally filed by Norman IP Holdings, LLC (“Norman”) and in which Volkswagen is a defendant. The Complaint relates to a patent license and acquisition transaction that the Company entered with Norman and Saxon in January 2010. The claims allege that the Company, together with Norman and Saxon Innovations, LLC (“Saxon”), violated federal antitrust law and Texas antitrust law. Volkswagen seeks declaratory relief, unspecified monetary damages, and injunctive relief. Because the case is at a very early stage, the Company is not currently able to determine whether there is a reasonable possibility that a loss has been incurred nor can it estimate the range of the potential loss that may result from this litigation.</w:t>
      </w:r>
    </w:p>
    <w:p>
      <w:pPr>
        <w:spacing w:after="0" w:line="178"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In March 2012, Cascades Computer Innovations LLC filed a lawsuit in U.S. District Court for the Northern District of California (the “Court”) against the Company and five of its clients (collectively the “Defendants”). The lawsuit alleges that the Defendants violated federal antitrust law, California antitrust law and California unfair competition law. The lawsuit claims that after the Company terminated its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The Company is not currently able to determine whether there is a reasonable possibility that a loss has been incurred, nor can it estimate the potential loss or range of the potential loss that may result from this litigation.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7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Accordingly, the Company had no liabilities recorded for these agreements as of December 31, 2012 or 2011. The Company has no reason to believe that there is any material liability related to such indemnification provisions. The Company does not indemnify its clients for patent infringement.</w:t>
      </w:r>
    </w:p>
    <w:p>
      <w:pPr>
        <w:spacing w:after="0" w:line="189" w:lineRule="exact"/>
        <w:rPr>
          <w:sz w:val="20"/>
          <w:szCs w:val="20"/>
          <w:color w:val="auto"/>
        </w:rPr>
      </w:pPr>
    </w:p>
    <w:p>
      <w:pPr>
        <w:ind w:right="260" w:firstLine="486"/>
        <w:spacing w:after="0" w:line="302" w:lineRule="auto"/>
        <w:rPr>
          <w:sz w:val="20"/>
          <w:szCs w:val="20"/>
          <w:color w:val="auto"/>
        </w:rPr>
      </w:pPr>
      <w:r>
        <w:rPr>
          <w:rFonts w:ascii="Arial" w:cs="Arial" w:eastAsia="Arial" w:hAnsi="Arial"/>
          <w:sz w:val="16"/>
          <w:szCs w:val="16"/>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50" w:lineRule="exact"/>
        <w:rPr>
          <w:sz w:val="20"/>
          <w:szCs w:val="20"/>
          <w:color w:val="auto"/>
        </w:rPr>
      </w:pPr>
    </w:p>
    <w:p>
      <w:pPr>
        <w:ind w:left="500" w:right="9360" w:hanging="492"/>
        <w:spacing w:after="0" w:line="435" w:lineRule="auto"/>
        <w:tabs>
          <w:tab w:leader="none" w:pos="50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 Equity </w:t>
      </w:r>
      <w:r>
        <w:rPr>
          <w:rFonts w:ascii="Arial" w:cs="Arial" w:eastAsia="Arial" w:hAnsi="Arial"/>
          <w:sz w:val="16"/>
          <w:szCs w:val="16"/>
          <w:b w:val="1"/>
          <w:bCs w:val="1"/>
          <w:i w:val="1"/>
          <w:iCs w:val="1"/>
          <w:color w:val="auto"/>
        </w:rPr>
        <w:t>Common Stock</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As of December 31, 2012, under the Company’s amended and restated certificate of incorporation, the Company is authorized to issue 200 million shares of common stock with par value of $0.0001 per share.</w:t>
      </w:r>
    </w:p>
    <w:p>
      <w:pPr>
        <w:spacing w:after="0" w:line="170"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In connection with the issuance of the Series A redeemable convertible preferred stock in August 2008, the Company entered into a common stock repurchase agreement with its founders. The Company issued 9,999,998 shares of common stock to the Company’s founders in exchange for the assignment of intellectual property to the Company. The Company had the right to repurchase these shares of common stock upon the termination of a founder’s service to the Company. The repurchase rights lapsed over a four-year period, 25% on the first anniversary from the issuance date and thereafter ratably each month over the ensuing 36-month period. As of December 31, 2012 and 2011, nil and 1,666,666, respectively, of these shares were subject to repurchase. The value of common stock exchanged for the intellectual property was estimated to be $1.5 million based on the then-applicable common stock value of $0.145 per share. The assets received are recorded as intangible assets in the consolidated balance sheets and were being amortized over a four-year period.</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7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As of December 31, 2012, under the Company’s amended and restated certificate of incorporation the Company is authorized to issue 10 million shares of preferred stock with a par value of $0.0001 per share. The Board of Directors is authorized to provide for the issuance of one or more series of preferred stock and to establish the powers, preferences and rights of the preferred shares.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Equity Plans</w:t>
      </w:r>
    </w:p>
    <w:p>
      <w:pPr>
        <w:spacing w:after="0" w:line="77"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color w:val="auto"/>
        </w:rPr>
        <w:t>In February 2011, the Company’s Board of Directors adopted the 2011 Equity Incentive Plan (the “2011 Plan”), which became effective on the date of the Company’s initial public offering. The 2011 Plan provides for the issuance of incentive stock options, non-qualified stock options, stock appreciation rights, restricted shares of the Company’s common stock and stock units to employees, directors, and non-employees. The Board of Directors reserved 1,500,000 shares of common stock for future issuance under the 2011 Plan. In March 2012, the Company reserved an additional 2,457,269 shares of common stock for future issuance under the 2011 Plan. As of December 31, 2012, there were 3,023,027 shares available for grant under the 2011 Plan.</w:t>
      </w:r>
    </w:p>
    <w:p>
      <w:pPr>
        <w:spacing w:after="0" w:line="15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August 2008, the Company’s Board of Directors adopted the 2008 Plan (the “2008 Plan”) which provides for the issuance of incentive stock options, non-qualified stock options, as well as the direct award or sale of shares of common stock to employees, directors, and non-employees for up to 9,019,474 shares of common stock, as amended. No further awards have been made under the 2008 Plan; however, all awards outstanding under the 2008 Plan will continue to be governed by the existing terms.</w:t>
      </w:r>
    </w:p>
    <w:p>
      <w:pPr>
        <w:spacing w:after="0" w:line="187"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Under both the 2011 Plan and 2008 Plan, incentive stock options and non-qualified stock options are to be granted at a price that is not less than 100% of the fair value of the stock at the date of grant. Stock options granted to newly hired employees vest 25% on the first anniversary of the date of hire and ratably each month over the ensuing 36-month period. Stock options granted to existing employees generally vest ratably over the 48-months following the date of grant. Stock options are exercisable for a maximum period of 10 years after date of grant. Incentive stock options granted to stockholders who own more than 10% of the outstanding stock of the Company at the time of grant must be issued at an exercise price not to be less than 110% of the fair value of the stock on the date of grant. Restricted stock units granted to newly hired employees vest 25% on the first Company-established vest date after the first anniversary of the employee’s date of hire and ratably each quarter over the ensuing 12-quarter period. Restricted stock units granted to existing employees generally vest ratably each quarter over the 16 quarters following the date of grant.</w:t>
      </w:r>
    </w:p>
    <w:p>
      <w:pPr>
        <w:spacing w:after="0" w:line="17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A summary of the Company’s activity under its equity award plans and related information is as follows (in thousands, except per share data):</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ind w:left="400"/>
              <w:spacing w:after="0"/>
              <w:rPr>
                <w:sz w:val="20"/>
                <w:szCs w:val="20"/>
                <w:color w:val="auto"/>
              </w:rPr>
            </w:pPr>
            <w:r>
              <w:rPr>
                <w:rFonts w:ascii="Arial" w:cs="Arial" w:eastAsia="Arial" w:hAnsi="Arial"/>
                <w:sz w:val="16"/>
                <w:szCs w:val="16"/>
                <w:b w:val="1"/>
                <w:bCs w:val="1"/>
                <w:color w:val="auto"/>
              </w:rPr>
              <w:t>Options Outstanding</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Shares Available</w:t>
            </w:r>
          </w:p>
        </w:tc>
        <w:tc>
          <w:tcPr>
            <w:tcW w:w="1260" w:type="dxa"/>
            <w:vAlign w:val="bottom"/>
          </w:tcPr>
          <w:p>
            <w:pPr>
              <w:jc w:val="right"/>
              <w:ind w:right="171"/>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Average 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140" w:type="dxa"/>
            <w:vAlign w:val="bottom"/>
          </w:tcPr>
          <w:p>
            <w:pPr>
              <w:jc w:val="right"/>
              <w:ind w:right="194"/>
              <w:spacing w:after="0"/>
              <w:rPr>
                <w:sz w:val="20"/>
                <w:szCs w:val="20"/>
                <w:color w:val="auto"/>
              </w:rPr>
            </w:pPr>
            <w:r>
              <w:rPr>
                <w:rFonts w:ascii="Arial" w:cs="Arial" w:eastAsia="Arial" w:hAnsi="Arial"/>
                <w:sz w:val="16"/>
                <w:szCs w:val="16"/>
                <w:b w:val="1"/>
                <w:bCs w:val="1"/>
                <w:color w:val="auto"/>
              </w:rPr>
              <w:t>Aggregate</w:t>
            </w:r>
          </w:p>
        </w:tc>
      </w:tr>
      <w:tr>
        <w:trPr>
          <w:trHeight w:val="210"/>
        </w:trPr>
        <w:tc>
          <w:tcPr>
            <w:tcW w:w="47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for Grant</w:t>
            </w:r>
          </w:p>
        </w:tc>
        <w:tc>
          <w:tcPr>
            <w:tcW w:w="1260" w:type="dxa"/>
            <w:vAlign w:val="bottom"/>
          </w:tcPr>
          <w:p>
            <w:pPr>
              <w:jc w:val="right"/>
              <w:ind w:right="31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2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6"/>
                <w:szCs w:val="16"/>
                <w:b w:val="1"/>
                <w:bCs w:val="1"/>
                <w:color w:val="auto"/>
                <w:w w:val="91"/>
              </w:rPr>
              <w:t>Intrinsic Value</w:t>
            </w:r>
          </w:p>
        </w:tc>
      </w:tr>
      <w:tr>
        <w:trPr>
          <w:trHeight w:val="33"/>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December 31, 2011</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Options authorized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2,457</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forfeited</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Restricted stock units 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units forfeited</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 December 31, 2012</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3,023</w:t>
            </w:r>
          </w:p>
        </w:tc>
        <w:tc>
          <w:tcPr>
            <w:tcW w:w="12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5,710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14,987</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exercisable - December 31, 2012</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6,865</w:t>
            </w: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Vested and expected to vest - December 31, 2012</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14,123</w:t>
            </w: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total intrinsic value for options exercised during the years ended December 31, 2012, 2011 and 2010 was $23.8 million, $19.0 million and $0.6 million,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summary of restricted stock unit activity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Grant Date Fair</w:t>
            </w:r>
          </w:p>
        </w:tc>
        <w:tc>
          <w:tcPr>
            <w:tcW w:w="120" w:type="dxa"/>
            <w:vAlign w:val="bottom"/>
          </w:tcPr>
          <w:p>
            <w:pPr>
              <w:spacing w:after="0"/>
              <w:rPr>
                <w:sz w:val="17"/>
                <w:szCs w:val="17"/>
                <w:color w:val="auto"/>
              </w:rPr>
            </w:pPr>
          </w:p>
        </w:tc>
        <w:tc>
          <w:tcPr>
            <w:tcW w:w="148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6640" w:type="dxa"/>
            <w:vAlign w:val="bottom"/>
          </w:tcPr>
          <w:p>
            <w:pPr>
              <w:spacing w:after="0"/>
              <w:rPr>
                <w:sz w:val="18"/>
                <w:szCs w:val="18"/>
                <w:color w:val="auto"/>
              </w:rPr>
            </w:pPr>
          </w:p>
        </w:tc>
        <w:tc>
          <w:tcPr>
            <w:tcW w:w="1500" w:type="dxa"/>
            <w:vAlign w:val="bottom"/>
          </w:tcPr>
          <w:p>
            <w:pPr>
              <w:jc w:val="right"/>
              <w:ind w:right="11"/>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6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December 31, 2011</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December 31, 2012</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8,149</w:t>
            </w:r>
          </w:p>
        </w:tc>
      </w:tr>
      <w:tr>
        <w:trPr>
          <w:trHeight w:val="20"/>
        </w:trPr>
        <w:tc>
          <w:tcPr>
            <w:tcW w:w="66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Employees and Non-Employee Directors</w:t>
      </w:r>
    </w:p>
    <w:p>
      <w:pPr>
        <w:spacing w:after="0" w:line="7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Stock-based compensation expense for employees and non-employee directors is based on the fair value of the award on the date of grant and is recognized on a straight-line basis over the requisite service period of the award. The Company estimates the fair value of stock options using the Black-Scholes option pricing model. Option valuation models, including the Black-Scholes option pricing model, require the input of various assumptions such as expected term, expected volatility and risk-free interest rates. Changes in the assumptions can materially affect the fair value and ultimately how much stock-based compensation expense is recognized. These inputs are subjective and generally require significant analysis and judgment to develop. For all stock options granted to date, the Company calculated the expected term using the SEC simplified method. The Company has limited information on its past volatility and has a limited operating history. Therefore, it has estimated the volatility data based on a study of publicly traded industry peer companies. For purposes of identifying these peer companies, the Company considered the industry, stage of development, size and financial leverage of potential comparable companies. The estimated forfeiture rate is derived primarily from our historical data, and the risk-free interest rate is based on the yield available on U.S. Treasury zero-coupon issues similar in duration to the expected term of the Company’s stock options.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weighted-average assumptions used to estimate the fair value of stock options granted and the resulting fair values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0" w:type="dxa"/>
            <w:vAlign w:val="bottom"/>
            <w:gridSpan w:val="6"/>
          </w:tcPr>
          <w:p>
            <w:pPr>
              <w:jc w:val="right"/>
              <w:ind w:right="230"/>
              <w:spacing w:after="0"/>
              <w:rPr>
                <w:sz w:val="20"/>
                <w:szCs w:val="20"/>
                <w:color w:val="auto"/>
              </w:rPr>
            </w:pPr>
            <w:r>
              <w:rPr>
                <w:rFonts w:ascii="Arial" w:cs="Arial" w:eastAsia="Arial" w:hAnsi="Arial"/>
                <w:sz w:val="16"/>
                <w:szCs w:val="16"/>
                <w:b w:val="1"/>
                <w:bCs w:val="1"/>
                <w:color w:val="auto"/>
                <w:w w:val="94"/>
              </w:rPr>
              <w:t>Year Ended December 31,</w:t>
            </w:r>
          </w:p>
        </w:tc>
        <w:tc>
          <w:tcPr>
            <w:tcW w:w="1160" w:type="dxa"/>
            <w:vAlign w:val="bottom"/>
          </w:tcPr>
          <w:p>
            <w:pPr>
              <w:spacing w:after="0"/>
              <w:rPr>
                <w:sz w:val="18"/>
                <w:szCs w:val="18"/>
                <w:color w:val="auto"/>
              </w:rPr>
            </w:pPr>
          </w:p>
        </w:tc>
      </w:tr>
      <w:tr>
        <w:trPr>
          <w:trHeight w:val="33"/>
        </w:trPr>
        <w:tc>
          <w:tcPr>
            <w:tcW w:w="6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6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2010</w:t>
            </w:r>
          </w:p>
        </w:tc>
      </w:tr>
      <w:tr>
        <w:trPr>
          <w:trHeight w:val="33"/>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2.00%</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36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6.2</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 date fair value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9.02</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3.06</w:t>
            </w:r>
          </w:p>
        </w:tc>
      </w:tr>
      <w:tr>
        <w:trPr>
          <w:trHeight w:val="27"/>
        </w:trPr>
        <w:tc>
          <w:tcPr>
            <w:tcW w:w="6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fair value of restricted stock units granted to employees and non-employee directors is measured by reference to the fair value of the underlying shares on the date of grant.</w:t>
      </w:r>
    </w:p>
    <w:p>
      <w:pPr>
        <w:spacing w:after="0" w:line="170" w:lineRule="exact"/>
        <w:rPr>
          <w:sz w:val="20"/>
          <w:szCs w:val="20"/>
          <w:color w:val="auto"/>
        </w:rPr>
      </w:pPr>
    </w:p>
    <w:p>
      <w:pPr>
        <w:ind w:right="140" w:firstLine="486"/>
        <w:spacing w:after="0" w:line="312" w:lineRule="auto"/>
        <w:rPr>
          <w:sz w:val="20"/>
          <w:szCs w:val="20"/>
          <w:color w:val="auto"/>
        </w:rPr>
      </w:pPr>
      <w:r>
        <w:rPr>
          <w:rFonts w:ascii="Arial" w:cs="Arial" w:eastAsia="Arial" w:hAnsi="Arial"/>
          <w:sz w:val="16"/>
          <w:szCs w:val="16"/>
          <w:color w:val="auto"/>
        </w:rPr>
        <w:t>Stock-based compensation expense related to stock options granted to employees and non-employee directors was $7.9 million, $5.5 million and $1.0 million for the years ended December 31, 2012, 2011 and 2010, respectively. Stock-based compensation expense related to restricted stock units granted to employees and non-employee directors was $2.0 million, $0.4 million and nil for the years ended December 31, 2012, 2011 and 2010, respectively.</w:t>
      </w:r>
    </w:p>
    <w:p>
      <w:pPr>
        <w:spacing w:after="0" w:line="147"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As of December 31, 2012, there was $19.8 million and $7.4 million of unrecognized compensation cost related to stock options and restricted stock units, respectively, which was expected to be recognized over a weighted-average period of 2.7 years and 3.0 years, respectively. Future grants of equity awards will increase the amount of stock-based compensation expense to be recorded.</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Non-Employees</w:t>
      </w:r>
    </w:p>
    <w:p>
      <w:pPr>
        <w:spacing w:after="0" w:line="77"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The Company periodically grants equity awards to non-employees in exchange for goods and services. During the year ended December 31, 2011, the Company issued 10,000 shares of common stock, 62,632 restricted stock units, and 75,000 stock options to non-employees in exchange for services. No awards were granted to non-employees in exchange for goods and services during the years ended December 31, 2012 and 2010.</w:t>
      </w:r>
    </w:p>
    <w:p>
      <w:pPr>
        <w:spacing w:after="0" w:line="166"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Stock-based compensation expense for non-employees is based on the fair value of the award on the measurement date, which is the earlier of the date by which the commitment for performance by the non-employee to earn the award is reached and the date on which the non-employee’s performance is complete. Each reporting period, the fair value of the unvested non-employee options or restricted stock units is revalued until the awards vest on the measurement date.</w:t>
      </w:r>
    </w:p>
    <w:p>
      <w:pPr>
        <w:spacing w:after="0" w:line="187"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Non-employee stock-based compensation expense related to stock options was $0.3 million, $0.9 million and $0.2 million for the years ended December 31, 2012, 2011 and 2010 , respectively. Non-employee stock-based compensation expense related to restricted stock units was $0.3 million, $0.2 million and nil for the years ended December 31, 2012, 2011 and 2010, respectively.</w:t>
      </w:r>
    </w:p>
    <w:p>
      <w:pPr>
        <w:spacing w:after="0" w:line="177"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Income before income tax provision consists of the following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2010</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61,983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23,973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82</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income before income tax provision</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62,069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24,055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the provision for income taxes are as follows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Year Ended December 31,</w:t>
            </w: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(17,525)</w:t>
            </w:r>
          </w:p>
        </w:tc>
        <w:tc>
          <w:tcPr>
            <w:tcW w:w="10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(5,603)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23"/>
        </w:trPr>
        <w:tc>
          <w:tcPr>
            <w:tcW w:w="6400" w:type="dxa"/>
            <w:vAlign w:val="bottom"/>
          </w:tcPr>
          <w:p>
            <w:pPr>
              <w:ind w:left="40"/>
              <w:spacing w:after="0"/>
              <w:rPr>
                <w:sz w:val="20"/>
                <w:szCs w:val="20"/>
                <w:color w:val="auto"/>
              </w:rPr>
            </w:pPr>
            <w:r>
              <w:rPr>
                <w:rFonts w:ascii="Arial" w:cs="Arial" w:eastAsia="Arial" w:hAnsi="Arial"/>
                <w:sz w:val="18"/>
                <w:szCs w:val="18"/>
                <w:color w:val="auto"/>
              </w:rPr>
              <w:t>Deferred</w:t>
            </w: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State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provision for income taxes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(23,112)</w:t>
            </w:r>
          </w:p>
        </w:tc>
        <w:tc>
          <w:tcPr>
            <w:tcW w:w="100" w:type="dxa"/>
            <w:vAlign w:val="bottom"/>
          </w:tcPr>
          <w:p>
            <w:pPr>
              <w:spacing w:after="0"/>
              <w:rPr>
                <w:sz w:val="20"/>
                <w:szCs w:val="20"/>
                <w:color w:val="auto"/>
              </w:rPr>
            </w:pPr>
          </w:p>
        </w:tc>
        <w:tc>
          <w:tcPr>
            <w:tcW w:w="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(16,225)</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(10,184)</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580"/>
              <w:spacing w:after="0"/>
              <w:rPr>
                <w:sz w:val="20"/>
                <w:szCs w:val="20"/>
                <w:color w:val="auto"/>
              </w:rPr>
            </w:pPr>
            <w:r>
              <w:rPr>
                <w:rFonts w:ascii="Arial" w:cs="Arial" w:eastAsia="Arial" w:hAnsi="Arial"/>
                <w:sz w:val="18"/>
                <w:szCs w:val="18"/>
                <w:color w:val="auto"/>
                <w:w w:val="99"/>
              </w:rPr>
              <w:t>Net deferred tax assets (liabilities) consist of the following (in thousands):</w:t>
            </w: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deferred tax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4,241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Reserves and other</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tax credits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Net operating losses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deferred tax assets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7,658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Non-current deferred tax assets (liabilities):</w:t>
            </w:r>
          </w:p>
        </w:tc>
        <w:tc>
          <w:tcPr>
            <w:tcW w:w="4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(14,695)</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Net operating losses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Reserves and other</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Total non-current net deferred tax liabilities</w:t>
            </w:r>
          </w:p>
        </w:tc>
        <w:tc>
          <w:tcPr>
            <w:tcW w:w="4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(18,108)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(14,395)</w:t>
            </w:r>
          </w:p>
        </w:tc>
        <w:tc>
          <w:tcPr>
            <w:tcW w:w="0" w:type="dxa"/>
            <w:vAlign w:val="bottom"/>
          </w:tcPr>
          <w:p>
            <w:pPr>
              <w:spacing w:after="0"/>
              <w:rPr>
                <w:sz w:val="1"/>
                <w:szCs w:val="1"/>
                <w:color w:val="auto"/>
              </w:rPr>
            </w:pPr>
          </w:p>
        </w:tc>
      </w:tr>
      <w:tr>
        <w:trPr>
          <w:trHeight w:val="27"/>
        </w:trPr>
        <w:tc>
          <w:tcPr>
            <w:tcW w:w="8120" w:type="dxa"/>
            <w:vAlign w:val="bottom"/>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gridSpan w:val="4"/>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20" w:type="dxa"/>
            <w:vAlign w:val="bottom"/>
            <w:gridSpan w:val="5"/>
          </w:tcPr>
          <w:p>
            <w:pPr>
              <w:ind w:left="440"/>
              <w:spacing w:after="0"/>
              <w:rPr>
                <w:sz w:val="20"/>
                <w:szCs w:val="20"/>
                <w:color w:val="auto"/>
              </w:rPr>
            </w:pPr>
            <w:r>
              <w:rPr>
                <w:rFonts w:ascii="Arial" w:cs="Arial" w:eastAsia="Arial" w:hAnsi="Arial"/>
                <w:sz w:val="18"/>
                <w:szCs w:val="18"/>
                <w:color w:val="auto"/>
                <w:w w:val="92"/>
              </w:rPr>
              <w:t>The following is a reconciliation of the statutory federal income tax to the Company’s effective tax (in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4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statutory federal rate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State tax – net of federal benefit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differences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tax</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credits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income not taxed at Federal rate</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Total provision for income taxes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(23,112)</w:t>
            </w:r>
          </w:p>
        </w:tc>
        <w:tc>
          <w:tcPr>
            <w:tcW w:w="100" w:type="dxa"/>
            <w:vAlign w:val="bottom"/>
          </w:tcPr>
          <w:p>
            <w:pPr>
              <w:spacing w:after="0"/>
              <w:rPr>
                <w:sz w:val="20"/>
                <w:szCs w:val="20"/>
                <w:color w:val="auto"/>
              </w:rPr>
            </w:pPr>
          </w:p>
        </w:tc>
        <w:tc>
          <w:tcPr>
            <w:tcW w:w="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(16,225)</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486"/>
        <w:spacing w:after="0" w:line="257" w:lineRule="auto"/>
        <w:rPr>
          <w:sz w:val="20"/>
          <w:szCs w:val="20"/>
          <w:color w:val="auto"/>
        </w:rPr>
      </w:pPr>
      <w:r>
        <w:rPr>
          <w:rFonts w:ascii="Arial" w:cs="Arial" w:eastAsia="Arial" w:hAnsi="Arial"/>
          <w:sz w:val="18"/>
          <w:szCs w:val="18"/>
          <w:color w:val="auto"/>
        </w:rPr>
        <w:t>In assessing the realization of deferred tax assets, management considers whether it is more-likely-than-not that some portion or all of deferred assets will not be realized. The ultimate realization of the deferred tax asset is dependent upon the generation of future taxable income during the periods in which those temporary differences become deductible. Based on the available objective evidence as of December 31, 2012, management believes it is more-likely-than-not that the U.S. net deferred tax asset will be fully realized. Accordingly, management has not applied a valuation allowance against its net deferred tax assets.</w:t>
      </w:r>
    </w:p>
    <w:p>
      <w:pPr>
        <w:spacing w:after="0" w:line="134"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As of December 31, 2012, the Company had state net operating loss carryforwards of $5.1 million available to reduce future taxable income, which will begin to expire in 2031.</w:t>
      </w:r>
    </w:p>
    <w:p>
      <w:pPr>
        <w:spacing w:after="0" w:line="11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Internal Revenue Code Section 382 places a limitation (the Section 382 Limitation) on the amount of taxable income that can be offset by net operating loss carryforwards after a change in control (generally greater than 50% change in ownership) of a loss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corporation. California has similar rules. Generally, after a change in control, a loss corporation cannot deduct operating loss carryforwards in excess of the Section 382 Limitation. Management has considered the impact of such limitation in determining the utilization of its operating loss carryforwards against taxable income in future periods.</w:t>
      </w:r>
    </w:p>
    <w:p>
      <w:pPr>
        <w:spacing w:after="0" w:line="127"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Deferred tax liabilities have not been recognized for undistributed earnings for foreign subsidiaries because it is management’s intention to permanently reinvest such undistributed earnings outside the U. S. Generally, such earnings are subject to potential foreign withholding tax and the U.S. tax upon remittance of dividends and under certain other circumstances. The amount of deferred tax liability for temporary differences related to investments in these non-U.S. subsidiaries are considered immaterial to the consolidated financial statements.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As of December 31, 2012, the Company’s total amount of unrecognized tax benefits was $1.1 million, all of which would impact the Company’s effective tax rate, if recognized.</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Balance as of January 1,</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increase related to current period tax positions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Balance as of December 31,</w:t>
            </w: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369</w:t>
            </w:r>
          </w:p>
        </w:tc>
      </w:tr>
      <w:tr>
        <w:trPr>
          <w:trHeight w:val="27"/>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does not believe it is reasonably possible that its unrecognized tax benefits will significantly change within the next twelve months.</w:t>
      </w:r>
    </w:p>
    <w:p>
      <w:pPr>
        <w:spacing w:after="0" w:line="183"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The Company’s policy is to recognize interest and penalties accrued on any unrecognized tax benefits as a component of income tax expense. During the years ended December 31, 2012 and 2011, the Company recognized$0.1 million and nil respectively, of interest and penalties associated with unrecognized tax benefits.</w:t>
      </w:r>
    </w:p>
    <w:p>
      <w:pPr>
        <w:spacing w:after="0" w:line="127"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During the fourth quarter of 2012, the State of California Franchise Tax Board completed its examination of the Company’s California income tax returns for the 2009 and 2008 tax years. The examination did not have a material impact on the Company’s consolidated financial statements. During the first quarter of 2012, the Internal Revenue Service (“IRS”) completed its examination of the Company’s employment taxes for the 2010 and 2009 tax years and federal income tax returns for the 2009 and 2008 tax years. In addition, during the fourth quarter of 2011, the IRS issued a Notice of Proposed Adjustments for the 2008 and 2009 tax years with proposed adjustments and no assessment. The Company has agreed to the adjustments which have been approved by the IRS. The adjustments did not have a material impact on the Company’s consolidated financial statements. The 2008 through 2012 tax periods remain open to examination by the federal and most state tax authorities. For the Company’s foreign jurisdictions, the 2009 through 2012 tax years remain open to examination by their respective tax authorities.</w:t>
      </w:r>
    </w:p>
    <w:p>
      <w:pPr>
        <w:spacing w:after="0" w:line="175"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81" w:lineRule="exact"/>
        <w:rPr>
          <w:sz w:val="20"/>
          <w:szCs w:val="20"/>
          <w:color w:val="auto"/>
        </w:rPr>
      </w:pPr>
    </w:p>
    <w:p>
      <w:pPr>
        <w:ind w:right="120" w:firstLine="446"/>
        <w:spacing w:after="0" w:line="273" w:lineRule="auto"/>
        <w:rPr>
          <w:sz w:val="20"/>
          <w:szCs w:val="20"/>
          <w:color w:val="auto"/>
        </w:rPr>
      </w:pPr>
      <w:r>
        <w:rPr>
          <w:rFonts w:ascii="Arial" w:cs="Arial" w:eastAsia="Arial" w:hAnsi="Arial"/>
          <w:sz w:val="17"/>
          <w:szCs w:val="17"/>
          <w:color w:val="auto"/>
        </w:rPr>
        <w:t>During the year ended December 31, 2012, two members of the Company’s Board of Directors also served on the boards of directors of RPX clients. The Company recognized subscription fee revenue of $3.6 million related to these clients. During the year ended December 31, 2011, one member of the Company’s Board of Directors also served on the board of directors of an RPX client. For the year ended December 31, 2011, the Company recognized subscription fee revenue of $2.6 million related to this client. During the year ended December 31, 2010, two members of the Company’s Board of Directors also served on the boards of directors of RPX clients. The Company recognized subscription fee revenue of $2.7 million related to these clients. As of December 31, 2012 and 2011 there were no receivables due from these clients.</w:t>
      </w:r>
    </w:p>
    <w:p>
      <w:pPr>
        <w:spacing w:after="0" w:line="178"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In April 2011, the Company sold an aggregate of 105,708 shares of its common stock at a price of $14.19 per share to two members of its Board of Directors.</w:t>
      </w:r>
    </w:p>
    <w:p>
      <w:pPr>
        <w:spacing w:after="0" w:line="166"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81"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The Company’s Chief Executive Office reviews financial information presented on a consolidated basis and, as a result, the Company concluded that there is only one operating and reportable segment.</w:t>
      </w:r>
    </w:p>
    <w:p>
      <w:pPr>
        <w:spacing w:after="0" w:line="15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 markets its solution to companies around the world. Revenue is generally attributed to geographic areas based on the country in which the client is domiciled.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 following table presents revenue by location and revenue generated by country as a percentage of total revenue for the applicable period, for countries representing 10% or more of revenues for the periods presented (dollars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4"/>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4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4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4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111,419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91,593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52,753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Japan</w:t>
            </w:r>
          </w:p>
        </w:tc>
        <w:tc>
          <w:tcPr>
            <w:tcW w:w="3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40,484</w:t>
            </w:r>
          </w:p>
        </w:tc>
        <w:tc>
          <w:tcPr>
            <w:tcW w:w="120" w:type="dxa"/>
            <w:vAlign w:val="bottom"/>
          </w:tcPr>
          <w:p>
            <w:pPr>
              <w:spacing w:after="0"/>
              <w:rPr>
                <w:sz w:val="21"/>
                <w:szCs w:val="21"/>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27,595</w:t>
            </w:r>
          </w:p>
        </w:tc>
        <w:tc>
          <w:tcPr>
            <w:tcW w:w="100" w:type="dxa"/>
            <w:vAlign w:val="bottom"/>
          </w:tcPr>
          <w:p>
            <w:pPr>
              <w:spacing w:after="0"/>
              <w:rPr>
                <w:sz w:val="21"/>
                <w:szCs w:val="21"/>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16,955</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45,785</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34,856</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25,166</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57"/>
        </w:trPr>
        <w:tc>
          <w:tcPr>
            <w:tcW w:w="45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197,688</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154,044</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94,874</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Long-lived assets information by location is presented below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12"/>
              <w:spacing w:after="0"/>
              <w:rPr>
                <w:sz w:val="20"/>
                <w:szCs w:val="20"/>
                <w:color w:val="auto"/>
              </w:rPr>
            </w:pPr>
            <w:r>
              <w:rPr>
                <w:rFonts w:ascii="Arial" w:cs="Arial" w:eastAsia="Arial" w:hAnsi="Arial"/>
                <w:sz w:val="16"/>
                <w:szCs w:val="16"/>
                <w:b w:val="1"/>
                <w:bCs w:val="1"/>
                <w:color w:val="auto"/>
                <w:w w:val="97"/>
              </w:rPr>
              <w:t>Year Ended December 31,</w:t>
            </w: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2"/>
              <w:spacing w:after="0"/>
              <w:rPr>
                <w:sz w:val="20"/>
                <w:szCs w:val="20"/>
                <w:color w:val="auto"/>
              </w:rPr>
            </w:pPr>
            <w:r>
              <w:rPr>
                <w:rFonts w:ascii="Arial" w:cs="Arial" w:eastAsia="Arial" w:hAnsi="Arial"/>
                <w:sz w:val="16"/>
                <w:szCs w:val="16"/>
                <w:b w:val="1"/>
                <w:bCs w:val="1"/>
                <w:color w:val="auto"/>
              </w:rPr>
              <w:t>2011</w:t>
            </w:r>
          </w:p>
        </w:tc>
      </w:tr>
      <w:tr>
        <w:trPr>
          <w:trHeight w:val="33"/>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Japan</w:t>
            </w: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long-lived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2,317</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Information (Unaudited)</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Summarized quarterly financial information for the years ended December 31, 2012 and 2011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3"/>
                <w:szCs w:val="13"/>
                <w:color w:val="auto"/>
              </w:rPr>
            </w:pPr>
          </w:p>
        </w:tc>
        <w:tc>
          <w:tcPr>
            <w:tcW w:w="12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3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51,557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20,511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21,980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21,815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13,687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 of patent assets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16,055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16,080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4,685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8,053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8,081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7,853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12,985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7,557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common share:</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Data:</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including current portion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105,801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105,980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104,371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2,491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64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3"/>
                <w:szCs w:val="13"/>
                <w:color w:val="auto"/>
              </w:rPr>
            </w:pPr>
          </w:p>
        </w:tc>
        <w:tc>
          <w:tcPr>
            <w:tcW w:w="12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3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42,410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13,665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14,528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16,459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22,719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12,128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12,615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13,036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12,242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12,843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6,695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7,666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4,714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7,381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Data:</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revenue, including current portion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92,763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87,574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97,535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108,275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459"/>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The Company maintains a set of disclosure controls and procedures designed to ensure that information required to be disclosed by the Company in reports that it files or submits under the Exchange Act, is recorded, processed, summarized and reported within the time periods specified in the SEC’s rules and forms and is accumulated and communicated to the Company’s management including the Chief Executive Officer and Chief Financial Officer, as appropriate to allow timely decisions regarding required disclosure. In accordance with Rule 13a-15(b) of the Exchange Act, as of the end of the period covered by this Annual Report on Form 10-K, an evaluation was carried out under the supervision and with the participation of the Company’s management, including its Chief Executive Officer and Chief Financial Officer, of the effectiveness of its disclosure controls and procedures. Based on that evaluation, the Company’s Chief Executive Officer and Chief Financial Officer concluded that the Company’s disclosure controls and procedures, as of the end of the period covered by this Annual Report on Form 10-K, were effective to provide reasonable assurance.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7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2012 based on the guidelines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Our internal control over financial reporting is a process designed to provide reasonable assurance regarding the reliability of financial reporting and the preparation of financial statements for external reporting purposes in accordance with U.S. generally accepted accounting principles.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Based on the results of our evaluation, our management concluded that our internal control over financial reporting was effective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right="520" w:firstLine="486"/>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2012 has been audited by PricewaterhouseCoopers LLP, an independent registered public accounting firm, as stated in its report which is included in Item 8 of this Annual Report on Form 10-K.</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Company’s most recent fiscal quarter that has materially affected, or is reasonably likely to materially affect, our internal control over financial reporting.</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7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81"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color w:val="auto"/>
        </w:rPr>
        <w:t>We have adopted a Code of Business Conduct that applies to all of our directors, officers and employees, including our principal executive officer and principal financial officer. The Code of Business Conduct is posted on our Web site at http://ir.rpxcorp.com/governance.cfm.</w:t>
      </w:r>
    </w:p>
    <w:p>
      <w:pPr>
        <w:spacing w:after="0" w:line="147"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We intend to satisfy the disclosure requirement under Item 5.05 of Form 8-K regarding an amendment to, or waiver from, a provision of this Code of Business Conduct by posting such information on our Web site, at the address and location specified above and, to the extent required by the listing standards of The NASDAQ Stock Market, by filing a Current Report on Form 8-K with the SEC, disclosing such information.</w:t>
      </w:r>
    </w:p>
    <w:p>
      <w:pPr>
        <w:spacing w:after="0" w:line="166"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 other information required by this item will be contained in our definitive proxy statement to be filed with the SEC in connection with our annual meeting of stockholders (the “Proxy Statement”), which we expect to file within 120 days of our fiscal year ended December 31, 2012, and is incorporated herein by reference.</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8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information regarding executive compensation required by this item will be included under the caption “Compensation of Executive Officers” in the 2013 Proxy Statement and is incorporated herein by reference.</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regarding securities authorized for issuance under equity compensation plans required by this item will be included under the caption “Equity Compensation Plan Information” in the 2013 Proxy Statement and is incorporated herein by reference. The information regarding security ownership of certain beneficial owners and management required by this item will be included under the caption “Security Ownership of Certain Beneficial Owners and Management” in the 2013 Proxy Statement and is incorporated herein by reference.</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8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The information regarding transactions with related persons required by this item is included under the caption “Review, Approval or Ratification of Transactions with Related Persons” in the 2013 Proxy Statement and will be incorporated herein by reference. The information regarding director independence required by this item is included under the caption “Corporate Governance” in the 2013 Proxy Statement and is incorporated herein by reference.</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81"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information required by this item will be incorporated under the captions “Independent Registered Public Accounting Firm's Fees” and “Pre-Approval Policies and Procedures” in the 2013 Proxy Statement and is incorporated herein by reference.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125" w:right="29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81" w:lineRule="exact"/>
        <w:rPr>
          <w:sz w:val="20"/>
          <w:szCs w:val="20"/>
          <w:color w:val="auto"/>
        </w:rPr>
      </w:pPr>
    </w:p>
    <w:p>
      <w:pPr>
        <w:ind w:left="820" w:hanging="326"/>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7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financial statements as set forth under Item 8 of this Annual Report on Form 10-K are incorporated herein by reference.</w:t>
      </w:r>
    </w:p>
    <w:p>
      <w:pPr>
        <w:spacing w:after="0" w:line="77" w:lineRule="exact"/>
        <w:rPr>
          <w:sz w:val="20"/>
          <w:szCs w:val="20"/>
          <w:color w:val="auto"/>
        </w:rPr>
      </w:pPr>
    </w:p>
    <w:p>
      <w:pPr>
        <w:ind w:left="820" w:hanging="326"/>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77" w:lineRule="exact"/>
        <w:rPr>
          <w:sz w:val="20"/>
          <w:szCs w:val="20"/>
          <w:color w:val="auto"/>
        </w:rPr>
      </w:pPr>
    </w:p>
    <w:p>
      <w:pPr>
        <w:ind w:left="820" w:right="340" w:firstLine="648"/>
        <w:spacing w:after="0" w:line="277"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is shown in the financial statements or notes thereto.</w:t>
      </w:r>
    </w:p>
    <w:p>
      <w:pPr>
        <w:spacing w:after="0" w:line="22" w:lineRule="exact"/>
        <w:rPr>
          <w:sz w:val="20"/>
          <w:szCs w:val="20"/>
          <w:color w:val="auto"/>
        </w:rPr>
      </w:pPr>
    </w:p>
    <w:p>
      <w:pPr>
        <w:ind w:left="820" w:hanging="326"/>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exhibits listed in the accompanying Exhibit Index are filed or incorporated herein by reference as part of this Annual Report on Form</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10-K.</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125" w:right="27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RPX CORPORATION</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3800"/>
        <w:spacing w:after="0"/>
        <w:tabs>
          <w:tab w:leader="none" w:pos="5220" w:val="left"/>
          <w:tab w:leader="none" w:pos="6320" w:val="left"/>
        </w:tabs>
        <w:rPr>
          <w:sz w:val="20"/>
          <w:szCs w:val="20"/>
          <w:color w:val="auto"/>
        </w:rPr>
      </w:pPr>
      <w:r>
        <w:rPr>
          <w:rFonts w:ascii="Arial" w:cs="Arial" w:eastAsia="Arial" w:hAnsi="Arial"/>
          <w:sz w:val="18"/>
          <w:szCs w:val="18"/>
          <w:color w:val="auto"/>
        </w:rPr>
        <w:t>March 8,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2931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Executive Officer</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125" w:right="4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right="140" w:firstLine="486"/>
        <w:spacing w:after="0" w:line="276"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John A. Amster and Martin E. Roberts, jointly and severally, as his true and lawful attorneys-in-fact and agents, with full power of substitution and resubstitution, for him and in his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19"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6"/>
                <w:szCs w:val="16"/>
                <w:color w:val="auto"/>
              </w:rPr>
            </w:pPr>
          </w:p>
        </w:tc>
        <w:tc>
          <w:tcPr>
            <w:tcW w:w="6180" w:type="dxa"/>
            <w:vAlign w:val="bottom"/>
            <w:tcBorders>
              <w:bottom w:val="single" w:sz="8" w:color="auto"/>
            </w:tcBorders>
          </w:tcPr>
          <w:p>
            <w:pPr>
              <w:ind w:left="296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8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Date</w:t>
            </w:r>
          </w:p>
        </w:tc>
      </w:tr>
      <w:tr>
        <w:trPr>
          <w:trHeight w:val="567"/>
        </w:trPr>
        <w:tc>
          <w:tcPr>
            <w:tcW w:w="2980" w:type="dxa"/>
            <w:vAlign w:val="bottom"/>
          </w:tcPr>
          <w:p>
            <w:pPr>
              <w:ind w:left="40"/>
              <w:spacing w:after="0"/>
              <w:rPr>
                <w:sz w:val="20"/>
                <w:szCs w:val="20"/>
                <w:color w:val="auto"/>
              </w:rPr>
            </w:pPr>
            <w:r>
              <w:rPr>
                <w:rFonts w:ascii="Arial" w:cs="Arial" w:eastAsia="Arial" w:hAnsi="Arial"/>
                <w:sz w:val="18"/>
                <w:szCs w:val="18"/>
                <w:color w:val="auto"/>
              </w:rPr>
              <w:t>/s/ JOHN A. AMSTER</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Director (Principal Executive Officer)</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8, 2013</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John A. Amster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ADAM C. SPIEGEL</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8, 2013</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Adam C. Spiegel</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GEOFFREY T. BARKER</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Executive Director</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8, 2013</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Geoffrey T. Barker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IZHAR ARMONY</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8, 2013</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Izhar Armony</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SHELBY W. BONNIE</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8, 2013</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Shelby W. Bonnie</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STEVEN L. FINGERHOOD</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8, 2013</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Steven L. Fingerhood</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RANDY KOMISAR</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8, 2013</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Randy Komisar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THOMAS O. RYDER</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8, 2013</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Thomas O. Ryder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SANFORD R. ROBERTSON</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8, 2013</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Sanford R. Robertson</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Arial" w:cs="Arial" w:eastAsia="Arial" w:hAnsi="Arial"/>
                <w:sz w:val="18"/>
                <w:szCs w:val="18"/>
                <w:color w:val="auto"/>
              </w:rPr>
              <w:t>/s/ GIUSEPPE ZOCCO</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740"/>
              <w:spacing w:after="0"/>
              <w:rPr>
                <w:sz w:val="20"/>
                <w:szCs w:val="20"/>
                <w:color w:val="auto"/>
              </w:rPr>
            </w:pPr>
            <w:r>
              <w:rPr>
                <w:rFonts w:ascii="Arial" w:cs="Arial" w:eastAsia="Arial" w:hAnsi="Arial"/>
                <w:sz w:val="18"/>
                <w:szCs w:val="18"/>
                <w:color w:val="auto"/>
                <w:w w:val="92"/>
              </w:rPr>
              <w:t>March 8, 2013</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Giuseppe Zocco</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702"/>
        </w:trPr>
        <w:tc>
          <w:tcPr>
            <w:tcW w:w="2980" w:type="dxa"/>
            <w:vAlign w:val="bottom"/>
          </w:tcPr>
          <w:p>
            <w:pPr>
              <w:spacing w:after="0"/>
              <w:rPr>
                <w:sz w:val="24"/>
                <w:szCs w:val="24"/>
                <w:color w:val="auto"/>
              </w:rPr>
            </w:pPr>
          </w:p>
        </w:tc>
        <w:tc>
          <w:tcPr>
            <w:tcW w:w="6400" w:type="dxa"/>
            <w:vAlign w:val="bottom"/>
            <w:gridSpan w:val="2"/>
          </w:tcPr>
          <w:p>
            <w:pPr>
              <w:jc w:val="right"/>
              <w:ind w:right="3492"/>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Exhibit</w:t>
            </w:r>
          </w:p>
        </w:tc>
        <w:tc>
          <w:tcPr>
            <w:tcW w:w="50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Title</w:t>
            </w:r>
          </w:p>
        </w:tc>
        <w:tc>
          <w:tcPr>
            <w:tcW w:w="120" w:type="dxa"/>
            <w:vAlign w:val="bottom"/>
            <w:vMerge w:val="restart"/>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0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Exhibit</w:t>
            </w:r>
          </w:p>
        </w:tc>
        <w:tc>
          <w:tcPr>
            <w:tcW w:w="9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Filing</w:t>
            </w:r>
          </w:p>
        </w:tc>
        <w:tc>
          <w:tcPr>
            <w:tcW w:w="1240" w:type="dxa"/>
            <w:vAlign w:val="bottom"/>
          </w:tcPr>
          <w:p>
            <w:pPr>
              <w:ind w:left="340"/>
              <w:spacing w:after="0" w:line="153" w:lineRule="exact"/>
              <w:rPr>
                <w:sz w:val="20"/>
                <w:szCs w:val="20"/>
                <w:color w:val="auto"/>
              </w:rPr>
            </w:pPr>
            <w:r>
              <w:rPr>
                <w:rFonts w:ascii="Arial" w:cs="Arial" w:eastAsia="Arial" w:hAnsi="Arial"/>
                <w:sz w:val="14"/>
                <w:szCs w:val="14"/>
                <w:b w:val="1"/>
                <w:bCs w:val="1"/>
                <w:color w:val="auto"/>
              </w:rPr>
              <w:t>Provided</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12"/>
        </w:trPr>
        <w:tc>
          <w:tcPr>
            <w:tcW w:w="1040" w:type="dxa"/>
            <w:vAlign w:val="bottom"/>
          </w:tcPr>
          <w:p>
            <w:pPr>
              <w:ind w:left="4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Amended and Restated Certificate of Incorporation of RPX Corporation</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vMerge w:val="restart"/>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Amended and Restated Bylaws of RPX Corporation</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vMerge w:val="restart"/>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2"/>
              </w:rPr>
              <w:t>3.4</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Reference is made to Exhibits 3.1 and 3.2</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Common Stock Certificate evidencing shares of common stock of the</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Registrant</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4/29/2011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9"/>
              </w:rPr>
              <w:t>Amended and Restated Investors’ Rights Agreement by and among the Registrant,</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John Amster, Geoffrey T. Barker, Eran Zur and the Investors (as defined therein),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dated as of July 15, 2009</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Waiver and Amendment No. 1 to the Amended and Restated Investors’ Rights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Agreement, the Amended and Restated Voting Agreement and the Amended and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Restated First Refusal and Co-Sale Agreement, dated as of November 12, 2010</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Indemnification Agreement between the Registrant and each officer and</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5"/>
              </w:rPr>
              <w:t>Employment Offer Letter by and between the Registrant and John Amster, dated as of</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August 9, 2008</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8"/>
              </w:rPr>
              <w:t>Employment Offer Letter by and between the Registrant and Geoffrey Barker, dated</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as of August 10, 2008</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6"/>
              </w:rPr>
              <w:t>Employment Offer Letter by and between the Registrant and Henri Linde, dated as of</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October 8, 2008</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7"/>
              </w:rPr>
              <w:t>Revised Employment Offer Letter by and between the Registrant and Adam Spiegel,</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dated as of February 10, 2010</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10.6</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7"/>
              </w:rPr>
              <w:t>Employment Offer Letter by and between the Registrant and Mallun Yen, dated as of</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October 25, 2010</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10.7</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8"/>
              </w:rPr>
              <w:t>Director Offer Letter by and between the Registrant and Shelby Bonnie, dated as of</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January 29, 2011</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10.26</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3/7/2011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6"/>
              </w:rPr>
              <w:t>Director Offer Letter by and between the Registrant and Sanford R. Robertson, dated</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as of March 2, 2011</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10.28</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2008 Stock Plan, as amended</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vMerge w:val="restart"/>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5"/>
              </w:rPr>
              <w:t>10.8</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8"/>
              </w:rPr>
              <w:t>Form of Notice of Stock Option Grant (Early Exercise) and Stock Option Agreement</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under 2008 Stock Plan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10.9</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Notice of Stock Option Grant and Stock Option Agreement under 2008</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Stock Plan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Notice of Stock Option Exercise (Early Exercise) under 2008 Stock Plan</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vMerge w:val="restart"/>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1"/>
              </w:rPr>
              <w:t>10.11</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10.13</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Notice of Stock Option Exercise under 2008 Stock Plan</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vMerge w:val="restart"/>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1"/>
              </w:rPr>
              <w:t>10.12</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10.14</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2011 Equity Incentive Plan</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vMerge w:val="restart"/>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1"/>
              </w:rPr>
              <w:t>10.25</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1"/>
              </w:rPr>
              <w:t>3/7/2011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Notice of Stock Option Grant and Stock Option Agreement under 2011</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Equity Incentive Plan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10.32</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4/29/2011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10.16</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Notice of Stock Option Grant (Non-Employee Directors) and Stock Option</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Agreement (Non-Employee Directors) under 2011 Equity Incentive Plan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10.33</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4/29/2011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Notice of Stock Unit Award and Stock Unit Agreement under 2011 Equity</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Incentive Plan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10.34</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4/29/2011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10.18</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Compensation Program for Non-Employee Directors</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vMerge w:val="restart"/>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1"/>
              </w:rPr>
              <w:t>10.27</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1"/>
              </w:rPr>
              <w:t>3/7/2011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Reference is made to Exhibit 4.3</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tcPr>
          <w:p>
            <w:pPr>
              <w:ind w:left="40"/>
              <w:spacing w:after="0"/>
              <w:rPr>
                <w:sz w:val="20"/>
                <w:szCs w:val="20"/>
                <w:color w:val="auto"/>
              </w:rPr>
            </w:pPr>
            <w:r>
              <w:rPr>
                <w:rFonts w:ascii="Arial" w:cs="Arial" w:eastAsia="Arial" w:hAnsi="Arial"/>
                <w:sz w:val="14"/>
                <w:szCs w:val="14"/>
                <w:color w:val="auto"/>
              </w:rPr>
              <w:t>10.20</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Reference is made to Exhibit 4.4</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w w:val="96"/>
              </w:rPr>
              <w:t>Common Stock Purchase Agreement by and among the Registrant and the Investors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(as defined therein), dated as of April 7, 2011</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10.29</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Form of Lock-Up Agreement, entered into by MHV Partners LLC and Sanford</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color w:val="auto"/>
              </w:rPr>
              <w:t>Robertson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10.30</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Arial" w:cs="Arial" w:eastAsia="Arial" w:hAnsi="Arial"/>
                <w:sz w:val="14"/>
                <w:szCs w:val="14"/>
                <w:color w:val="auto"/>
              </w:rPr>
              <w:t>10.23</w:t>
            </w:r>
          </w:p>
        </w:tc>
        <w:tc>
          <w:tcPr>
            <w:tcW w:w="5440" w:type="dxa"/>
            <w:vAlign w:val="bottom"/>
          </w:tcPr>
          <w:p>
            <w:pPr>
              <w:ind w:left="280"/>
              <w:spacing w:after="0"/>
              <w:rPr>
                <w:sz w:val="20"/>
                <w:szCs w:val="20"/>
                <w:color w:val="auto"/>
              </w:rPr>
            </w:pPr>
            <w:r>
              <w:rPr>
                <w:rFonts w:ascii="Arial" w:cs="Arial" w:eastAsia="Arial" w:hAnsi="Arial"/>
                <w:sz w:val="14"/>
                <w:szCs w:val="14"/>
                <w:color w:val="auto"/>
              </w:rPr>
              <w:t>Sublease by and between Registrant and Sedgwick, Detert, Moran &amp; Arnold LLP,</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5440" w:type="dxa"/>
            <w:vAlign w:val="bottom"/>
          </w:tcPr>
          <w:p>
            <w:pPr>
              <w:ind w:left="280"/>
              <w:spacing w:after="0"/>
              <w:rPr>
                <w:sz w:val="20"/>
                <w:szCs w:val="20"/>
                <w:color w:val="auto"/>
              </w:rPr>
            </w:pPr>
            <w:r>
              <w:rPr>
                <w:rFonts w:ascii="Arial" w:cs="Arial" w:eastAsia="Arial" w:hAnsi="Arial"/>
                <w:sz w:val="14"/>
                <w:szCs w:val="14"/>
                <w:color w:val="auto"/>
              </w:rPr>
              <w:t>dated as of September 29, 2009</w:t>
            </w:r>
          </w:p>
        </w:tc>
        <w:tc>
          <w:tcPr>
            <w:tcW w:w="700" w:type="dxa"/>
            <w:vAlign w:val="bottom"/>
          </w:tcPr>
          <w:p>
            <w:pPr>
              <w:jc w:val="center"/>
              <w:spacing w:after="0"/>
              <w:rPr>
                <w:sz w:val="20"/>
                <w:szCs w:val="20"/>
                <w:color w:val="auto"/>
              </w:rPr>
            </w:pPr>
            <w:r>
              <w:rPr>
                <w:rFonts w:ascii="Arial" w:cs="Arial" w:eastAsia="Arial" w:hAnsi="Arial"/>
                <w:sz w:val="14"/>
                <w:szCs w:val="14"/>
                <w:color w:val="auto"/>
                <w:w w:val="91"/>
              </w:rPr>
              <w:t>S-1</w:t>
            </w:r>
          </w:p>
        </w:tc>
        <w:tc>
          <w:tcPr>
            <w:tcW w:w="1220" w:type="dxa"/>
            <w:vAlign w:val="bottom"/>
          </w:tcPr>
          <w:p>
            <w:pPr>
              <w:ind w:left="200"/>
              <w:spacing w:after="0"/>
              <w:rPr>
                <w:sz w:val="20"/>
                <w:szCs w:val="20"/>
                <w:color w:val="auto"/>
              </w:rPr>
            </w:pPr>
            <w:r>
              <w:rPr>
                <w:rFonts w:ascii="Arial" w:cs="Arial" w:eastAsia="Arial" w:hAnsi="Arial"/>
                <w:sz w:val="14"/>
                <w:szCs w:val="14"/>
                <w:color w:val="auto"/>
              </w:rPr>
              <w:t>333-171817</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w w:val="91"/>
              </w:rPr>
              <w:t>10.23</w:t>
            </w:r>
          </w:p>
        </w:tc>
        <w:tc>
          <w:tcPr>
            <w:tcW w:w="1700" w:type="dxa"/>
            <w:vAlign w:val="bottom"/>
          </w:tcPr>
          <w:p>
            <w:pPr>
              <w:ind w:left="220"/>
              <w:spacing w:after="0"/>
              <w:rPr>
                <w:sz w:val="20"/>
                <w:szCs w:val="20"/>
                <w:color w:val="auto"/>
              </w:rPr>
            </w:pPr>
            <w:r>
              <w:rPr>
                <w:rFonts w:ascii="Arial" w:cs="Arial" w:eastAsia="Arial" w:hAnsi="Arial"/>
                <w:sz w:val="14"/>
                <w:szCs w:val="14"/>
                <w:color w:val="auto"/>
              </w:rPr>
              <w:t>1/21/2011</w:t>
            </w:r>
          </w:p>
        </w:tc>
        <w:tc>
          <w:tcPr>
            <w:tcW w:w="0" w:type="dxa"/>
            <w:vAlign w:val="bottom"/>
          </w:tcPr>
          <w:p>
            <w:pPr>
              <w:spacing w:after="0"/>
              <w:rPr>
                <w:sz w:val="1"/>
                <w:szCs w:val="1"/>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10.24</w:t>
            </w:r>
          </w:p>
        </w:tc>
        <w:tc>
          <w:tcPr>
            <w:tcW w:w="5440" w:type="dxa"/>
            <w:vAlign w:val="bottom"/>
          </w:tcPr>
          <w:p>
            <w:pPr>
              <w:ind w:left="280"/>
              <w:spacing w:after="0"/>
              <w:rPr>
                <w:sz w:val="20"/>
                <w:szCs w:val="20"/>
                <w:color w:val="auto"/>
              </w:rPr>
            </w:pPr>
            <w:r>
              <w:rPr>
                <w:rFonts w:ascii="Arial" w:cs="Arial" w:eastAsia="Arial" w:hAnsi="Arial"/>
                <w:sz w:val="14"/>
                <w:szCs w:val="14"/>
                <w:color w:val="auto"/>
                <w:w w:val="98"/>
              </w:rPr>
              <w:t>Office Lease Agreement between Registrant and PPF Paramount One Market Plaza</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5440" w:type="dxa"/>
            <w:vAlign w:val="bottom"/>
          </w:tcPr>
          <w:p>
            <w:pPr>
              <w:ind w:left="280"/>
              <w:spacing w:after="0"/>
              <w:rPr>
                <w:sz w:val="20"/>
                <w:szCs w:val="20"/>
                <w:color w:val="auto"/>
              </w:rPr>
            </w:pPr>
            <w:r>
              <w:rPr>
                <w:rFonts w:ascii="Arial" w:cs="Arial" w:eastAsia="Arial" w:hAnsi="Arial"/>
                <w:sz w:val="14"/>
                <w:szCs w:val="14"/>
                <w:color w:val="auto"/>
              </w:rPr>
              <w:t>Owner, L.P., dated as of July 28, 2010</w:t>
            </w:r>
          </w:p>
        </w:tc>
        <w:tc>
          <w:tcPr>
            <w:tcW w:w="700" w:type="dxa"/>
            <w:vAlign w:val="bottom"/>
          </w:tcPr>
          <w:p>
            <w:pPr>
              <w:jc w:val="center"/>
              <w:spacing w:after="0"/>
              <w:rPr>
                <w:sz w:val="20"/>
                <w:szCs w:val="20"/>
                <w:color w:val="auto"/>
              </w:rPr>
            </w:pPr>
            <w:r>
              <w:rPr>
                <w:rFonts w:ascii="Arial" w:cs="Arial" w:eastAsia="Arial" w:hAnsi="Arial"/>
                <w:sz w:val="14"/>
                <w:szCs w:val="14"/>
                <w:color w:val="auto"/>
                <w:w w:val="91"/>
              </w:rPr>
              <w:t>S-1</w:t>
            </w:r>
          </w:p>
        </w:tc>
        <w:tc>
          <w:tcPr>
            <w:tcW w:w="1220" w:type="dxa"/>
            <w:vAlign w:val="bottom"/>
          </w:tcPr>
          <w:p>
            <w:pPr>
              <w:ind w:left="200"/>
              <w:spacing w:after="0"/>
              <w:rPr>
                <w:sz w:val="20"/>
                <w:szCs w:val="20"/>
                <w:color w:val="auto"/>
              </w:rPr>
            </w:pPr>
            <w:r>
              <w:rPr>
                <w:rFonts w:ascii="Arial" w:cs="Arial" w:eastAsia="Arial" w:hAnsi="Arial"/>
                <w:sz w:val="14"/>
                <w:szCs w:val="14"/>
                <w:color w:val="auto"/>
              </w:rPr>
              <w:t>333-171817</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w w:val="91"/>
              </w:rPr>
              <w:t>10.24</w:t>
            </w:r>
          </w:p>
        </w:tc>
        <w:tc>
          <w:tcPr>
            <w:tcW w:w="1700" w:type="dxa"/>
            <w:vAlign w:val="bottom"/>
          </w:tcPr>
          <w:p>
            <w:pPr>
              <w:ind w:left="220"/>
              <w:spacing w:after="0"/>
              <w:rPr>
                <w:sz w:val="20"/>
                <w:szCs w:val="20"/>
                <w:color w:val="auto"/>
              </w:rPr>
            </w:pPr>
            <w:r>
              <w:rPr>
                <w:rFonts w:ascii="Arial" w:cs="Arial" w:eastAsia="Arial" w:hAnsi="Arial"/>
                <w:sz w:val="14"/>
                <w:szCs w:val="14"/>
                <w:color w:val="auto"/>
              </w:rPr>
              <w:t>1/21/2011</w:t>
            </w:r>
          </w:p>
        </w:tc>
        <w:tc>
          <w:tcPr>
            <w:tcW w:w="0" w:type="dxa"/>
            <w:vAlign w:val="bottom"/>
          </w:tcPr>
          <w:p>
            <w:pPr>
              <w:spacing w:after="0"/>
              <w:rPr>
                <w:sz w:val="1"/>
                <w:szCs w:val="1"/>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10.25</w:t>
            </w:r>
          </w:p>
        </w:tc>
        <w:tc>
          <w:tcPr>
            <w:tcW w:w="5440" w:type="dxa"/>
            <w:vAlign w:val="bottom"/>
          </w:tcPr>
          <w:p>
            <w:pPr>
              <w:ind w:left="280"/>
              <w:spacing w:after="0"/>
              <w:rPr>
                <w:sz w:val="20"/>
                <w:szCs w:val="20"/>
                <w:color w:val="auto"/>
              </w:rPr>
            </w:pPr>
            <w:r>
              <w:rPr>
                <w:rFonts w:ascii="Arial" w:cs="Arial" w:eastAsia="Arial" w:hAnsi="Arial"/>
                <w:sz w:val="14"/>
                <w:szCs w:val="14"/>
                <w:color w:val="auto"/>
                <w:w w:val="98"/>
              </w:rPr>
              <w:t>Office Lease Agreement between Registrant and PPF Paramount One Market Plaza</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5440" w:type="dxa"/>
            <w:vAlign w:val="bottom"/>
          </w:tcPr>
          <w:p>
            <w:pPr>
              <w:ind w:left="280"/>
              <w:spacing w:after="0"/>
              <w:rPr>
                <w:sz w:val="20"/>
                <w:szCs w:val="20"/>
                <w:color w:val="auto"/>
              </w:rPr>
            </w:pPr>
            <w:r>
              <w:rPr>
                <w:rFonts w:ascii="Arial" w:cs="Arial" w:eastAsia="Arial" w:hAnsi="Arial"/>
                <w:sz w:val="14"/>
                <w:szCs w:val="14"/>
                <w:color w:val="auto"/>
              </w:rPr>
              <w:t>Owner, L.P., dated as of March 9, 2012</w:t>
            </w:r>
          </w:p>
        </w:tc>
        <w:tc>
          <w:tcPr>
            <w:tcW w:w="700" w:type="dxa"/>
            <w:vAlign w:val="bottom"/>
          </w:tcPr>
          <w:p>
            <w:pPr>
              <w:jc w:val="center"/>
              <w:spacing w:after="0"/>
              <w:rPr>
                <w:sz w:val="20"/>
                <w:szCs w:val="20"/>
                <w:color w:val="auto"/>
              </w:rPr>
            </w:pPr>
            <w:r>
              <w:rPr>
                <w:rFonts w:ascii="Arial" w:cs="Arial" w:eastAsia="Arial" w:hAnsi="Arial"/>
                <w:sz w:val="14"/>
                <w:szCs w:val="14"/>
                <w:color w:val="auto"/>
                <w:w w:val="94"/>
              </w:rPr>
              <w:t>10-K</w:t>
            </w:r>
          </w:p>
        </w:tc>
        <w:tc>
          <w:tcPr>
            <w:tcW w:w="1220" w:type="dxa"/>
            <w:vAlign w:val="bottom"/>
          </w:tcPr>
          <w:p>
            <w:pPr>
              <w:ind w:left="200"/>
              <w:spacing w:after="0"/>
              <w:rPr>
                <w:sz w:val="20"/>
                <w:szCs w:val="20"/>
                <w:color w:val="auto"/>
              </w:rPr>
            </w:pPr>
            <w:r>
              <w:rPr>
                <w:rFonts w:ascii="Arial" w:cs="Arial" w:eastAsia="Arial" w:hAnsi="Arial"/>
                <w:sz w:val="14"/>
                <w:szCs w:val="14"/>
                <w:color w:val="auto"/>
              </w:rPr>
              <w:t>001-35146</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w w:val="91"/>
              </w:rPr>
              <w:t>10.31</w:t>
            </w:r>
          </w:p>
        </w:tc>
        <w:tc>
          <w:tcPr>
            <w:tcW w:w="1700" w:type="dxa"/>
            <w:vAlign w:val="bottom"/>
          </w:tcPr>
          <w:p>
            <w:pPr>
              <w:ind w:left="220"/>
              <w:spacing w:after="0"/>
              <w:rPr>
                <w:sz w:val="20"/>
                <w:szCs w:val="20"/>
                <w:color w:val="auto"/>
              </w:rPr>
            </w:pPr>
            <w:r>
              <w:rPr>
                <w:rFonts w:ascii="Arial" w:cs="Arial" w:eastAsia="Arial" w:hAnsi="Arial"/>
                <w:sz w:val="14"/>
                <w:szCs w:val="14"/>
                <w:color w:val="auto"/>
              </w:rPr>
              <w:t>3/26/2012</w:t>
            </w:r>
          </w:p>
        </w:tc>
        <w:tc>
          <w:tcPr>
            <w:tcW w:w="0" w:type="dxa"/>
            <w:vAlign w:val="bottom"/>
          </w:tcPr>
          <w:p>
            <w:pPr>
              <w:spacing w:after="0"/>
              <w:rPr>
                <w:sz w:val="1"/>
                <w:szCs w:val="1"/>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10.26</w:t>
            </w:r>
          </w:p>
        </w:tc>
        <w:tc>
          <w:tcPr>
            <w:tcW w:w="5440" w:type="dxa"/>
            <w:vAlign w:val="bottom"/>
          </w:tcPr>
          <w:p>
            <w:pPr>
              <w:ind w:left="280"/>
              <w:spacing w:after="0"/>
              <w:rPr>
                <w:sz w:val="20"/>
                <w:szCs w:val="20"/>
                <w:color w:val="auto"/>
              </w:rPr>
            </w:pPr>
            <w:r>
              <w:rPr>
                <w:rFonts w:ascii="Arial" w:cs="Arial" w:eastAsia="Arial" w:hAnsi="Arial"/>
                <w:sz w:val="14"/>
                <w:szCs w:val="14"/>
                <w:color w:val="auto"/>
                <w:w w:val="98"/>
              </w:rPr>
              <w:t>Employment Offer Letter by and Between the Registrant and Ned Segal, dated as of</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5440" w:type="dxa"/>
            <w:vAlign w:val="bottom"/>
          </w:tcPr>
          <w:p>
            <w:pPr>
              <w:ind w:left="280"/>
              <w:spacing w:after="0"/>
              <w:rPr>
                <w:sz w:val="20"/>
                <w:szCs w:val="20"/>
                <w:color w:val="auto"/>
              </w:rPr>
            </w:pPr>
            <w:r>
              <w:rPr>
                <w:rFonts w:ascii="Arial" w:cs="Arial" w:eastAsia="Arial" w:hAnsi="Arial"/>
                <w:sz w:val="14"/>
                <w:szCs w:val="14"/>
                <w:color w:val="auto"/>
              </w:rPr>
              <w:t>February 7, 2013</w:t>
            </w:r>
          </w:p>
        </w:tc>
        <w:tc>
          <w:tcPr>
            <w:tcW w:w="70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ind w:left="200"/>
              <w:spacing w:after="0"/>
              <w:rPr>
                <w:sz w:val="20"/>
                <w:szCs w:val="20"/>
                <w:color w:val="auto"/>
              </w:rPr>
            </w:pPr>
            <w:r>
              <w:rPr>
                <w:rFonts w:ascii="Arial" w:cs="Arial" w:eastAsia="Arial" w:hAnsi="Arial"/>
                <w:sz w:val="14"/>
                <w:szCs w:val="14"/>
                <w:color w:val="auto"/>
              </w:rPr>
              <w:t>001-35146</w:t>
            </w:r>
          </w:p>
        </w:tc>
        <w:tc>
          <w:tcPr>
            <w:tcW w:w="880" w:type="dxa"/>
            <w:vAlign w:val="bottom"/>
          </w:tcPr>
          <w:p>
            <w:pPr>
              <w:jc w:val="center"/>
              <w:ind w:left="28"/>
              <w:spacing w:after="0"/>
              <w:rPr>
                <w:sz w:val="20"/>
                <w:szCs w:val="20"/>
                <w:color w:val="auto"/>
              </w:rPr>
            </w:pPr>
            <w:r>
              <w:rPr>
                <w:rFonts w:ascii="Arial" w:cs="Arial" w:eastAsia="Arial" w:hAnsi="Arial"/>
                <w:sz w:val="14"/>
                <w:szCs w:val="14"/>
                <w:color w:val="auto"/>
                <w:w w:val="95"/>
              </w:rPr>
              <w:t>10.1</w:t>
            </w:r>
          </w:p>
        </w:tc>
        <w:tc>
          <w:tcPr>
            <w:tcW w:w="1700" w:type="dxa"/>
            <w:vAlign w:val="bottom"/>
          </w:tcPr>
          <w:p>
            <w:pPr>
              <w:ind w:left="220"/>
              <w:spacing w:after="0"/>
              <w:rPr>
                <w:sz w:val="20"/>
                <w:szCs w:val="20"/>
                <w:color w:val="auto"/>
              </w:rPr>
            </w:pPr>
            <w:r>
              <w:rPr>
                <w:rFonts w:ascii="Arial" w:cs="Arial" w:eastAsia="Arial" w:hAnsi="Arial"/>
                <w:sz w:val="14"/>
                <w:szCs w:val="14"/>
                <w:color w:val="auto"/>
              </w:rPr>
              <w:t>2/12/2013</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4"/>
                <w:szCs w:val="14"/>
                <w:color w:val="auto"/>
              </w:rPr>
              <w:t>21.1</w:t>
            </w:r>
          </w:p>
        </w:tc>
        <w:tc>
          <w:tcPr>
            <w:tcW w:w="5440" w:type="dxa"/>
            <w:vAlign w:val="bottom"/>
          </w:tcPr>
          <w:p>
            <w:pPr>
              <w:ind w:left="280"/>
              <w:spacing w:after="0"/>
              <w:rPr>
                <w:sz w:val="20"/>
                <w:szCs w:val="20"/>
                <w:color w:val="auto"/>
              </w:rPr>
            </w:pPr>
            <w:r>
              <w:rPr>
                <w:rFonts w:ascii="Arial" w:cs="Arial" w:eastAsia="Arial" w:hAnsi="Arial"/>
                <w:sz w:val="14"/>
                <w:szCs w:val="14"/>
                <w:color w:val="auto"/>
              </w:rPr>
              <w:t>List of subsidiaries of the Registrant</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91"/>
              </w:rPr>
              <w:t>S-1</w:t>
            </w:r>
          </w:p>
        </w:tc>
        <w:tc>
          <w:tcPr>
            <w:tcW w:w="1220" w:type="dxa"/>
            <w:vAlign w:val="bottom"/>
            <w:vMerge w:val="restart"/>
          </w:tcPr>
          <w:p>
            <w:pPr>
              <w:ind w:left="200"/>
              <w:spacing w:after="0"/>
              <w:rPr>
                <w:sz w:val="20"/>
                <w:szCs w:val="20"/>
                <w:color w:val="auto"/>
              </w:rPr>
            </w:pPr>
            <w:r>
              <w:rPr>
                <w:rFonts w:ascii="Arial" w:cs="Arial" w:eastAsia="Arial" w:hAnsi="Arial"/>
                <w:sz w:val="14"/>
                <w:szCs w:val="14"/>
                <w:color w:val="auto"/>
              </w:rPr>
              <w:t>333-171817</w:t>
            </w:r>
          </w:p>
        </w:tc>
        <w:tc>
          <w:tcPr>
            <w:tcW w:w="88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10.23</w:t>
            </w:r>
          </w:p>
        </w:tc>
        <w:tc>
          <w:tcPr>
            <w:tcW w:w="1700" w:type="dxa"/>
            <w:vAlign w:val="bottom"/>
            <w:vMerge w:val="restart"/>
          </w:tcPr>
          <w:p>
            <w:pPr>
              <w:ind w:left="220"/>
              <w:spacing w:after="0"/>
              <w:rPr>
                <w:sz w:val="20"/>
                <w:szCs w:val="20"/>
                <w:color w:val="auto"/>
              </w:rPr>
            </w:pPr>
            <w:r>
              <w:rPr>
                <w:rFonts w:ascii="Arial" w:cs="Arial" w:eastAsia="Arial" w:hAnsi="Arial"/>
                <w:sz w:val="14"/>
                <w:szCs w:val="14"/>
                <w:color w:val="auto"/>
              </w:rPr>
              <w:t>1/21/2011</w:t>
            </w: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54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23.1</w:t>
            </w:r>
          </w:p>
        </w:tc>
        <w:tc>
          <w:tcPr>
            <w:tcW w:w="5440" w:type="dxa"/>
            <w:vAlign w:val="bottom"/>
          </w:tcPr>
          <w:p>
            <w:pPr>
              <w:ind w:left="280"/>
              <w:spacing w:after="0"/>
              <w:rPr>
                <w:sz w:val="20"/>
                <w:szCs w:val="20"/>
                <w:color w:val="auto"/>
              </w:rPr>
            </w:pPr>
            <w:r>
              <w:rPr>
                <w:rFonts w:ascii="Arial" w:cs="Arial" w:eastAsia="Arial" w:hAnsi="Arial"/>
                <w:sz w:val="14"/>
                <w:szCs w:val="14"/>
                <w:color w:val="auto"/>
                <w:w w:val="96"/>
              </w:rPr>
              <w:t>Consent of PricewaterhouseCoopers LLP, Independent Registered Public Accounting</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5440" w:type="dxa"/>
            <w:vAlign w:val="bottom"/>
          </w:tcPr>
          <w:p>
            <w:pPr>
              <w:ind w:left="280"/>
              <w:spacing w:after="0"/>
              <w:rPr>
                <w:sz w:val="20"/>
                <w:szCs w:val="20"/>
                <w:color w:val="auto"/>
              </w:rPr>
            </w:pPr>
            <w:r>
              <w:rPr>
                <w:rFonts w:ascii="Arial" w:cs="Arial" w:eastAsia="Arial" w:hAnsi="Arial"/>
                <w:sz w:val="14"/>
                <w:szCs w:val="14"/>
                <w:color w:val="auto"/>
              </w:rPr>
              <w:t>Firm</w:t>
            </w: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4"/>
                <w:szCs w:val="14"/>
                <w:color w:val="auto"/>
              </w:rPr>
              <w:t>24.1</w:t>
            </w:r>
          </w:p>
        </w:tc>
        <w:tc>
          <w:tcPr>
            <w:tcW w:w="5440" w:type="dxa"/>
            <w:vAlign w:val="bottom"/>
          </w:tcPr>
          <w:p>
            <w:pPr>
              <w:ind w:left="280"/>
              <w:spacing w:after="0"/>
              <w:rPr>
                <w:sz w:val="20"/>
                <w:szCs w:val="20"/>
                <w:color w:val="auto"/>
              </w:rPr>
            </w:pPr>
            <w:r>
              <w:rPr>
                <w:rFonts w:ascii="Arial" w:cs="Arial" w:eastAsia="Arial" w:hAnsi="Arial"/>
                <w:sz w:val="14"/>
                <w:szCs w:val="14"/>
                <w:color w:val="auto"/>
              </w:rPr>
              <w:t>Power of Attorney (Included in Signature Page)</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58"/>
        </w:trPr>
        <w:tc>
          <w:tcPr>
            <w:tcW w:w="880" w:type="dxa"/>
            <w:vAlign w:val="bottom"/>
          </w:tcPr>
          <w:p>
            <w:pPr>
              <w:spacing w:after="0"/>
              <w:rPr>
                <w:sz w:val="20"/>
                <w:szCs w:val="20"/>
                <w:color w:val="auto"/>
              </w:rPr>
            </w:pPr>
            <w:r>
              <w:rPr>
                <w:rFonts w:ascii="Arial" w:cs="Arial" w:eastAsia="Arial" w:hAnsi="Arial"/>
                <w:sz w:val="14"/>
                <w:szCs w:val="14"/>
                <w:color w:val="auto"/>
              </w:rPr>
              <w:t>31.1</w:t>
            </w:r>
          </w:p>
        </w:tc>
        <w:tc>
          <w:tcPr>
            <w:tcW w:w="5440" w:type="dxa"/>
            <w:vAlign w:val="bottom"/>
          </w:tcPr>
          <w:p>
            <w:pPr>
              <w:ind w:left="280"/>
              <w:spacing w:after="0"/>
              <w:rPr>
                <w:sz w:val="20"/>
                <w:szCs w:val="20"/>
                <w:color w:val="auto"/>
              </w:rPr>
            </w:pPr>
            <w:r>
              <w:rPr>
                <w:rFonts w:ascii="Arial" w:cs="Arial" w:eastAsia="Arial" w:hAnsi="Arial"/>
                <w:sz w:val="14"/>
                <w:szCs w:val="14"/>
                <w:color w:val="auto"/>
              </w:rPr>
              <w:t>Certification of Chief Executive Officer Pursuant to Rule 13-14(a) of the Securities</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440" w:type="dxa"/>
            <w:vAlign w:val="bottom"/>
          </w:tcPr>
          <w:p>
            <w:pPr>
              <w:ind w:left="280"/>
              <w:spacing w:after="0" w:line="149" w:lineRule="exact"/>
              <w:rPr>
                <w:sz w:val="20"/>
                <w:szCs w:val="20"/>
                <w:color w:val="auto"/>
              </w:rPr>
            </w:pPr>
            <w:r>
              <w:rPr>
                <w:rFonts w:ascii="Arial" w:cs="Arial" w:eastAsia="Arial" w:hAnsi="Arial"/>
                <w:sz w:val="14"/>
                <w:szCs w:val="14"/>
                <w:color w:val="auto"/>
                <w:w w:val="96"/>
              </w:rPr>
              <w:t>Exchange Act of 1934 as Adopted Pursuant to Section 302 of the Sarbanes-Oxley Act</w:t>
            </w: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5440" w:type="dxa"/>
            <w:vAlign w:val="bottom"/>
          </w:tcPr>
          <w:p>
            <w:pPr>
              <w:ind w:left="280"/>
              <w:spacing w:after="0"/>
              <w:rPr>
                <w:sz w:val="20"/>
                <w:szCs w:val="20"/>
                <w:color w:val="auto"/>
              </w:rPr>
            </w:pPr>
            <w:r>
              <w:rPr>
                <w:rFonts w:ascii="Arial" w:cs="Arial" w:eastAsia="Arial" w:hAnsi="Arial"/>
                <w:sz w:val="14"/>
                <w:szCs w:val="14"/>
                <w:color w:val="auto"/>
              </w:rPr>
              <w:t>of 2002.</w:t>
            </w: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31.2</w:t>
            </w:r>
          </w:p>
        </w:tc>
        <w:tc>
          <w:tcPr>
            <w:tcW w:w="5440" w:type="dxa"/>
            <w:vAlign w:val="bottom"/>
          </w:tcPr>
          <w:p>
            <w:pPr>
              <w:ind w:left="280"/>
              <w:spacing w:after="0"/>
              <w:rPr>
                <w:sz w:val="20"/>
                <w:szCs w:val="20"/>
                <w:color w:val="auto"/>
              </w:rPr>
            </w:pPr>
            <w:r>
              <w:rPr>
                <w:rFonts w:ascii="Arial" w:cs="Arial" w:eastAsia="Arial" w:hAnsi="Arial"/>
                <w:sz w:val="14"/>
                <w:szCs w:val="14"/>
                <w:color w:val="auto"/>
              </w:rPr>
              <w:t>Certification of Chief Financial Officer Pursuant to Rule 13-14(a) of the Securities</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440" w:type="dxa"/>
            <w:vAlign w:val="bottom"/>
          </w:tcPr>
          <w:p>
            <w:pPr>
              <w:ind w:left="280"/>
              <w:spacing w:after="0" w:line="149" w:lineRule="exact"/>
              <w:rPr>
                <w:sz w:val="20"/>
                <w:szCs w:val="20"/>
                <w:color w:val="auto"/>
              </w:rPr>
            </w:pPr>
            <w:r>
              <w:rPr>
                <w:rFonts w:ascii="Arial" w:cs="Arial" w:eastAsia="Arial" w:hAnsi="Arial"/>
                <w:sz w:val="14"/>
                <w:szCs w:val="14"/>
                <w:color w:val="auto"/>
                <w:w w:val="96"/>
              </w:rPr>
              <w:t>Exchange Act of 1934 as Adopted Pursuant to Section 302 of the Sarbanes-Oxley Act</w:t>
            </w: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5440" w:type="dxa"/>
            <w:vAlign w:val="bottom"/>
          </w:tcPr>
          <w:p>
            <w:pPr>
              <w:ind w:left="280"/>
              <w:spacing w:after="0"/>
              <w:rPr>
                <w:sz w:val="20"/>
                <w:szCs w:val="20"/>
                <w:color w:val="auto"/>
              </w:rPr>
            </w:pPr>
            <w:r>
              <w:rPr>
                <w:rFonts w:ascii="Arial" w:cs="Arial" w:eastAsia="Arial" w:hAnsi="Arial"/>
                <w:sz w:val="14"/>
                <w:szCs w:val="14"/>
                <w:color w:val="auto"/>
              </w:rPr>
              <w:t>of 2002.</w:t>
            </w: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32.1</w:t>
            </w:r>
          </w:p>
        </w:tc>
        <w:tc>
          <w:tcPr>
            <w:tcW w:w="5440" w:type="dxa"/>
            <w:vAlign w:val="bottom"/>
          </w:tcPr>
          <w:p>
            <w:pPr>
              <w:ind w:left="280"/>
              <w:spacing w:after="0"/>
              <w:rPr>
                <w:sz w:val="20"/>
                <w:szCs w:val="20"/>
                <w:color w:val="auto"/>
              </w:rPr>
            </w:pPr>
            <w:r>
              <w:rPr>
                <w:rFonts w:ascii="Arial" w:cs="Arial" w:eastAsia="Arial" w:hAnsi="Arial"/>
                <w:sz w:val="14"/>
                <w:szCs w:val="14"/>
                <w:color w:val="auto"/>
              </w:rPr>
              <w:t>Certification of Chief Executive Officer Pursuant to 18 U.S.C. Section 1350, as</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5440" w:type="dxa"/>
            <w:vAlign w:val="bottom"/>
          </w:tcPr>
          <w:p>
            <w:pPr>
              <w:ind w:left="280"/>
              <w:spacing w:after="0"/>
              <w:rPr>
                <w:sz w:val="20"/>
                <w:szCs w:val="20"/>
                <w:color w:val="auto"/>
              </w:rPr>
            </w:pPr>
            <w:r>
              <w:rPr>
                <w:rFonts w:ascii="Arial" w:cs="Arial" w:eastAsia="Arial" w:hAnsi="Arial"/>
                <w:sz w:val="14"/>
                <w:szCs w:val="14"/>
                <w:color w:val="auto"/>
              </w:rPr>
              <w:t>Adopted Pursuant to Section 906 of the Sarbanes-Oxley Act of 2002.</w:t>
            </w: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32.2</w:t>
            </w:r>
          </w:p>
        </w:tc>
        <w:tc>
          <w:tcPr>
            <w:tcW w:w="5440" w:type="dxa"/>
            <w:vAlign w:val="bottom"/>
          </w:tcPr>
          <w:p>
            <w:pPr>
              <w:ind w:left="280"/>
              <w:spacing w:after="0"/>
              <w:rPr>
                <w:sz w:val="20"/>
                <w:szCs w:val="20"/>
                <w:color w:val="auto"/>
              </w:rPr>
            </w:pPr>
            <w:r>
              <w:rPr>
                <w:rFonts w:ascii="Arial" w:cs="Arial" w:eastAsia="Arial" w:hAnsi="Arial"/>
                <w:sz w:val="14"/>
                <w:szCs w:val="14"/>
                <w:color w:val="auto"/>
              </w:rPr>
              <w:t>Certification of Chief Financial Officer Pursuant to 18 U.S.C. Section 1350, as</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5440" w:type="dxa"/>
            <w:vAlign w:val="bottom"/>
          </w:tcPr>
          <w:p>
            <w:pPr>
              <w:ind w:left="280"/>
              <w:spacing w:after="0"/>
              <w:rPr>
                <w:sz w:val="20"/>
                <w:szCs w:val="20"/>
                <w:color w:val="auto"/>
              </w:rPr>
            </w:pPr>
            <w:r>
              <w:rPr>
                <w:rFonts w:ascii="Arial" w:cs="Arial" w:eastAsia="Arial" w:hAnsi="Arial"/>
                <w:sz w:val="14"/>
                <w:szCs w:val="14"/>
                <w:color w:val="auto"/>
              </w:rPr>
              <w:t>Adopted Pursuant to Section 906 of the Sarbanes-Oxley Act of 2002.</w:t>
            </w: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4"/>
                <w:szCs w:val="14"/>
                <w:color w:val="auto"/>
              </w:rPr>
              <w:t>101.INS+</w:t>
            </w:r>
          </w:p>
        </w:tc>
        <w:tc>
          <w:tcPr>
            <w:tcW w:w="5440" w:type="dxa"/>
            <w:vAlign w:val="bottom"/>
          </w:tcPr>
          <w:p>
            <w:pPr>
              <w:ind w:left="280"/>
              <w:spacing w:after="0"/>
              <w:rPr>
                <w:sz w:val="20"/>
                <w:szCs w:val="20"/>
                <w:color w:val="auto"/>
              </w:rPr>
            </w:pPr>
            <w:r>
              <w:rPr>
                <w:rFonts w:ascii="Arial" w:cs="Arial" w:eastAsia="Arial" w:hAnsi="Arial"/>
                <w:sz w:val="14"/>
                <w:szCs w:val="14"/>
                <w:color w:val="auto"/>
              </w:rPr>
              <w:t>XBRL Instance Document</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92"/>
        </w:trPr>
        <w:tc>
          <w:tcPr>
            <w:tcW w:w="880" w:type="dxa"/>
            <w:vAlign w:val="bottom"/>
          </w:tcPr>
          <w:p>
            <w:pPr>
              <w:spacing w:after="0"/>
              <w:rPr>
                <w:sz w:val="20"/>
                <w:szCs w:val="20"/>
                <w:color w:val="auto"/>
              </w:rPr>
            </w:pPr>
            <w:r>
              <w:rPr>
                <w:rFonts w:ascii="Arial" w:cs="Arial" w:eastAsia="Arial" w:hAnsi="Arial"/>
                <w:sz w:val="14"/>
                <w:szCs w:val="14"/>
                <w:color w:val="auto"/>
              </w:rPr>
              <w:t>101.SCH+</w:t>
            </w:r>
          </w:p>
        </w:tc>
        <w:tc>
          <w:tcPr>
            <w:tcW w:w="5440" w:type="dxa"/>
            <w:vAlign w:val="bottom"/>
          </w:tcPr>
          <w:p>
            <w:pPr>
              <w:ind w:left="280"/>
              <w:spacing w:after="0"/>
              <w:rPr>
                <w:sz w:val="20"/>
                <w:szCs w:val="20"/>
                <w:color w:val="auto"/>
              </w:rPr>
            </w:pPr>
            <w:r>
              <w:rPr>
                <w:rFonts w:ascii="Arial" w:cs="Arial" w:eastAsia="Arial" w:hAnsi="Arial"/>
                <w:sz w:val="14"/>
                <w:szCs w:val="14"/>
                <w:color w:val="auto"/>
              </w:rPr>
              <w:t>XBRL Taxonomy Extension Schema Document</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92"/>
        </w:trPr>
        <w:tc>
          <w:tcPr>
            <w:tcW w:w="880" w:type="dxa"/>
            <w:vAlign w:val="bottom"/>
          </w:tcPr>
          <w:p>
            <w:pPr>
              <w:spacing w:after="0"/>
              <w:rPr>
                <w:sz w:val="20"/>
                <w:szCs w:val="20"/>
                <w:color w:val="auto"/>
              </w:rPr>
            </w:pPr>
            <w:r>
              <w:rPr>
                <w:rFonts w:ascii="Arial" w:cs="Arial" w:eastAsia="Arial" w:hAnsi="Arial"/>
                <w:sz w:val="14"/>
                <w:szCs w:val="14"/>
                <w:color w:val="auto"/>
              </w:rPr>
              <w:t>101.CAL+</w:t>
            </w:r>
          </w:p>
        </w:tc>
        <w:tc>
          <w:tcPr>
            <w:tcW w:w="5440" w:type="dxa"/>
            <w:vAlign w:val="bottom"/>
          </w:tcPr>
          <w:p>
            <w:pPr>
              <w:ind w:left="300"/>
              <w:spacing w:after="0"/>
              <w:rPr>
                <w:sz w:val="20"/>
                <w:szCs w:val="20"/>
                <w:color w:val="auto"/>
              </w:rPr>
            </w:pPr>
            <w:r>
              <w:rPr>
                <w:rFonts w:ascii="Arial" w:cs="Arial" w:eastAsia="Arial" w:hAnsi="Arial"/>
                <w:sz w:val="14"/>
                <w:szCs w:val="14"/>
                <w:color w:val="auto"/>
              </w:rPr>
              <w:t>XBRL Taxonomy Extension Calculation Linkbase Document</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92"/>
        </w:trPr>
        <w:tc>
          <w:tcPr>
            <w:tcW w:w="880" w:type="dxa"/>
            <w:vAlign w:val="bottom"/>
          </w:tcPr>
          <w:p>
            <w:pPr>
              <w:spacing w:after="0"/>
              <w:rPr>
                <w:sz w:val="20"/>
                <w:szCs w:val="20"/>
                <w:color w:val="auto"/>
              </w:rPr>
            </w:pPr>
            <w:r>
              <w:rPr>
                <w:rFonts w:ascii="Arial" w:cs="Arial" w:eastAsia="Arial" w:hAnsi="Arial"/>
                <w:sz w:val="14"/>
                <w:szCs w:val="14"/>
                <w:color w:val="auto"/>
              </w:rPr>
              <w:t>101.DEF+</w:t>
            </w:r>
          </w:p>
        </w:tc>
        <w:tc>
          <w:tcPr>
            <w:tcW w:w="5440" w:type="dxa"/>
            <w:vAlign w:val="bottom"/>
          </w:tcPr>
          <w:p>
            <w:pPr>
              <w:ind w:left="300"/>
              <w:spacing w:after="0"/>
              <w:rPr>
                <w:sz w:val="20"/>
                <w:szCs w:val="20"/>
                <w:color w:val="auto"/>
              </w:rPr>
            </w:pPr>
            <w:r>
              <w:rPr>
                <w:rFonts w:ascii="Arial" w:cs="Arial" w:eastAsia="Arial" w:hAnsi="Arial"/>
                <w:sz w:val="14"/>
                <w:szCs w:val="14"/>
                <w:color w:val="auto"/>
              </w:rPr>
              <w:t>XBRL Taxonomy Extension Definition Linkbase Document</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92"/>
        </w:trPr>
        <w:tc>
          <w:tcPr>
            <w:tcW w:w="880" w:type="dxa"/>
            <w:vAlign w:val="bottom"/>
          </w:tcPr>
          <w:p>
            <w:pPr>
              <w:spacing w:after="0"/>
              <w:rPr>
                <w:sz w:val="20"/>
                <w:szCs w:val="20"/>
                <w:color w:val="auto"/>
              </w:rPr>
            </w:pPr>
            <w:r>
              <w:rPr>
                <w:rFonts w:ascii="Arial" w:cs="Arial" w:eastAsia="Arial" w:hAnsi="Arial"/>
                <w:sz w:val="14"/>
                <w:szCs w:val="14"/>
                <w:color w:val="auto"/>
              </w:rPr>
              <w:t>101.LAB+</w:t>
            </w:r>
          </w:p>
        </w:tc>
        <w:tc>
          <w:tcPr>
            <w:tcW w:w="5440" w:type="dxa"/>
            <w:vAlign w:val="bottom"/>
          </w:tcPr>
          <w:p>
            <w:pPr>
              <w:ind w:left="300"/>
              <w:spacing w:after="0"/>
              <w:rPr>
                <w:sz w:val="20"/>
                <w:szCs w:val="20"/>
                <w:color w:val="auto"/>
              </w:rPr>
            </w:pPr>
            <w:r>
              <w:rPr>
                <w:rFonts w:ascii="Arial" w:cs="Arial" w:eastAsia="Arial" w:hAnsi="Arial"/>
                <w:sz w:val="14"/>
                <w:szCs w:val="14"/>
                <w:color w:val="auto"/>
              </w:rPr>
              <w:t>XBRL Taxonomy Extension Label Linkbase Document</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92"/>
        </w:trPr>
        <w:tc>
          <w:tcPr>
            <w:tcW w:w="880" w:type="dxa"/>
            <w:vAlign w:val="bottom"/>
          </w:tcPr>
          <w:p>
            <w:pPr>
              <w:spacing w:after="0"/>
              <w:rPr>
                <w:sz w:val="20"/>
                <w:szCs w:val="20"/>
                <w:color w:val="auto"/>
              </w:rPr>
            </w:pPr>
            <w:r>
              <w:rPr>
                <w:rFonts w:ascii="Arial" w:cs="Arial" w:eastAsia="Arial" w:hAnsi="Arial"/>
                <w:sz w:val="14"/>
                <w:szCs w:val="14"/>
                <w:color w:val="auto"/>
              </w:rPr>
              <w:t>101.PRE+</w:t>
            </w:r>
          </w:p>
        </w:tc>
        <w:tc>
          <w:tcPr>
            <w:tcW w:w="5440" w:type="dxa"/>
            <w:vAlign w:val="bottom"/>
          </w:tcPr>
          <w:p>
            <w:pPr>
              <w:ind w:left="300"/>
              <w:spacing w:after="0"/>
              <w:rPr>
                <w:sz w:val="20"/>
                <w:szCs w:val="20"/>
                <w:color w:val="auto"/>
              </w:rPr>
            </w:pPr>
            <w:r>
              <w:rPr>
                <w:rFonts w:ascii="Arial" w:cs="Arial" w:eastAsia="Arial" w:hAnsi="Arial"/>
                <w:sz w:val="14"/>
                <w:szCs w:val="14"/>
                <w:color w:val="auto"/>
              </w:rPr>
              <w:t>XBRL Taxonomy Extension Presentation Linkbase Document</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281" w:lineRule="exact"/>
        <w:rPr>
          <w:sz w:val="20"/>
          <w:szCs w:val="20"/>
          <w:color w:val="auto"/>
        </w:rPr>
      </w:pPr>
    </w:p>
    <w:p>
      <w:pPr>
        <w:ind w:firstLine="8"/>
        <w:spacing w:after="0" w:line="255" w:lineRule="auto"/>
        <w:tabs>
          <w:tab w:leader="none" w:pos="103" w:val="left"/>
        </w:tabs>
        <w:numPr>
          <w:ilvl w:val="0"/>
          <w:numId w:val="48"/>
        </w:numPr>
        <w:rPr>
          <w:rFonts w:ascii="Arial" w:cs="Arial" w:eastAsia="Arial" w:hAnsi="Arial"/>
          <w:sz w:val="13"/>
          <w:szCs w:val="13"/>
          <w:color w:val="auto"/>
        </w:rPr>
      </w:pPr>
      <w:r>
        <w:rPr>
          <w:rFonts w:ascii="Arial" w:cs="Arial" w:eastAsia="Arial" w:hAnsi="Arial"/>
          <w:sz w:val="13"/>
          <w:szCs w:val="13"/>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200" w:lineRule="exact"/>
        <w:rPr>
          <w:sz w:val="20"/>
          <w:szCs w:val="20"/>
          <w:color w:val="auto"/>
        </w:rPr>
      </w:pPr>
    </w:p>
    <w:p>
      <w:pPr>
        <w:spacing w:after="0" w:line="36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240" w:top="125" w:right="639" w:bottom="1440" w:gutter="0" w:footer="0" w:header="0"/>
        </w:sectPr>
      </w:pPr>
    </w:p>
    <w:bookmarkStart w:id="72" w:name="page73"/>
    <w:bookmarkEnd w:id="72"/>
    <w:p>
      <w:pPr>
        <w:jc w:val="center"/>
        <w:ind w:right="-15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8 (Nos. 333-173911 and 333-180357) of RPX Corporation of our report dated March 8, 2013 relating to the consolidated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2013</w:t>
      </w:r>
    </w:p>
    <w:p>
      <w:pPr>
        <w:sectPr>
          <w:pgSz w:w="11900" w:h="16838" w:orient="portrait"/>
          <w:cols w:equalWidth="0" w:num="1">
            <w:col w:w="11260"/>
          </w:cols>
          <w:pgMar w:left="240" w:top="800" w:right="3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211"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RPX Corporation;</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60" w:right="80" w:hanging="334"/>
        <w:spacing w:after="0" w:line="286" w:lineRule="auto"/>
        <w:tabs>
          <w:tab w:leader="none" w:pos="17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60" w:right="140" w:hanging="334"/>
        <w:spacing w:after="0" w:line="264" w:lineRule="auto"/>
        <w:tabs>
          <w:tab w:leader="none" w:pos="1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60" w:right="240" w:hanging="334"/>
        <w:spacing w:after="0" w:line="264" w:lineRule="auto"/>
        <w:tabs>
          <w:tab w:leader="none" w:pos="1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760" w:right="360" w:hanging="334"/>
        <w:spacing w:after="0" w:line="286" w:lineRule="auto"/>
        <w:tabs>
          <w:tab w:leader="none" w:pos="17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660" w:right="20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760" w:right="180" w:hanging="334"/>
        <w:spacing w:after="0" w:line="342" w:lineRule="auto"/>
        <w:tabs>
          <w:tab w:leader="none" w:pos="17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480" w:hanging="334"/>
        <w:spacing w:after="0" w:line="277" w:lineRule="auto"/>
        <w:tabs>
          <w:tab w:leader="none" w:pos="1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March 8, 2013</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74" w:name="page75"/>
    <w:bookmarkEnd w:id="7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Adam C. Spiegel, certify that:</w:t>
      </w:r>
    </w:p>
    <w:p>
      <w:pPr>
        <w:spacing w:after="0" w:line="22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RPX Corporation;</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60" w:right="80" w:hanging="334"/>
        <w:spacing w:after="0" w:line="286" w:lineRule="auto"/>
        <w:tabs>
          <w:tab w:leader="none" w:pos="17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60" w:right="140" w:hanging="334"/>
        <w:spacing w:after="0" w:line="264" w:lineRule="auto"/>
        <w:tabs>
          <w:tab w:leader="none" w:pos="17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60" w:right="240" w:hanging="334"/>
        <w:spacing w:after="0" w:line="264" w:lineRule="auto"/>
        <w:tabs>
          <w:tab w:leader="none" w:pos="17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760" w:right="360" w:hanging="334"/>
        <w:spacing w:after="0" w:line="286" w:lineRule="auto"/>
        <w:tabs>
          <w:tab w:leader="none" w:pos="17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660" w:right="20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760" w:right="180" w:hanging="334"/>
        <w:spacing w:after="0" w:line="342" w:lineRule="auto"/>
        <w:tabs>
          <w:tab w:leader="none" w:pos="17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480" w:hanging="334"/>
        <w:spacing w:after="0" w:line="277" w:lineRule="auto"/>
        <w:tabs>
          <w:tab w:leader="none" w:pos="17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March 8, 2013</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Adam C. Spiegel</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and Senior Vice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Finance</w:t>
      </w:r>
    </w:p>
    <w:p>
      <w:pPr>
        <w:spacing w:after="0" w:line="6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In connection with the Annual Report on Form 10-K for the fiscal year ended December 31, 2012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March 8, 2013</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firstLine="432"/>
        <w:spacing w:after="0" w:line="312" w:lineRule="auto"/>
        <w:rPr>
          <w:sz w:val="20"/>
          <w:szCs w:val="20"/>
          <w:color w:val="auto"/>
        </w:rPr>
      </w:pPr>
      <w:r>
        <w:rPr>
          <w:rFonts w:ascii="Arial" w:cs="Arial" w:eastAsia="Arial" w:hAnsi="Arial"/>
          <w:sz w:val="16"/>
          <w:szCs w:val="16"/>
          <w:color w:val="auto"/>
        </w:rPr>
        <w:t>In connection with the Annual Report on Form 10-K for the fiscal year ended December 31, 2012 of RPX Corporation (the “Company”) as filed with the Securities and Exchange Commission on the date hereof (the “Report”), I, Adam C. Spiegel, Chief Financial Officer and Senior Vice President, Finance of the Company, certify, pursuant to 18 U.S.C. Section 1350, as adopted pursuant to Section 906 of the Sarbanes-Oxley Act of 2002, that:</w:t>
      </w:r>
    </w:p>
    <w:p>
      <w:pPr>
        <w:spacing w:after="0" w:line="147"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March 8, 2013</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Adam C. Spiegel</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and Senior Vice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Finance</w:t>
      </w:r>
    </w:p>
    <w:p>
      <w:pPr>
        <w:spacing w:after="0" w:line="6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upperLetter"/>
      <w:start w:val="1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2"/>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3"/>
    </w:lvl>
  </w:abstractNum>
  <w:abstractNum w:abstractNumId="29">
    <w:nsid w:val="580BD78F"/>
    <w:multiLevelType w:val="hybridMultilevel"/>
    <w:lvl w:ilvl="0">
      <w:lvlJc w:val="left"/>
      <w:lvlText w:val="%1."/>
      <w:numFmt w:val="decimal"/>
      <w:start w:val="4"/>
    </w:lvl>
  </w:abstractNum>
  <w:abstractNum w:abstractNumId="30">
    <w:nsid w:val="153EA438"/>
    <w:multiLevelType w:val="hybridMultilevel"/>
    <w:lvl w:ilvl="0">
      <w:lvlJc w:val="left"/>
      <w:lvlText w:val="%1."/>
      <w:numFmt w:val="decimal"/>
      <w:start w:val="5"/>
    </w:lvl>
  </w:abstractNum>
  <w:abstractNum w:abstractNumId="31">
    <w:nsid w:val="3855585C"/>
    <w:multiLevelType w:val="hybridMultilevel"/>
    <w:lvl w:ilvl="0">
      <w:lvlJc w:val="left"/>
      <w:lvlText w:val="%1."/>
      <w:numFmt w:val="decimal"/>
      <w:start w:val="6"/>
    </w:lvl>
  </w:abstractNum>
  <w:abstractNum w:abstractNumId="32">
    <w:nsid w:val="70A64E2A"/>
    <w:multiLevelType w:val="hybridMultilevel"/>
    <w:lvl w:ilvl="0">
      <w:lvlJc w:val="left"/>
      <w:lvlText w:val="%1."/>
      <w:numFmt w:val="decimal"/>
      <w:start w:val="7"/>
    </w:lvl>
  </w:abstractNum>
  <w:abstractNum w:abstractNumId="33">
    <w:nsid w:val="6A2342EC"/>
    <w:multiLevelType w:val="hybridMultilevel"/>
    <w:lvl w:ilvl="0">
      <w:lvlJc w:val="left"/>
      <w:lvlText w:val="%1."/>
      <w:numFmt w:val="decimal"/>
      <w:start w:val="8"/>
    </w:lvl>
  </w:abstractNum>
  <w:abstractNum w:abstractNumId="34">
    <w:nsid w:val="2A487CB0"/>
    <w:multiLevelType w:val="hybridMultilevel"/>
    <w:lvl w:ilvl="0">
      <w:lvlJc w:val="left"/>
      <w:lvlText w:val="%1."/>
      <w:numFmt w:val="decimal"/>
      <w:start w:val="9"/>
    </w:lvl>
  </w:abstractNum>
  <w:abstractNum w:abstractNumId="35">
    <w:nsid w:val="1D4ED43B"/>
    <w:multiLevelType w:val="hybridMultilevel"/>
    <w:lvl w:ilvl="0">
      <w:lvlJc w:val="left"/>
      <w:lvlText w:val="%1."/>
      <w:numFmt w:val="decimal"/>
      <w:start w:val="10"/>
    </w:lvl>
  </w:abstractNum>
  <w:abstractNum w:abstractNumId="36">
    <w:nsid w:val="725A06FB"/>
    <w:multiLevelType w:val="hybridMultilevel"/>
    <w:lvl w:ilvl="0">
      <w:lvlJc w:val="left"/>
      <w:lvlText w:val="%1."/>
      <w:numFmt w:val="decimal"/>
      <w:start w:val="12"/>
    </w:lvl>
  </w:abstractNum>
  <w:abstractNum w:abstractNumId="37">
    <w:nsid w:val="2CD89A32"/>
    <w:multiLevelType w:val="hybridMultilevel"/>
    <w:lvl w:ilvl="0">
      <w:lvlJc w:val="left"/>
      <w:lvlText w:val="%1."/>
      <w:numFmt w:val="decimal"/>
      <w:start w:val="13"/>
    </w:lvl>
  </w:abstractNum>
  <w:abstractNum w:abstractNumId="38">
    <w:nsid w:val="57E4CCAF"/>
    <w:multiLevelType w:val="hybridMultilevel"/>
    <w:lvl w:ilvl="0">
      <w:lvlJc w:val="left"/>
      <w:lvlText w:val="%1."/>
      <w:numFmt w:val="decimal"/>
      <w:start w:val="14"/>
    </w:lvl>
  </w:abstractNum>
  <w:abstractNum w:abstractNumId="39">
    <w:nsid w:val="7A6D8D3C"/>
    <w:multiLevelType w:val="hybridMultilevel"/>
    <w:lvl w:ilvl="0">
      <w:lvlJc w:val="left"/>
      <w:lvlText w:val="%1."/>
      <w:numFmt w:val="decimal"/>
      <w:start w:val="15"/>
    </w:lvl>
  </w:abstractNum>
  <w:abstractNum w:abstractNumId="40">
    <w:nsid w:val="4B588F54"/>
    <w:multiLevelType w:val="hybridMultilevel"/>
    <w:lvl w:ilvl="0">
      <w:lvlJc w:val="left"/>
      <w:lvlText w:val="%1."/>
      <w:numFmt w:val="decimal"/>
      <w:start w:val="16"/>
    </w:lvl>
  </w:abstractNum>
  <w:abstractNum w:abstractNumId="41">
    <w:nsid w:val="542289EC"/>
    <w:multiLevelType w:val="hybridMultilevel"/>
    <w:lvl w:ilvl="0">
      <w:lvlJc w:val="left"/>
      <w:lvlText w:val="%1."/>
      <w:numFmt w:val="decimal"/>
      <w:start w:val="17"/>
    </w:lvl>
  </w:abstractNum>
  <w:abstractNum w:abstractNumId="42">
    <w:nsid w:val="6DE91B18"/>
    <w:multiLevelType w:val="hybridMultilevel"/>
    <w:lvl w:ilvl="0">
      <w:lvlJc w:val="left"/>
      <w:lvlText w:val="%1."/>
      <w:numFmt w:val="decimal"/>
      <w:start w:val="18"/>
    </w:lvl>
  </w:abstractNum>
  <w:abstractNum w:abstractNumId="43">
    <w:nsid w:val="38437FDB"/>
    <w:multiLevelType w:val="hybridMultilevel"/>
    <w:lvl w:ilvl="0">
      <w:lvlJc w:val="left"/>
      <w:lvlText w:val="%1."/>
      <w:numFmt w:val="decimal"/>
      <w:start w:val="19"/>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2"/>
    </w:lvl>
  </w:abstractNum>
  <w:abstractNum w:abstractNumId="46">
    <w:nsid w:val="684A481A"/>
    <w:multiLevelType w:val="hybridMultilevel"/>
    <w:lvl w:ilvl="0">
      <w:lvlJc w:val="left"/>
      <w:lvlText w:val="%1."/>
      <w:numFmt w:val="decimal"/>
      <w:start w:val="3"/>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2019-12-07T23:42:18Z</dcterms:created>
  <dcterms:modified xsi:type="dcterms:W3CDTF">2019-12-07T23:42:18Z</dcterms:modified>
</cp:coreProperties>
</file>