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9"/>
          <w:szCs w:val="19"/>
          <w:color w:val="auto"/>
        </w:rPr>
        <w:t>x QUARTERLY REPORT PURSUANT TO SECTION 13 OR 15(d) OF THE SECURITIES EXCHANGE ACT OF 1934</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 the quarterly period ended June 30, 2017</w:t>
      </w:r>
    </w:p>
    <w:p>
      <w:pPr>
        <w:spacing w:after="0" w:line="108"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or</w:t>
      </w:r>
    </w:p>
    <w:p>
      <w:pPr>
        <w:spacing w:after="0" w:line="11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288"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For the transition period from _____to_____</w:t>
      </w:r>
    </w:p>
    <w:p>
      <w:pPr>
        <w:spacing w:after="0" w:line="115" w:lineRule="exact"/>
        <w:rPr>
          <w:sz w:val="24"/>
          <w:szCs w:val="24"/>
          <w:color w:val="auto"/>
        </w:rPr>
      </w:pPr>
    </w:p>
    <w:p>
      <w:pPr>
        <w:jc w:val="center"/>
        <w:ind w:right="-59"/>
        <w:spacing w:after="0"/>
        <w:rPr>
          <w:sz w:val="20"/>
          <w:szCs w:val="20"/>
          <w:color w:val="auto"/>
        </w:rPr>
      </w:pPr>
      <w:r>
        <w:rPr>
          <w:rFonts w:ascii="Arial" w:cs="Arial" w:eastAsia="Arial" w:hAnsi="Arial"/>
          <w:sz w:val="20"/>
          <w:szCs w:val="20"/>
          <w:color w:val="auto"/>
        </w:rPr>
        <w:t>Commission File Number: 001-35146</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51435</wp:posOffset>
            </wp:positionV>
            <wp:extent cx="1097915"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91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RPX Corporation</w:t>
      </w:r>
    </w:p>
    <w:p>
      <w:pPr>
        <w:sectPr>
          <w:pgSz w:w="11900" w:h="16838" w:orient="portrait"/>
          <w:cols w:equalWidth="0" w:num="1">
            <w:col w:w="11380"/>
          </w:cols>
          <w:pgMar w:left="240" w:top="233" w:right="2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p>
    <w:p>
      <w:pPr>
        <w:ind w:left="580"/>
        <w:spacing w:after="0"/>
        <w:rPr>
          <w:sz w:val="20"/>
          <w:szCs w:val="20"/>
          <w:color w:val="auto"/>
        </w:rPr>
      </w:pPr>
      <w:r>
        <w:rPr>
          <w:rFonts w:ascii="Arial" w:cs="Arial" w:eastAsia="Arial" w:hAnsi="Arial"/>
          <w:sz w:val="13"/>
          <w:szCs w:val="13"/>
          <w:color w:val="auto"/>
        </w:rPr>
        <w:t>(State or Other Jurisdiction of</w:t>
      </w:r>
    </w:p>
    <w:p>
      <w:pPr>
        <w:ind w:left="56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3940"/>
        <w:spacing w:after="0"/>
        <w:rPr>
          <w:sz w:val="20"/>
          <w:szCs w:val="20"/>
          <w:color w:val="auto"/>
        </w:rPr>
      </w:pPr>
      <w:r>
        <w:rPr>
          <w:rFonts w:ascii="Arial" w:cs="Arial" w:eastAsia="Arial" w:hAnsi="Arial"/>
          <w:sz w:val="14"/>
          <w:szCs w:val="14"/>
          <w:color w:val="auto"/>
        </w:rPr>
        <w:t>(Exact Name of Registrant as Specified in Its Charter)</w:t>
      </w:r>
    </w:p>
    <w:p>
      <w:pPr>
        <w:spacing w:after="0" w:line="2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jc w:val="center"/>
              <w:ind w:right="653"/>
              <w:spacing w:after="0"/>
              <w:rPr>
                <w:sz w:val="20"/>
                <w:szCs w:val="20"/>
                <w:color w:val="auto"/>
              </w:rPr>
            </w:pPr>
            <w:r>
              <w:rPr>
                <w:rFonts w:ascii="Arial" w:cs="Arial" w:eastAsia="Arial" w:hAnsi="Arial"/>
                <w:sz w:val="18"/>
                <w:szCs w:val="18"/>
                <w:b w:val="1"/>
                <w:bCs w:val="1"/>
                <w:color w:val="auto"/>
                <w:w w:val="91"/>
              </w:rPr>
              <w:t>One Market Plaza, Suite 1100</w:t>
            </w:r>
          </w:p>
        </w:tc>
        <w:tc>
          <w:tcPr>
            <w:tcW w:w="2840" w:type="dxa"/>
            <w:vAlign w:val="bottom"/>
          </w:tcPr>
          <w:p>
            <w:pPr>
              <w:spacing w:after="0"/>
              <w:rPr>
                <w:sz w:val="18"/>
                <w:szCs w:val="18"/>
                <w:color w:val="auto"/>
              </w:rPr>
            </w:pPr>
          </w:p>
        </w:tc>
      </w:tr>
      <w:tr>
        <w:trPr>
          <w:trHeight w:val="216"/>
        </w:trPr>
        <w:tc>
          <w:tcPr>
            <w:tcW w:w="4220" w:type="dxa"/>
            <w:vAlign w:val="bottom"/>
          </w:tcPr>
          <w:p>
            <w:pPr>
              <w:jc w:val="center"/>
              <w:ind w:right="633"/>
              <w:spacing w:after="0"/>
              <w:rPr>
                <w:sz w:val="20"/>
                <w:szCs w:val="20"/>
                <w:color w:val="auto"/>
              </w:rPr>
            </w:pPr>
            <w:r>
              <w:rPr>
                <w:rFonts w:ascii="Arial" w:cs="Arial" w:eastAsia="Arial" w:hAnsi="Arial"/>
                <w:sz w:val="18"/>
                <w:szCs w:val="18"/>
                <w:b w:val="1"/>
                <w:bCs w:val="1"/>
                <w:color w:val="auto"/>
                <w:w w:val="90"/>
              </w:rPr>
              <w:t>San Francisco, California 94105</w:t>
            </w:r>
          </w:p>
        </w:tc>
        <w:tc>
          <w:tcPr>
            <w:tcW w:w="2840" w:type="dxa"/>
            <w:vAlign w:val="bottom"/>
          </w:tcPr>
          <w:p>
            <w:pPr>
              <w:jc w:val="right"/>
              <w:ind w:right="519"/>
              <w:spacing w:after="0"/>
              <w:rPr>
                <w:sz w:val="20"/>
                <w:szCs w:val="20"/>
                <w:color w:val="auto"/>
              </w:rPr>
            </w:pPr>
            <w:r>
              <w:rPr>
                <w:rFonts w:ascii="Arial" w:cs="Arial" w:eastAsia="Arial" w:hAnsi="Arial"/>
                <w:sz w:val="18"/>
                <w:szCs w:val="18"/>
                <w:b w:val="1"/>
                <w:bCs w:val="1"/>
                <w:color w:val="auto"/>
              </w:rPr>
              <w:t>26-2990113</w:t>
            </w:r>
          </w:p>
        </w:tc>
      </w:tr>
      <w:tr>
        <w:trPr>
          <w:trHeight w:val="182"/>
        </w:trPr>
        <w:tc>
          <w:tcPr>
            <w:tcW w:w="4220" w:type="dxa"/>
            <w:vAlign w:val="bottom"/>
          </w:tcPr>
          <w:p>
            <w:pPr>
              <w:jc w:val="center"/>
              <w:ind w:right="633"/>
              <w:spacing w:after="0"/>
              <w:rPr>
                <w:sz w:val="20"/>
                <w:szCs w:val="20"/>
                <w:color w:val="auto"/>
              </w:rPr>
            </w:pPr>
            <w:r>
              <w:rPr>
                <w:rFonts w:ascii="Arial" w:cs="Arial" w:eastAsia="Arial" w:hAnsi="Arial"/>
                <w:sz w:val="14"/>
                <w:szCs w:val="14"/>
                <w:color w:val="auto"/>
                <w:w w:val="95"/>
              </w:rPr>
              <w:t>(Address of Principal Executive Offices and Zip Code)</w:t>
            </w:r>
          </w:p>
        </w:tc>
        <w:tc>
          <w:tcPr>
            <w:tcW w:w="2840" w:type="dxa"/>
            <w:vAlign w:val="bottom"/>
          </w:tcPr>
          <w:p>
            <w:pPr>
              <w:jc w:val="center"/>
              <w:ind w:left="679"/>
              <w:spacing w:after="0"/>
              <w:rPr>
                <w:sz w:val="20"/>
                <w:szCs w:val="20"/>
                <w:color w:val="auto"/>
              </w:rPr>
            </w:pPr>
            <w:r>
              <w:rPr>
                <w:rFonts w:ascii="Arial" w:cs="Arial" w:eastAsia="Arial" w:hAnsi="Arial"/>
                <w:sz w:val="14"/>
                <w:szCs w:val="14"/>
                <w:color w:val="auto"/>
                <w:w w:val="96"/>
              </w:rPr>
              <w:t>(I.R.S. Employer Identification No.)</w:t>
            </w:r>
          </w:p>
        </w:tc>
      </w:tr>
      <w:tr>
        <w:trPr>
          <w:trHeight w:val="452"/>
        </w:trPr>
        <w:tc>
          <w:tcPr>
            <w:tcW w:w="4220" w:type="dxa"/>
            <w:vAlign w:val="bottom"/>
          </w:tcPr>
          <w:p>
            <w:pPr>
              <w:jc w:val="center"/>
              <w:ind w:right="633"/>
              <w:spacing w:after="0"/>
              <w:rPr>
                <w:sz w:val="20"/>
                <w:szCs w:val="20"/>
                <w:color w:val="auto"/>
              </w:rPr>
            </w:pPr>
            <w:r>
              <w:rPr>
                <w:rFonts w:ascii="Arial" w:cs="Arial" w:eastAsia="Arial" w:hAnsi="Arial"/>
                <w:sz w:val="18"/>
                <w:szCs w:val="18"/>
                <w:b w:val="1"/>
                <w:bCs w:val="1"/>
                <w:color w:val="auto"/>
                <w:w w:val="92"/>
              </w:rPr>
              <w:t>(866) 779-7641</w:t>
            </w:r>
          </w:p>
        </w:tc>
        <w:tc>
          <w:tcPr>
            <w:tcW w:w="2840" w:type="dxa"/>
            <w:vAlign w:val="bottom"/>
          </w:tcPr>
          <w:p>
            <w:pPr>
              <w:spacing w:after="0"/>
              <w:rPr>
                <w:sz w:val="24"/>
                <w:szCs w:val="24"/>
                <w:color w:val="auto"/>
              </w:rPr>
            </w:pPr>
          </w:p>
        </w:tc>
      </w:tr>
      <w:tr>
        <w:trPr>
          <w:trHeight w:val="180"/>
        </w:trPr>
        <w:tc>
          <w:tcPr>
            <w:tcW w:w="4220" w:type="dxa"/>
            <w:vAlign w:val="bottom"/>
          </w:tcPr>
          <w:p>
            <w:pPr>
              <w:jc w:val="center"/>
              <w:ind w:right="633"/>
              <w:spacing w:after="0"/>
              <w:rPr>
                <w:sz w:val="20"/>
                <w:szCs w:val="20"/>
                <w:color w:val="auto"/>
              </w:rPr>
            </w:pPr>
            <w:r>
              <w:rPr>
                <w:rFonts w:ascii="Arial" w:cs="Arial" w:eastAsia="Arial" w:hAnsi="Arial"/>
                <w:sz w:val="14"/>
                <w:szCs w:val="14"/>
                <w:color w:val="auto"/>
                <w:w w:val="91"/>
              </w:rPr>
              <w:t>(Registrant's telephone number, including area code)</w:t>
            </w:r>
          </w:p>
        </w:tc>
        <w:tc>
          <w:tcPr>
            <w:tcW w:w="2840" w:type="dxa"/>
            <w:vAlign w:val="bottom"/>
          </w:tcPr>
          <w:p>
            <w:pPr>
              <w:spacing w:after="0"/>
              <w:rPr>
                <w:sz w:val="15"/>
                <w:szCs w:val="15"/>
                <w:color w:val="auto"/>
              </w:rPr>
            </w:pPr>
          </w:p>
        </w:tc>
      </w:tr>
      <w:tr>
        <w:trPr>
          <w:trHeight w:val="281"/>
        </w:trPr>
        <w:tc>
          <w:tcPr>
            <w:tcW w:w="4220" w:type="dxa"/>
            <w:vAlign w:val="bottom"/>
          </w:tcPr>
          <w:p>
            <w:pPr>
              <w:jc w:val="center"/>
              <w:ind w:right="673"/>
              <w:spacing w:after="0"/>
              <w:rPr>
                <w:sz w:val="20"/>
                <w:szCs w:val="20"/>
                <w:color w:val="auto"/>
              </w:rPr>
            </w:pPr>
            <w:r>
              <w:rPr>
                <w:rFonts w:ascii="Arial" w:cs="Arial" w:eastAsia="Arial" w:hAnsi="Arial"/>
                <w:sz w:val="22"/>
                <w:szCs w:val="22"/>
                <w:b w:val="1"/>
                <w:bCs w:val="1"/>
                <w:color w:val="auto"/>
                <w:w w:val="98"/>
              </w:rPr>
              <w:t>————————————————</w:t>
            </w:r>
          </w:p>
        </w:tc>
        <w:tc>
          <w:tcPr>
            <w:tcW w:w="2840" w:type="dxa"/>
            <w:vAlign w:val="bottom"/>
          </w:tcPr>
          <w:p>
            <w:pPr>
              <w:spacing w:after="0"/>
              <w:rPr>
                <w:sz w:val="24"/>
                <w:szCs w:val="24"/>
                <w:color w:val="auto"/>
              </w:rPr>
            </w:pPr>
          </w:p>
        </w:tc>
      </w:tr>
    </w:tbl>
    <w:p>
      <w:pPr>
        <w:spacing w:after="0" w:line="34" w:lineRule="exact"/>
        <w:rPr>
          <w:sz w:val="24"/>
          <w:szCs w:val="24"/>
          <w:color w:val="auto"/>
        </w:rPr>
      </w:pPr>
    </w:p>
    <w:p>
      <w:pPr>
        <w:sectPr>
          <w:pgSz w:w="11900" w:h="16838" w:orient="portrait"/>
          <w:cols w:equalWidth="0" w:num="2">
            <w:col w:w="3260" w:space="720"/>
            <w:col w:w="7400"/>
          </w:cols>
          <w:pgMar w:left="240" w:top="233" w:right="279" w:bottom="1440" w:gutter="0" w:footer="0" w:header="0"/>
          <w:type w:val="continuous"/>
        </w:sectPr>
      </w:pPr>
    </w:p>
    <w:p>
      <w:pPr>
        <w:ind w:right="100"/>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60" w:hanging="252"/>
        <w:spacing w:after="0" w:line="184" w:lineRule="exact"/>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83" w:lineRule="exact"/>
        <w:rPr>
          <w:sz w:val="24"/>
          <w:szCs w:val="24"/>
          <w:color w:val="auto"/>
        </w:rPr>
      </w:pPr>
    </w:p>
    <w:p>
      <w:pPr>
        <w:ind w:left="40" w:right="280"/>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3" w:lineRule="exact"/>
        <w:rPr>
          <w:sz w:val="24"/>
          <w:szCs w:val="24"/>
          <w:color w:val="auto"/>
        </w:rPr>
      </w:pPr>
    </w:p>
    <w:p>
      <w:pPr>
        <w:ind w:left="40"/>
        <w:spacing w:after="0"/>
        <w:tabs>
          <w:tab w:leader="none" w:pos="3000" w:val="left"/>
          <w:tab w:leader="none" w:pos="6880" w:val="left"/>
          <w:tab w:leader="none" w:pos="972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Arial" w:cs="Arial" w:eastAsia="Arial" w:hAnsi="Arial"/>
          <w:sz w:val="16"/>
          <w:szCs w:val="16"/>
          <w:color w:val="auto"/>
        </w:rPr>
        <w:t>x</w:t>
      </w:r>
    </w:p>
    <w:p>
      <w:pPr>
        <w:spacing w:after="0" w:line="86" w:lineRule="exact"/>
        <w:rPr>
          <w:sz w:val="24"/>
          <w:szCs w:val="24"/>
          <w:color w:val="auto"/>
        </w:rPr>
      </w:pPr>
    </w:p>
    <w:p>
      <w:pPr>
        <w:ind w:left="40"/>
        <w:spacing w:after="0"/>
        <w:tabs>
          <w:tab w:leader="none" w:pos="3000" w:val="left"/>
          <w:tab w:leader="none" w:pos="3360" w:val="left"/>
          <w:tab w:leader="none" w:pos="6880" w:val="left"/>
          <w:tab w:leader="none" w:pos="972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Arial" w:cs="Arial" w:eastAsia="Arial" w:hAnsi="Arial"/>
          <w:sz w:val="14"/>
          <w:szCs w:val="14"/>
          <w:color w:val="auto"/>
        </w:rPr>
        <w:t>o</w:t>
      </w:r>
    </w:p>
    <w:p>
      <w:pPr>
        <w:spacing w:after="0" w:line="194" w:lineRule="exact"/>
        <w:rPr>
          <w:sz w:val="24"/>
          <w:szCs w:val="24"/>
          <w:color w:val="auto"/>
        </w:rPr>
      </w:pPr>
    </w:p>
    <w:p>
      <w:pPr>
        <w:ind w:left="40"/>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 w:lineRule="exact"/>
        <w:rPr>
          <w:sz w:val="24"/>
          <w:szCs w:val="24"/>
          <w:color w:val="auto"/>
        </w:rPr>
      </w:pPr>
    </w:p>
    <w:p>
      <w:pPr>
        <w:ind w:left="500" w:hanging="303"/>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Emerging growth company</w:t>
      </w:r>
    </w:p>
    <w:p>
      <w:pPr>
        <w:spacing w:after="0" w:line="7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w:t>
      </w:r>
    </w:p>
    <w:p>
      <w:pPr>
        <w:spacing w:after="0" w:line="33" w:lineRule="exact"/>
        <w:rPr>
          <w:rFonts w:ascii="Arial" w:cs="Arial" w:eastAsia="Arial" w:hAnsi="Arial"/>
          <w:sz w:val="16"/>
          <w:szCs w:val="16"/>
          <w:color w:val="auto"/>
        </w:rPr>
      </w:pPr>
    </w:p>
    <w:p>
      <w:pPr>
        <w:ind w:left="500" w:hanging="303"/>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financial accounting standards provided pursuant to Section 13(a) of the Exchange Act.</w:t>
      </w:r>
    </w:p>
    <w:p>
      <w:pPr>
        <w:spacing w:after="0" w:line="120" w:lineRule="exact"/>
        <w:rPr>
          <w:sz w:val="24"/>
          <w:szCs w:val="24"/>
          <w:color w:val="auto"/>
        </w:rPr>
      </w:pPr>
    </w:p>
    <w:p>
      <w:pPr>
        <w:ind w:right="280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There were 49,500,188 shares of the registrant’s common stock issued and outstanding as of July 28, 2017.</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380" w:type="dxa"/>
            <w:vAlign w:val="bottom"/>
            <w:gridSpan w:val="2"/>
            <w:vMerge w:val="restart"/>
          </w:tcPr>
          <w:p>
            <w:pPr>
              <w:spacing w:after="0"/>
              <w:rPr>
                <w:sz w:val="2"/>
                <w:szCs w:val="2"/>
                <w:color w:val="auto"/>
              </w:rPr>
            </w:pPr>
          </w:p>
        </w:tc>
        <w:tc>
          <w:tcPr>
            <w:tcW w:w="96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4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660" w:type="dxa"/>
            <w:vAlign w:val="bottom"/>
            <w:gridSpan w:val="17"/>
            <w:vMerge w:val="continue"/>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40" w:type="dxa"/>
            <w:vAlign w:val="bottom"/>
          </w:tcPr>
          <w:p>
            <w:pPr>
              <w:spacing w:after="0"/>
              <w:rPr>
                <w:sz w:val="20"/>
                <w:szCs w:val="20"/>
                <w:color w:val="auto"/>
              </w:rPr>
            </w:pPr>
            <w:r>
              <w:rPr>
                <w:rFonts w:ascii="Arial" w:cs="Arial" w:eastAsia="Arial" w:hAnsi="Arial"/>
                <w:sz w:val="18"/>
                <w:szCs w:val="18"/>
                <w:color w:val="auto"/>
                <w:w w:val="94"/>
              </w:rPr>
              <w:t>Item 1.</w:t>
            </w:r>
          </w:p>
        </w:tc>
        <w:tc>
          <w:tcPr>
            <w:tcW w:w="380" w:type="dxa"/>
            <w:vAlign w:val="bottom"/>
            <w:gridSpan w:val="2"/>
          </w:tcPr>
          <w:p>
            <w:pPr>
              <w:spacing w:after="0"/>
              <w:rPr>
                <w:sz w:val="24"/>
                <w:szCs w:val="24"/>
                <w:color w:val="auto"/>
              </w:rPr>
            </w:pP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80" w:type="dxa"/>
            <w:vAlign w:val="bottom"/>
            <w:gridSpan w:val="8"/>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2017 and December 31, 2016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Operations for the Three and Six Months Ended June 30, 2017 and 2016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and Six Months Ended June 30, 2017 and 2016</w:t>
              </w:r>
            </w:hyperlink>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800" w:type="dxa"/>
            <w:vAlign w:val="bottom"/>
            <w:gridSpan w:val="4"/>
          </w:tcPr>
          <w:p>
            <w:pPr>
              <w:jc w:val="right"/>
              <w:ind w:righ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2017 and 2016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40" w:type="dxa"/>
            <w:vAlign w:val="bottom"/>
            <w:tcBorders>
              <w:top w:val="single" w:sz="8" w:color="0000EE"/>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42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Quantitative and Qualitative Disclosures About Market Risk</w:t>
              </w:r>
            </w:hyperlink>
          </w:p>
        </w:tc>
        <w:tc>
          <w:tcPr>
            <w:tcW w:w="2120" w:type="dxa"/>
            <w:vAlign w:val="bottom"/>
            <w:gridSpan w:val="2"/>
          </w:tcPr>
          <w:p>
            <w:pPr>
              <w:spacing w:after="0"/>
              <w:rPr>
                <w:sz w:val="21"/>
                <w:szCs w:val="21"/>
                <w:color w:val="auto"/>
              </w:rPr>
            </w:pPr>
          </w:p>
        </w:tc>
        <w:tc>
          <w:tcPr>
            <w:tcW w:w="3200" w:type="dxa"/>
            <w:vAlign w:val="bottom"/>
            <w:gridSpan w:val="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tcBorders>
              <w:left w:val="single" w:sz="8" w:color="0000EE"/>
            </w:tcBorders>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PART II</w:t>
              </w:r>
            </w:hyperlink>
          </w:p>
        </w:tc>
        <w:tc>
          <w:tcPr>
            <w:tcW w:w="32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34">
              <w:r>
                <w:rPr>
                  <w:rFonts w:ascii="Arial" w:cs="Arial" w:eastAsia="Arial" w:hAnsi="Arial"/>
                  <w:sz w:val="18"/>
                  <w:szCs w:val="18"/>
                  <w:color w:val="0000EE"/>
                  <w:w w:val="95"/>
                </w:rPr>
                <w:t>OTHER INFORMATION</w:t>
              </w:r>
            </w:hyperlink>
          </w:p>
        </w:tc>
        <w:tc>
          <w:tcPr>
            <w:tcW w:w="7780" w:type="dxa"/>
            <w:vAlign w:val="bottom"/>
            <w:gridSpan w:val="11"/>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6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4">
              <w:r>
                <w:rPr>
                  <w:rFonts w:ascii="Arial" w:cs="Arial" w:eastAsia="Arial" w:hAnsi="Arial"/>
                  <w:sz w:val="18"/>
                  <w:szCs w:val="18"/>
                  <w:color w:val="0000EE"/>
                  <w:w w:val="87"/>
                </w:rPr>
                <w:t>Risk Factors</w:t>
              </w:r>
            </w:hyperlink>
          </w:p>
        </w:tc>
        <w:tc>
          <w:tcPr>
            <w:tcW w:w="400" w:type="dxa"/>
            <w:vAlign w:val="bottom"/>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5320" w:type="dxa"/>
            <w:vAlign w:val="bottom"/>
            <w:gridSpan w:val="7"/>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5320" w:type="dxa"/>
            <w:vAlign w:val="bottom"/>
            <w:gridSpan w:val="7"/>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34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734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900" w:type="dxa"/>
            <w:vAlign w:val="bottom"/>
            <w:gridSpan w:val="1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900" w:type="dxa"/>
            <w:vAlign w:val="bottom"/>
            <w:gridSpan w:val="12"/>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46</w:t>
              </w:r>
            </w:hyperlink>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836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Exhibits</w:t>
              </w:r>
            </w:hyperlink>
          </w:p>
        </w:tc>
        <w:tc>
          <w:tcPr>
            <w:tcW w:w="700" w:type="dxa"/>
            <w:vAlign w:val="bottom"/>
            <w:gridSpan w:val="3"/>
          </w:tcPr>
          <w:p>
            <w:pPr>
              <w:spacing w:after="0"/>
              <w:rPr>
                <w:sz w:val="21"/>
                <w:szCs w:val="21"/>
                <w:color w:val="auto"/>
              </w:rPr>
            </w:pPr>
          </w:p>
        </w:tc>
        <w:tc>
          <w:tcPr>
            <w:tcW w:w="8360" w:type="dxa"/>
            <w:vAlign w:val="bottom"/>
            <w:gridSpan w:val="1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49">
              <w:r>
                <w:rPr>
                  <w:rFonts w:ascii="Arial" w:cs="Arial" w:eastAsia="Arial" w:hAnsi="Arial"/>
                  <w:sz w:val="18"/>
                  <w:szCs w:val="18"/>
                  <w:color w:val="0000EE"/>
                </w:rPr>
                <w:t>47</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3"/>
              </w:rPr>
            </w:pPr>
            <w:hyperlink w:anchor="page50">
              <w:r>
                <w:rPr>
                  <w:rFonts w:ascii="Arial" w:cs="Arial" w:eastAsia="Arial" w:hAnsi="Arial"/>
                  <w:sz w:val="18"/>
                  <w:szCs w:val="18"/>
                  <w:color w:val="0000EE"/>
                  <w:w w:val="83"/>
                </w:rPr>
                <w:t>Signatures</w:t>
              </w:r>
            </w:hyperlink>
          </w:p>
        </w:tc>
        <w:tc>
          <w:tcPr>
            <w:tcW w:w="8900" w:type="dxa"/>
            <w:vAlign w:val="bottom"/>
            <w:gridSpan w:val="15"/>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48</w:t>
              </w:r>
            </w:hyperlink>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80"/>
        </w:trPr>
        <w:tc>
          <w:tcPr>
            <w:tcW w:w="7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rPr>
              <w:t>PART I. FINANCIAL INFORMATION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b w:val="1"/>
                <w:bCs w:val="1"/>
                <w:color w:val="auto"/>
              </w:rPr>
              <w:t>Item1.</w:t>
            </w:r>
          </w:p>
        </w:tc>
        <w:tc>
          <w:tcPr>
            <w:tcW w:w="302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 (unaudited)</w:t>
            </w: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9"/>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5"/>
              </w:rPr>
              <w:t>RPX Corporation</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8"/>
              </w:rPr>
              <w:t>(in thousands)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84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91"/>
              </w:rPr>
              <w:t>(unaudited)</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51"/>
        </w:trPr>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7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5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100,111</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Short-term investments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55,271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90,877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64,395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4,524</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current assets</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298,145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260,407</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212,999</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Property and equipment, net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6,948</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56,050</w:t>
            </w: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Goodwill</w:t>
            </w:r>
          </w:p>
        </w:tc>
        <w:tc>
          <w:tcPr>
            <w:tcW w:w="5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156,337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151,322</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tax assets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34,042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38,261</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8,337</w:t>
            </w:r>
          </w:p>
        </w:tc>
      </w:tr>
      <w:tr>
        <w:trPr>
          <w:trHeight w:val="297"/>
        </w:trPr>
        <w:tc>
          <w:tcPr>
            <w:tcW w:w="3780" w:type="dxa"/>
            <w:vAlign w:val="bottom"/>
            <w:tcBorders>
              <w:bottom w:val="single" w:sz="8" w:color="CCEEFF"/>
            </w:tcBorders>
            <w:gridSpan w:val="3"/>
          </w:tcPr>
          <w:p>
            <w:pPr>
              <w:ind w:left="280"/>
              <w:spacing w:after="0"/>
              <w:rPr>
                <w:sz w:val="20"/>
                <w:szCs w:val="20"/>
                <w:color w:val="auto"/>
              </w:rPr>
            </w:pPr>
            <w:r>
              <w:rPr>
                <w:rFonts w:ascii="Arial" w:cs="Arial" w:eastAsia="Arial" w:hAnsi="Arial"/>
                <w:sz w:val="18"/>
                <w:szCs w:val="18"/>
                <w:color w:val="auto"/>
              </w:rPr>
              <w:t>Total assets</w:t>
            </w:r>
          </w:p>
        </w:tc>
        <w:tc>
          <w:tcPr>
            <w:tcW w:w="458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733,636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735,289</w:t>
            </w:r>
          </w:p>
        </w:tc>
      </w:tr>
      <w:tr>
        <w:trPr>
          <w:trHeight w:val="237"/>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45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Current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3,197</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Accrued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16,798</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118,856</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Current portion of long-term debt</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6,474</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current liabilities</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133,439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146,809</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revenue,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11,552</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Deferred tax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4,023</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88,110</w:t>
            </w: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Other liabilities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10,514</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45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237,917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261,008</w:t>
            </w:r>
          </w:p>
        </w:tc>
      </w:tr>
      <w:tr>
        <w:trPr>
          <w:trHeight w:val="237"/>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Commitments and contingencies (Note 12)</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Common stock</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4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360,462</w:t>
            </w:r>
          </w:p>
        </w:tc>
      </w:tr>
      <w:tr>
        <w:trPr>
          <w:trHeight w:val="243"/>
        </w:trPr>
        <w:tc>
          <w:tcPr>
            <w:tcW w:w="378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4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134,730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130,249</w:t>
            </w:r>
          </w:p>
        </w:tc>
      </w:tr>
      <w:tr>
        <w:trPr>
          <w:trHeight w:val="27"/>
        </w:trPr>
        <w:tc>
          <w:tcPr>
            <w:tcW w:w="128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45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r>
      <w:tr>
        <w:trPr>
          <w:trHeight w:val="237"/>
        </w:trPr>
        <w:tc>
          <w:tcPr>
            <w:tcW w:w="3780" w:type="dxa"/>
            <w:vAlign w:val="bottom"/>
            <w:gridSpan w:val="3"/>
          </w:tcPr>
          <w:p>
            <w:pPr>
              <w:ind w:left="280"/>
              <w:spacing w:after="0"/>
              <w:rPr>
                <w:sz w:val="20"/>
                <w:szCs w:val="20"/>
                <w:color w:val="auto"/>
              </w:rPr>
            </w:pPr>
            <w:r>
              <w:rPr>
                <w:rFonts w:ascii="Arial" w:cs="Arial" w:eastAsia="Arial" w:hAnsi="Arial"/>
                <w:sz w:val="18"/>
                <w:szCs w:val="18"/>
                <w:color w:val="auto"/>
              </w:rPr>
              <w:t>Total stockholders’ equity</w:t>
            </w:r>
          </w:p>
        </w:tc>
        <w:tc>
          <w:tcPr>
            <w:tcW w:w="45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495,719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474,281</w:t>
            </w:r>
          </w:p>
        </w:tc>
      </w:tr>
      <w:tr>
        <w:trPr>
          <w:trHeight w:val="27"/>
        </w:trPr>
        <w:tc>
          <w:tcPr>
            <w:tcW w:w="1280" w:type="dxa"/>
            <w:vAlign w:val="bottom"/>
            <w:tcBorders>
              <w:bottom w:val="single" w:sz="8" w:color="CCEEFF"/>
            </w:tcBorders>
            <w:gridSpan w:val="2"/>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4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733,636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735,289</w:t>
            </w: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80,434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102,440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96,736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23,124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52,799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6,168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13,309</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and 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6,595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13,565</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4,192</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10,185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8,387</w:t>
            </w:r>
          </w:p>
        </w:tc>
      </w:tr>
      <w:tr>
        <w:trPr>
          <w:trHeight w:val="311"/>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0.16</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Weighted-average shares used in computing net income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49,142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51,034</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48,910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51,548</w:t>
            </w: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50,107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51,557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52,089</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4,192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Unrealized holding gains on available-for-sale securities arising</w:t>
            </w:r>
          </w:p>
        </w:tc>
        <w:tc>
          <w:tcPr>
            <w:tcW w:w="9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during the period, net of tax</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4,791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94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9,067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2,154</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4"/>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52"/>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10,185</w:t>
            </w:r>
          </w:p>
        </w:tc>
        <w:tc>
          <w:tcPr>
            <w:tcW w:w="100" w:type="dxa"/>
            <w:vAlign w:val="bottom"/>
          </w:tcPr>
          <w:p>
            <w:pPr>
              <w:spacing w:after="0"/>
              <w:rPr>
                <w:sz w:val="20"/>
                <w:szCs w:val="20"/>
                <w:color w:val="auto"/>
              </w:rPr>
            </w:pPr>
          </w:p>
        </w:tc>
        <w:tc>
          <w:tcPr>
            <w:tcW w:w="360" w:type="dxa"/>
            <w:vAlign w:val="bottom"/>
          </w:tcPr>
          <w:p>
            <w:pPr>
              <w:jc w:val="right"/>
              <w:ind w:right="152"/>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8,387</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85,855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85,585</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9,828</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Excess tax benefit from stock-based compensation</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Amortization of premium on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972</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Deferred income taxes</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4,299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198</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Unrealized foreign currency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1,213</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Fair value adjustments on deferred payment obligation</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(1,920)</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extinguishment of deferred payment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(463)</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Realized loss on exchange of short-term investments</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290</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169</w:t>
            </w:r>
          </w:p>
        </w:tc>
      </w:tr>
      <w:tr>
        <w:trPr>
          <w:trHeight w:val="239"/>
        </w:trPr>
        <w:tc>
          <w:tcPr>
            <w:tcW w:w="8340" w:type="dxa"/>
            <w:vAlign w:val="bottom"/>
          </w:tcPr>
          <w:p>
            <w:pPr>
              <w:ind w:left="180"/>
              <w:spacing w:after="0"/>
              <w:rPr>
                <w:sz w:val="20"/>
                <w:szCs w:val="20"/>
                <w:color w:val="auto"/>
              </w:rPr>
            </w:pPr>
            <w:r>
              <w:rPr>
                <w:rFonts w:ascii="Arial" w:cs="Arial" w:eastAsia="Arial" w:hAnsi="Arial"/>
                <w:sz w:val="17"/>
                <w:szCs w:val="17"/>
                <w:color w:val="auto"/>
              </w:rPr>
              <w:t>Changes in assets and liabilities, net of business acquired:</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26,761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(15,207)</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Prepaid expenses and other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(1,281)</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211</w:t>
            </w:r>
          </w:p>
        </w:tc>
      </w:tr>
      <w:tr>
        <w:trPr>
          <w:trHeight w:val="239"/>
        </w:trPr>
        <w:tc>
          <w:tcPr>
            <w:tcW w:w="8340" w:type="dxa"/>
            <w:vAlign w:val="bottom"/>
          </w:tcPr>
          <w:p>
            <w:pPr>
              <w:ind w:left="280"/>
              <w:spacing w:after="0"/>
              <w:rPr>
                <w:sz w:val="20"/>
                <w:szCs w:val="20"/>
                <w:color w:val="auto"/>
              </w:rPr>
            </w:pPr>
            <w:r>
              <w:rPr>
                <w:rFonts w:ascii="Arial" w:cs="Arial" w:eastAsia="Arial" w:hAnsi="Arial"/>
                <w:sz w:val="17"/>
                <w:szCs w:val="17"/>
                <w:color w:val="auto"/>
              </w:rPr>
              <w:t>Accrued and other liabilities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(6,097)</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7,379</w:t>
            </w:r>
          </w:p>
        </w:tc>
      </w:tr>
      <w:tr>
        <w:trPr>
          <w:trHeight w:val="219"/>
        </w:trPr>
        <w:tc>
          <w:tcPr>
            <w:tcW w:w="8340" w:type="dxa"/>
            <w:vAlign w:val="bottom"/>
          </w:tcPr>
          <w:p>
            <w:pPr>
              <w:ind w:left="380"/>
              <w:spacing w:after="0"/>
              <w:rPr>
                <w:sz w:val="20"/>
                <w:szCs w:val="20"/>
                <w:color w:val="auto"/>
              </w:rPr>
            </w:pPr>
            <w:r>
              <w:rPr>
                <w:rFonts w:ascii="Arial" w:cs="Arial" w:eastAsia="Arial" w:hAnsi="Arial"/>
                <w:sz w:val="17"/>
                <w:szCs w:val="17"/>
                <w:color w:val="auto"/>
              </w:rPr>
              <w:t>Net cash provided by operating activities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102,898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89,231</w:t>
            </w: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Purchases of investments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(25,071)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(31,150)</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Maturities of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59,820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42,393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Sales of investments</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145,925</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Business 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(228,453)</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Decrease (increase) in restricted cash</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225</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Purchases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Acquisitions of patent assets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(41,918)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(36,546)</w:t>
            </w: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(109,693)</w:t>
            </w:r>
          </w:p>
        </w:tc>
      </w:tr>
      <w:tr>
        <w:trPr>
          <w:trHeight w:val="233"/>
        </w:trPr>
        <w:tc>
          <w:tcPr>
            <w:tcW w:w="8340" w:type="dxa"/>
            <w:vAlign w:val="bottom"/>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Proceeds from issuance of 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100,000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Payment of debt issuance costs</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(2,003)</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Repayment of principal on 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(1,250)</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Proceeds from exercise of stock options</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5,894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247</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Taxes paid related to net-share settlements of restricted stock units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(2,048)</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Excess tax benefit from stock-based compensation</w:t>
            </w:r>
          </w:p>
        </w:tc>
        <w:tc>
          <w:tcPr>
            <w:tcW w:w="36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33</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Payments of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Repurchase of common stock</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(4,783)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(39,072)</w:t>
            </w: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55,671</w:t>
            </w:r>
          </w:p>
        </w:tc>
      </w:tr>
      <w:tr>
        <w:trPr>
          <w:trHeight w:val="219"/>
        </w:trPr>
        <w:tc>
          <w:tcPr>
            <w:tcW w:w="8340" w:type="dxa"/>
            <w:vAlign w:val="bottom"/>
          </w:tcPr>
          <w:p>
            <w:pPr>
              <w:ind w:left="40"/>
              <w:spacing w:after="0"/>
              <w:rPr>
                <w:sz w:val="20"/>
                <w:szCs w:val="20"/>
                <w:color w:val="auto"/>
              </w:rPr>
            </w:pPr>
            <w:r>
              <w:rPr>
                <w:rFonts w:ascii="Arial" w:cs="Arial" w:eastAsia="Arial" w:hAnsi="Arial"/>
                <w:sz w:val="17"/>
                <w:szCs w:val="17"/>
                <w:color w:val="auto"/>
              </w:rPr>
              <w:t>Foreign-currency effect on cash and cash equivalents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276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(152)</w:t>
            </w:r>
          </w:p>
        </w:tc>
      </w:tr>
      <w:tr>
        <w:trPr>
          <w:trHeight w:val="31"/>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89,159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35,057</w:t>
            </w:r>
          </w:p>
        </w:tc>
      </w:tr>
      <w:tr>
        <w:trPr>
          <w:trHeight w:val="239"/>
        </w:trPr>
        <w:tc>
          <w:tcPr>
            <w:tcW w:w="8340" w:type="dxa"/>
            <w:vAlign w:val="bottom"/>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36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100,111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4"/>
              <w:spacing w:after="0"/>
              <w:rPr>
                <w:sz w:val="20"/>
                <w:szCs w:val="20"/>
                <w:color w:val="auto"/>
              </w:rPr>
            </w:pPr>
            <w:r>
              <w:rPr>
                <w:rFonts w:ascii="Arial" w:cs="Arial" w:eastAsia="Arial" w:hAnsi="Arial"/>
                <w:sz w:val="17"/>
                <w:szCs w:val="17"/>
                <w:color w:val="auto"/>
              </w:rPr>
              <w:t>94,983</w:t>
            </w:r>
          </w:p>
        </w:tc>
      </w:tr>
      <w:tr>
        <w:trPr>
          <w:trHeight w:val="31"/>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189,270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130,040</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7"/>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 in patent assets purchased and accrued but not paid</w:t>
            </w: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fixed assets purchased and accrued but not paid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Patent assets received in barter transactions</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381</w:t>
            </w:r>
          </w:p>
        </w:tc>
      </w:tr>
      <w:tr>
        <w:trPr>
          <w:trHeight w:val="20"/>
        </w:trPr>
        <w:tc>
          <w:tcPr>
            <w:tcW w:w="8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81"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RPX Corporation (also referred to herein as “RPX” or the “Company”) helps companies reduce patent litigation risk and corporate legal expense through two primary service offerings: its patent risk management services and its discovery services.</w:t>
      </w:r>
    </w:p>
    <w:p>
      <w:pPr>
        <w:spacing w:after="0" w:line="1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Company's patent risk management services help companies reduce patent-related risk and expense through subscription-based patent risk management services that facilitate more efficient exchanges of value between owners and users of patents compared to transactions driven by actual or threatened litigation. The Company’s patent risk management membership clients pay an annual subscription fee and in return, receive access to substantially all of the Company's patent portfolio as well as an array of services provided throughout their membership. Access to these services is available primarily through discussions with the Company's professionals—particularly client relations and its team of patent experts, as well as through a proprietary database, and attendance at periodic conferences.</w:t>
      </w:r>
    </w:p>
    <w:p>
      <w:pPr>
        <w:spacing w:after="0" w:line="193"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color w:val="auto"/>
        </w:rPr>
        <w:t>In addition to its subscription-based patent risk management services, the Company underwrites patent infringement liability insurance policies to insure against certain costs of litigation. The Company uses a reinsurance subsidiary company to assume a portion of the underwriting risk on the insurance policies that the Company issues on behalf of a Lloyd's of London underwriting syndicate. To date, the effect of the insurance policies that the Company has issued or assumed through its reinsurance business has not been material to the Company’s results of operations, financial condition or cash flows.</w:t>
      </w:r>
    </w:p>
    <w:p>
      <w:pPr>
        <w:spacing w:after="0" w:line="154"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 January 2016, the Company acquired Inventus Solutions, Inc. ("Inventus"), now a wholly owned subsidiary of the Company, and began offering its discovery services, which consist of technology-enabled services to assist law firms and corporate legal departments manage costs and risks related to the litigation discovery process. The Company's discovery services include data hosting and backup, data processing and collection, project management, document review, and traditional document production. All of these services are designed to streamline the administration of litigation, investigations, and regulatory compliance.</w:t>
      </w:r>
    </w:p>
    <w:p>
      <w:pPr>
        <w:spacing w:after="0" w:line="144" w:lineRule="exact"/>
        <w:rPr>
          <w:sz w:val="20"/>
          <w:szCs w:val="20"/>
          <w:color w:val="auto"/>
        </w:rPr>
      </w:pPr>
    </w:p>
    <w:p>
      <w:pPr>
        <w:ind w:left="500" w:right="6500" w:hanging="492"/>
        <w:spacing w:after="0" w:line="331"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b w:val="1"/>
          <w:bCs w:val="1"/>
          <w:i w:val="1"/>
          <w:iCs w:val="1"/>
          <w:color w:val="auto"/>
        </w:rPr>
        <w:t>Basis of Presentation</w:t>
      </w:r>
    </w:p>
    <w:p>
      <w:pPr>
        <w:ind w:left="500"/>
        <w:spacing w:after="0"/>
        <w:rPr>
          <w:sz w:val="20"/>
          <w:szCs w:val="20"/>
          <w:color w:val="auto"/>
        </w:rPr>
      </w:pPr>
      <w:r>
        <w:rPr>
          <w:rFonts w:ascii="Arial" w:cs="Arial" w:eastAsia="Arial" w:hAnsi="Arial"/>
          <w:sz w:val="18"/>
          <w:szCs w:val="18"/>
          <w:color w:val="auto"/>
        </w:rPr>
        <w:t>The accompanying condensed consolidated balance sheet as of June 30, 2017, the condensed consolidated statements of</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operations and the condensed consolidated statements of comprehensive income (loss) for the three and six months ended June 30, 2017 and 2016, and the condensed consolidated statements of cash flows for the six months ended June 30, 2017 and 2016, are unaudited. The condensed consolidated balance sheet as of December 31, 2016 was derived from the audited consolidated financial statements which are included in the Company’s Annual Report on Form 10-K for the fiscal year ended December 31, 2016, which was filed with the U.S. Securities and Exchange Commission (“SEC”) on February 28, 2017. The unaudited condensed consolidated financial statements should be read in conjunction with the audited financial statements and accompanying notes included in the Company’s Annual Report on Form 10-K for the year ended December 31, 2016.</w:t>
      </w:r>
    </w:p>
    <w:p>
      <w:pPr>
        <w:spacing w:after="0" w:line="16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necessary to state fairly the results of the interim periods have been included in the accompanying financial statements. Operating results for the three or six months ended June 30, 2017 are not necessarily indicative of the results that may be expected for any subsequent interim period or for the year ending December 31, 2017.</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77"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There have been no material changes to the Company’s significant accounting policies during the six months ended June 30, 2017, as compared to the significant accounting policies presented under the heading “Basis of Presentation and Significant Accounting Policies” in Note 2 of the Notes to Consolidated Financial Statements in Part II, Item 8 of the Company’s Annual Report on Form 10-K filed with the SEC on February 28, 2017.</w:t>
      </w:r>
    </w:p>
    <w:p>
      <w:pPr>
        <w:spacing w:after="0" w:line="14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(Topic 718) </w:t>
      </w:r>
      <w:r>
        <w:rPr>
          <w:rFonts w:ascii="Arial" w:cs="Arial" w:eastAsia="Arial" w:hAnsi="Arial"/>
          <w:sz w:val="18"/>
          <w:szCs w:val="18"/>
          <w:color w:val="auto"/>
        </w:rPr>
        <w:t>("ASU 2016-09"). ASU 2016-09 identifies areas for simplification involving several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in this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update became effective in the first quarter of 2017. The Company adopted this standard on January 1, 2017 and the standard did not have a material impact on its consolidated financial statements.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77"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("ASU 2017-09") which clarifies the changes to terms or conditions of a share-based payment award that require an entity to apply modification accounting. ASU 2017-09 is effective for annual reporting periods, and interim periods therein, beginning after December 15, 2017. Early application is permitted and prospective application is required. The Company is currently evaluating impact of this guidance on its consolidated financial statements.</w:t>
      </w:r>
    </w:p>
    <w:p>
      <w:pPr>
        <w:spacing w:after="0" w:line="17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 - 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shortens the amortization period for certain callable debt securities held at a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the amendments require the premium to be amortized to the earliest call date. The amendments do not require an accounting change for securities held at a discount; the discount continues to be amortized to maturity. For public entities, ASU 2017-08 is effective for fiscal years beginning after December 15, 2018, and interim periods within those fiscal years. The Company does not expect the adoption of this guidance to have a material impact on its consolidated financial statements.</w:t>
      </w:r>
    </w:p>
    <w:p>
      <w:pPr>
        <w:spacing w:after="0" w:line="193"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 xml:space="preserve">In February 2017, the FASB issued ASU No. 2017-05, </w:t>
      </w:r>
      <w:r>
        <w:rPr>
          <w:rFonts w:ascii="Arial" w:cs="Arial" w:eastAsia="Arial" w:hAnsi="Arial"/>
          <w:sz w:val="16"/>
          <w:szCs w:val="16"/>
          <w:i w:val="1"/>
          <w:iCs w:val="1"/>
          <w:color w:val="auto"/>
        </w:rPr>
        <w:t>Other Income - Gains and Losses from the Derecognition of Nonfinancial Assets: Clarifying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Scope of Asset Derecognition Guidance and Accounting for Partial Sales of Nonfinancial Assets</w:t>
      </w:r>
      <w:r>
        <w:rPr>
          <w:rFonts w:ascii="Arial" w:cs="Arial" w:eastAsia="Arial" w:hAnsi="Arial"/>
          <w:sz w:val="16"/>
          <w:szCs w:val="16"/>
          <w:color w:val="auto"/>
        </w:rPr>
        <w:t>. This ASU was issued to clarify the scope of the previous</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and to add guidance for partial sales of nonfinancial assets and is effective for fiscal years and interim periods within those years beginning after December 15, 2017. The Company does not expect the adoption of this guidance to have a material impact on its consolidated financial statements.</w:t>
      </w:r>
    </w:p>
    <w:p>
      <w:pPr>
        <w:spacing w:after="0" w:line="154"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Intangibles - Goodwill and Other: Simplifying the Test for Goodwill Impairment,</w:t>
      </w:r>
      <w:r>
        <w:rPr>
          <w:rFonts w:ascii="Arial" w:cs="Arial" w:eastAsia="Arial" w:hAnsi="Arial"/>
          <w:sz w:val="16"/>
          <w:szCs w:val="16"/>
          <w:color w:val="auto"/>
        </w:rPr>
        <w:t xml:space="preserve"> which simplifies the subsequent measurement of goodwill and eliminates the two-step goodwill impairment test. Under the new guidance, an annual or interim goodwill impairment test is performed by comparing the fair value of a reporting unit with its carrying amount, and an impairment charge is recognized for the amount by which the carrying amount exceeds the reporting unit’s fair value. The amendment also eliminates the requirements for any reporting unit with a zero or negative carrying amount to perform a qualitative assessment and two-step goodwill impairment test. The ASU is effective prospectively for fiscal years and interim periods within those years beginning after December 15, 2019. Early adoption is permitted for interim or annual goodwill impairment tests performed on testing dates after January 1, 2017. The Company will early adopt this ASU for goodwill impairment tests beginning in 2017.</w:t>
      </w:r>
    </w:p>
    <w:p>
      <w:pPr>
        <w:spacing w:after="0" w:line="167" w:lineRule="exact"/>
        <w:rPr>
          <w:sz w:val="20"/>
          <w:szCs w:val="20"/>
          <w:color w:val="auto"/>
        </w:rPr>
      </w:pPr>
    </w:p>
    <w:p>
      <w:pPr>
        <w:ind w:right="240" w:firstLine="486"/>
        <w:spacing w:after="0" w:line="312"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Clarifying the Definition of a Business,</w:t>
      </w:r>
      <w:r>
        <w:rPr>
          <w:rFonts w:ascii="Arial" w:cs="Arial" w:eastAsia="Arial" w:hAnsi="Arial"/>
          <w:sz w:val="16"/>
          <w:szCs w:val="16"/>
          <w:color w:val="auto"/>
        </w:rPr>
        <w:t xml:space="preserve"> which provides a more robust framework to use in determining when a set of assets and activities is a business. This ASU is effective prospectively for fiscal years and interim periods within those years beginning after December 15, 2017. The Company will apply this guidance to applicable transactions after the adoption date.</w:t>
      </w:r>
    </w:p>
    <w:p>
      <w:pPr>
        <w:spacing w:after="0" w:line="147"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well as associated ASUs 2016-08, 2016-10, 2016-12, and 2016-20 (the foregoing ASUs collectively, "Topic 606"), which will supersede most existing revenue recognition guidance in U.S. GAAP. Topic 606 becomes effective for annual and interim periods beginning after December 15, 2017; early adoption is permitted for annual and interim periods beginning after December 15, 2016. The Company plans to adopt Topic 606 on January 1, 2018, using the full retrospective method of adoption. The Company is currently assessing all potential impacts of the standard, however, based on its initial assessment, this standard will likely have a material effect on its consolidated financial statements due to the identification of multiple performance obligations for fees received from its patent risk management membership subscription and the timing of recognition for these potentially separable performance obligations. Specifically, the Company expects to recognize a separate performance obligation for certain discrete patent assets transferred to its membership clients and expects to recognize this revenue at a point in time. Under existing U.S. GAAP, the Company generally recognizes the membership fees ratably on a gross basis over the term of the customer contract. To the extent that separate performance obligations are identified, the Company will assess these to determine whether revenue should be recognized on a gross or net basis under Topic 606, which may result in revenue which is recognized on a gross basis under current U.S. GAAP to be recognized on a net basis, and vice versa. Therefore, the adoption of Topic 606 may increase the variability of the revenue recognized from these fees from period to period. Additionally, based on the Company's initial assessment, it does not expect Topic 606 to have a material impact on its discovery services segment.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8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Basic and diluted net income per share are computed by dividing net income by the weighted-average number of shares of common stock outstanding during the period. Diluted net income per share is computed by using the weighted-average number of shares of common stock outstanding during the period, including potentially dilutive shares. Potentially dilutive shares include outstanding stock options and restricted stock units ("RSUs"). The dilutive effect of potentially dilutive shares is reflected in diluted earnings per share by application of the treasury stock method. Under the treasury stock method, an increase in the fair value of the Company's common stock can result in a greater dilutive effect from potentially dilutive shares.</w:t>
      </w:r>
    </w:p>
    <w:p>
      <w:pPr>
        <w:spacing w:after="0" w:line="2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Numerator:</w:t>
            </w: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320" w:type="dxa"/>
            <w:vAlign w:val="bottom"/>
          </w:tcPr>
          <w:p>
            <w:pPr>
              <w:spacing w:after="0"/>
              <w:rPr>
                <w:sz w:val="19"/>
                <w:szCs w:val="19"/>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49,142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51,034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2"/>
              <w:spacing w:after="0"/>
              <w:rPr>
                <w:sz w:val="20"/>
                <w:szCs w:val="20"/>
                <w:color w:val="auto"/>
              </w:rPr>
            </w:pPr>
            <w:r>
              <w:rPr>
                <w:rFonts w:ascii="Arial" w:cs="Arial" w:eastAsia="Arial" w:hAnsi="Arial"/>
                <w:sz w:val="18"/>
                <w:szCs w:val="18"/>
                <w:color w:val="auto"/>
              </w:rPr>
              <w:t>48,910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51,548</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1"/>
              </w:rPr>
              <w:t>Weighted-average shares used in computing basic net income per</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share</w:t>
            </w:r>
          </w:p>
        </w:tc>
        <w:tc>
          <w:tcPr>
            <w:tcW w:w="320" w:type="dxa"/>
            <w:vAlign w:val="bottom"/>
          </w:tcPr>
          <w:p>
            <w:pPr>
              <w:spacing w:after="0"/>
              <w:rPr>
                <w:sz w:val="20"/>
                <w:szCs w:val="20"/>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49,142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51,034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48,910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51,548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Dilutive effect of stock options and restricted stock units using the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treasury-stock method</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5160" w:type="dxa"/>
            <w:vAlign w:val="bottom"/>
          </w:tcPr>
          <w:p>
            <w:pPr>
              <w:ind w:left="280"/>
              <w:spacing w:after="0"/>
              <w:rPr>
                <w:sz w:val="20"/>
                <w:szCs w:val="20"/>
                <w:color w:val="auto"/>
              </w:rPr>
            </w:pPr>
            <w:r>
              <w:rPr>
                <w:rFonts w:ascii="Arial" w:cs="Arial" w:eastAsia="Arial" w:hAnsi="Arial"/>
                <w:sz w:val="18"/>
                <w:szCs w:val="18"/>
                <w:color w:val="auto"/>
                <w:w w:val="90"/>
              </w:rPr>
              <w:t>Weighted-average shares used in computing diluted net income per</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50,107</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51,557</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49,690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52,089</w:t>
            </w:r>
          </w:p>
        </w:tc>
        <w:tc>
          <w:tcPr>
            <w:tcW w:w="0" w:type="dxa"/>
            <w:vAlign w:val="bottom"/>
          </w:tcPr>
          <w:p>
            <w:pPr>
              <w:spacing w:after="0"/>
              <w:rPr>
                <w:sz w:val="1"/>
                <w:szCs w:val="1"/>
                <w:color w:val="auto"/>
              </w:rPr>
            </w:pPr>
          </w:p>
        </w:tc>
      </w:tr>
      <w:tr>
        <w:trPr>
          <w:trHeight w:val="27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securities were not included in the calculation of diluted shares outstanding as the effect would have been anti-dilutive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5"/>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060" w:type="dxa"/>
            <w:vAlign w:val="bottom"/>
            <w:gridSpan w:val="3"/>
          </w:tcPr>
          <w:p>
            <w:pPr>
              <w:jc w:val="right"/>
              <w:ind w:right="473"/>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61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weighted-average:</w:t>
            </w: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804</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Restricted stock units</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2,714</w:t>
            </w:r>
          </w:p>
        </w:tc>
      </w:tr>
      <w:tr>
        <w:trPr>
          <w:trHeight w:val="459"/>
        </w:trPr>
        <w:tc>
          <w:tcPr>
            <w:tcW w:w="6160" w:type="dxa"/>
            <w:vAlign w:val="bottom"/>
            <w:gridSpan w:val="2"/>
          </w:tcPr>
          <w:p>
            <w:pPr>
              <w:ind w:left="5660"/>
              <w:spacing w:after="0"/>
              <w:rPr>
                <w:sz w:val="20"/>
                <w:szCs w:val="20"/>
                <w:color w:val="auto"/>
              </w:rPr>
            </w:pPr>
            <w:r>
              <w:rPr>
                <w:rFonts w:ascii="Arial" w:cs="Arial" w:eastAsia="Arial" w:hAnsi="Arial"/>
                <w:sz w:val="18"/>
                <w:szCs w:val="18"/>
                <w:color w:val="auto"/>
              </w:rPr>
              <w:t>7</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0"/>
              </w:rPr>
              <w:t>June 30, 2017</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27,385</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27,385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27,385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35,112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35,112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23,245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6,977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9,681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9,675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5"/>
          </w:tcPr>
          <w:p>
            <w:pPr>
              <w:jc w:val="center"/>
              <w:ind w:left="659"/>
              <w:spacing w:after="0"/>
              <w:rPr>
                <w:sz w:val="20"/>
                <w:szCs w:val="20"/>
                <w:color w:val="auto"/>
              </w:rPr>
            </w:pPr>
            <w:r>
              <w:rPr>
                <w:rFonts w:ascii="Arial" w:cs="Arial" w:eastAsia="Arial" w:hAnsi="Arial"/>
                <w:sz w:val="16"/>
                <w:szCs w:val="16"/>
                <w:b w:val="1"/>
                <w:bCs w:val="1"/>
                <w:color w:val="auto"/>
                <w:w w:val="91"/>
              </w:rPr>
              <w:t>December 31, 2016</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Amortized</w:t>
            </w:r>
          </w:p>
        </w:tc>
        <w:tc>
          <w:tcPr>
            <w:tcW w:w="220" w:type="dxa"/>
            <w:vAlign w:val="bottom"/>
          </w:tcPr>
          <w:p>
            <w:pPr>
              <w:spacing w:after="0"/>
              <w:rPr>
                <w:sz w:val="20"/>
                <w:szCs w:val="20"/>
                <w:color w:val="auto"/>
              </w:rPr>
            </w:pPr>
          </w:p>
        </w:tc>
        <w:tc>
          <w:tcPr>
            <w:tcW w:w="2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Cost</w:t>
            </w:r>
          </w:p>
        </w:tc>
        <w:tc>
          <w:tcPr>
            <w:tcW w:w="220" w:type="dxa"/>
            <w:vAlign w:val="bottom"/>
          </w:tcPr>
          <w:p>
            <w:pPr>
              <w:spacing w:after="0"/>
              <w:rPr>
                <w:sz w:val="20"/>
                <w:szCs w:val="20"/>
                <w:color w:val="auto"/>
              </w:rPr>
            </w:pPr>
          </w:p>
        </w:tc>
        <w:tc>
          <w:tcPr>
            <w:tcW w:w="9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200" w:type="dxa"/>
            <w:vAlign w:val="bottom"/>
          </w:tcPr>
          <w:p>
            <w:pPr>
              <w:spacing w:after="0"/>
              <w:rPr>
                <w:sz w:val="20"/>
                <w:szCs w:val="20"/>
                <w:color w:val="auto"/>
              </w:rPr>
            </w:pPr>
          </w:p>
        </w:tc>
        <w:tc>
          <w:tcPr>
            <w:tcW w:w="84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Losses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840" w:type="dxa"/>
            <w:vAlign w:val="bottom"/>
          </w:tcPr>
          <w:p>
            <w:pPr>
              <w:ind w:left="8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33,356</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33,356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30,286</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3,070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35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4,296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Municipal bonds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6"/>
                <w:szCs w:val="16"/>
                <w:color w:val="auto"/>
              </w:rPr>
              <w:t>U.S. government and agency securities</w:t>
            </w:r>
          </w:p>
        </w:tc>
        <w:tc>
          <w:tcPr>
            <w:tcW w:w="1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20,033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20,038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The Company's financial investments are generally classified as available-for-sale. Available-for-sale securities are reported at fair value, with unrealized gains and losses, net of tax, included as a separate component of stockholders’ equity within accumulated other comprehensive loss. Realized gains and losses on these securities are included in other income (expense), net in the Company’s condensed consolidated statements of operations and have not been material for all periods presented.</w:t>
      </w:r>
    </w:p>
    <w:p>
      <w:pPr>
        <w:spacing w:after="0" w:line="187" w:lineRule="exact"/>
        <w:rPr>
          <w:sz w:val="20"/>
          <w:szCs w:val="20"/>
          <w:color w:val="auto"/>
        </w:rPr>
      </w:pPr>
    </w:p>
    <w:p>
      <w:pPr>
        <w:jc w:val="both"/>
        <w:ind w:right="280" w:firstLine="446"/>
        <w:spacing w:after="0" w:line="264" w:lineRule="auto"/>
        <w:rPr>
          <w:sz w:val="20"/>
          <w:szCs w:val="20"/>
          <w:color w:val="auto"/>
        </w:rPr>
      </w:pPr>
      <w:r>
        <w:rPr>
          <w:rFonts w:ascii="Arial" w:cs="Arial" w:eastAsia="Arial" w:hAnsi="Arial"/>
          <w:sz w:val="18"/>
          <w:szCs w:val="18"/>
          <w:color w:val="auto"/>
        </w:rPr>
        <w:t>As of June 30, 2017 and December 31, 2016, approximately 100% and 96%, respectively, of the Company's marketable security investments mature within one year and nil and 4%, respectively, mature within one to five years. As of June 30, 2017, no individual securities incurred continuous unrealized losses for greater than 12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Patent assets,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ind w:right="214"/>
              <w:spacing w:after="0"/>
              <w:rPr>
                <w:sz w:val="20"/>
                <w:szCs w:val="20"/>
                <w:color w:val="auto"/>
              </w:rPr>
            </w:pPr>
            <w:r>
              <w:rPr>
                <w:rFonts w:ascii="Arial" w:cs="Arial" w:eastAsia="Arial" w:hAnsi="Arial"/>
                <w:sz w:val="16"/>
                <w:szCs w:val="16"/>
                <w:b w:val="1"/>
                <w:bCs w:val="1"/>
                <w:color w:val="auto"/>
                <w:w w:val="96"/>
              </w:rPr>
              <w:t>December 31,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37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5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Disposals</w:t>
            </w:r>
          </w:p>
        </w:tc>
        <w:tc>
          <w:tcPr>
            <w:tcW w:w="280" w:type="dxa"/>
            <w:vAlign w:val="bottom"/>
          </w:tcPr>
          <w:p>
            <w:pPr>
              <w:spacing w:after="0"/>
              <w:rPr>
                <w:sz w:val="18"/>
                <w:szCs w:val="18"/>
                <w:color w:val="auto"/>
              </w:rPr>
            </w:pPr>
          </w:p>
        </w:tc>
        <w:tc>
          <w:tcPr>
            <w:tcW w:w="12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r>
      <w:tr>
        <w:trPr>
          <w:trHeight w:val="3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932,283</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972,459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(79,566)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(797,450)</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212,999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175,009</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patent asset portfolio on a straight-line basis over its estimated economic useful life. As of June 30, 2017, the estimated economic useful lives of the Company’s patent assets generally ranged from 24 to 60 months. As of June 30, 2017, the weighted-average estimated economic useful life at the time of acquisition of all patent assets acquired since the Company’s inception was 40 months. Patent assets acquired during the six months ended June 30, 2017 had a weighted-average estimated economic useful life at the time of acquisition of 23 months.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60"/>
              <w:spacing w:after="0"/>
              <w:rPr>
                <w:sz w:val="20"/>
                <w:szCs w:val="20"/>
                <w:color w:val="auto"/>
              </w:rPr>
            </w:pPr>
            <w:r>
              <w:rPr>
                <w:rFonts w:ascii="Arial" w:cs="Arial" w:eastAsia="Arial" w:hAnsi="Arial"/>
                <w:sz w:val="18"/>
                <w:szCs w:val="18"/>
                <w:color w:val="auto"/>
              </w:rPr>
              <w:t>As of June 30, 2017, the Company expects amortization expense in future periods to be as follows (in thousands):</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35"/>
        </w:trPr>
        <w:tc>
          <w:tcPr>
            <w:tcW w:w="9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68,903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78,204</w:t>
            </w:r>
          </w:p>
        </w:tc>
      </w:tr>
      <w:tr>
        <w:trPr>
          <w:trHeight w:val="27"/>
        </w:trPr>
        <w:tc>
          <w:tcPr>
            <w:tcW w:w="9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24,234</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3,668</w:t>
            </w:r>
          </w:p>
        </w:tc>
      </w:tr>
      <w:tr>
        <w:trPr>
          <w:trHeight w:val="27"/>
        </w:trPr>
        <w:tc>
          <w:tcPr>
            <w:tcW w:w="99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175,009</w:t>
            </w:r>
          </w:p>
        </w:tc>
      </w:tr>
      <w:tr>
        <w:trPr>
          <w:trHeight w:val="20"/>
        </w:trPr>
        <w:tc>
          <w:tcPr>
            <w:tcW w:w="9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446"/>
        <w:spacing w:after="0" w:line="277" w:lineRule="auto"/>
        <w:rPr>
          <w:sz w:val="20"/>
          <w:szCs w:val="20"/>
          <w:color w:val="auto"/>
        </w:rPr>
      </w:pPr>
      <w:r>
        <w:rPr>
          <w:rFonts w:ascii="Arial" w:cs="Arial" w:eastAsia="Arial" w:hAnsi="Arial"/>
          <w:sz w:val="18"/>
          <w:szCs w:val="18"/>
          <w:color w:val="auto"/>
        </w:rPr>
        <w:t>Amortization expense related to the Company's patent assets was $39.8 million and $37.7 million for the three months ended June 30, 2017 and 2016, respectively, and $79.6 million and $79.5 million for the six months ended June 30, 2017 and 2016, respectively.</w:t>
      </w:r>
    </w:p>
    <w:p>
      <w:pPr>
        <w:spacing w:after="0" w:line="126"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Internal-use software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2,169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935</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gross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17,293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16,318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r>
      <w:tr>
        <w:trPr>
          <w:trHeight w:val="257"/>
        </w:trPr>
        <w:tc>
          <w:tcPr>
            <w:tcW w:w="8340" w:type="dxa"/>
            <w:vAlign w:val="bottom"/>
          </w:tcPr>
          <w:p>
            <w:pPr>
              <w:ind w:left="180"/>
              <w:spacing w:after="0"/>
              <w:rPr>
                <w:sz w:val="20"/>
                <w:szCs w:val="20"/>
                <w:color w:val="auto"/>
              </w:rPr>
            </w:pPr>
            <w:r>
              <w:rPr>
                <w:rFonts w:ascii="Arial" w:cs="Arial" w:eastAsia="Arial" w:hAnsi="Arial"/>
                <w:sz w:val="18"/>
                <w:szCs w:val="18"/>
                <w:color w:val="auto"/>
              </w:rPr>
              <w:t>Total property and equipment,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6,948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Depreciation and amortization expense related to the Company's property and equipment was $0.8 million for each three month period ended June 30, 2017 and 2016, and $1.6 million and $1.4 million for the six months ended June 30, 2017 and 2016,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81"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On January 22, 2016, the Company completed its acquisition of all of the issued and outstanding shares of Inventus, to expand into the litigation discovery services market. The final purchase price for Inventus was approximately $232.0 million, net of working capital adjustments, which the Company paid in January 2016. The following table summarizes the cash paid and the estimated fair values of the assets and the liabilities assumed (in thousands) and the estimated useful lives of the acquired identifiable intangible assets: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71"/>
              <w:spacing w:after="0"/>
              <w:rPr>
                <w:sz w:val="20"/>
                <w:szCs w:val="20"/>
                <w:color w:val="auto"/>
              </w:rPr>
            </w:pPr>
            <w:r>
              <w:rPr>
                <w:rFonts w:ascii="Arial" w:cs="Arial" w:eastAsia="Arial" w:hAnsi="Arial"/>
                <w:sz w:val="16"/>
                <w:szCs w:val="16"/>
                <w:b w:val="1"/>
                <w:bCs w:val="1"/>
                <w:color w:val="auto"/>
                <w:w w:val="94"/>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2"/>
              </w:rPr>
              <w:t>Estimated Useful Life</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9 - 10 years</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1 - 6 years</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145,984</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equipment and other long-term assets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10,595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Cash purchase consideration paid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233,300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46"/>
        <w:spacing w:after="0" w:line="297" w:lineRule="auto"/>
        <w:rPr>
          <w:sz w:val="20"/>
          <w:szCs w:val="20"/>
          <w:color w:val="auto"/>
        </w:rPr>
      </w:pPr>
      <w:r>
        <w:rPr>
          <w:rFonts w:ascii="Arial" w:cs="Arial" w:eastAsia="Arial" w:hAnsi="Arial"/>
          <w:sz w:val="16"/>
          <w:szCs w:val="16"/>
          <w:color w:val="auto"/>
        </w:rPr>
        <w:t>The intangible assets acquired are amortized on a straight-line basis which reflects the pattern in which the economic benefits of the intangible assets are expected to be utilized. The goodwill recorded is primarily attributable to the Company's opportunity to expand into the litigation discovery services market and is not deductible for tax purposes. For the six months ended June 30, 2016, the Company recorded acquisition-related costs of $1.2 million which were expensed as incurred and included in selling, general and administrative expenses in the Company's condensed consolidated statements of operations. The Company has included the following financial results of Inventus in its condensed consolidated financial statements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9"/>
              </w:rPr>
              <w:t>Six Months Ended June 30,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Discovery Services</w:t>
            </w: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9,920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20,045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11,262</w:t>
            </w:r>
          </w:p>
        </w:tc>
        <w:tc>
          <w:tcPr>
            <w:tcW w:w="0" w:type="dxa"/>
            <w:vAlign w:val="bottom"/>
          </w:tcPr>
          <w:p>
            <w:pPr>
              <w:spacing w:after="0"/>
              <w:rPr>
                <w:sz w:val="1"/>
                <w:szCs w:val="1"/>
                <w:color w:val="auto"/>
              </w:rPr>
            </w:pPr>
          </w:p>
        </w:tc>
      </w:tr>
      <w:tr>
        <w:trPr>
          <w:trHeight w:val="257"/>
        </w:trPr>
        <w:tc>
          <w:tcPr>
            <w:tcW w:w="56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3,631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446"/>
        <w:spacing w:after="0" w:line="270" w:lineRule="auto"/>
        <w:rPr>
          <w:sz w:val="20"/>
          <w:szCs w:val="20"/>
          <w:color w:val="auto"/>
        </w:rPr>
      </w:pPr>
      <w:r>
        <w:rPr>
          <w:rFonts w:ascii="Arial" w:cs="Arial" w:eastAsia="Arial" w:hAnsi="Arial"/>
          <w:sz w:val="17"/>
          <w:szCs w:val="17"/>
          <w:color w:val="auto"/>
        </w:rPr>
        <w:t>The unaudited pro forma financial information in the table below summarizes the combined results of operations for the Company and Inventus as though the companies had been consolidated as of January 1, 2015, and includes the accounting effects resulting from the acquisition including amortization charges from the acquired intangible assets, $13.5 million of transaction costs incurred which were directly attributable to the acquisition of Inventus, and elimination of interest expenses and debt issuance and extinguishment costs associated with Inventus's historical debt which was extinguished upon the Company's acquisition of Inventus. This unaudited pro forma information also adjusts for Inventus's acquisition of London-based Unified OS Limited and certain of its affiliates as well as certain assets of Kooby LLP (collectively, "Unified") as though it had been consolidated as of January 1, 2015. These accounting effects do not have any impact on the Company's 2017 financial information. The following unaudited pro forma financial information is for information purposes only and is not necessarily indicative of the results of operations that would have been achieved if the acquisition had taken place as of January 1, 2015 (in thousands, except per share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Three Months</w:t>
            </w:r>
          </w:p>
        </w:tc>
        <w:tc>
          <w:tcPr>
            <w:tcW w:w="14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Ended June 30,</w:t>
            </w:r>
          </w:p>
        </w:tc>
        <w:tc>
          <w:tcPr>
            <w:tcW w:w="300" w:type="dxa"/>
            <w:vAlign w:val="bottom"/>
          </w:tcPr>
          <w:p>
            <w:pPr>
              <w:spacing w:after="0"/>
              <w:rPr>
                <w:sz w:val="18"/>
                <w:szCs w:val="18"/>
                <w:color w:val="auto"/>
              </w:rPr>
            </w:pPr>
          </w:p>
        </w:tc>
        <w:tc>
          <w:tcPr>
            <w:tcW w:w="1180" w:type="dxa"/>
            <w:vAlign w:val="bottom"/>
          </w:tcPr>
          <w:p>
            <w:pPr>
              <w:jc w:val="center"/>
              <w:ind w:right="193"/>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center"/>
              <w:ind w:right="213"/>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83,109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165,784</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4,150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160" w:type="dxa"/>
            <w:vAlign w:val="bottom"/>
            <w:vMerge w:val="restart"/>
          </w:tcPr>
          <w:p>
            <w:pPr>
              <w:spacing w:after="0"/>
              <w:rPr>
                <w:sz w:val="20"/>
                <w:szCs w:val="20"/>
                <w:color w:val="auto"/>
              </w:rPr>
            </w:pPr>
            <w:r>
              <w:rPr>
                <w:rFonts w:ascii="Arial" w:cs="Arial" w:eastAsia="Arial" w:hAnsi="Arial"/>
                <w:sz w:val="18"/>
                <w:szCs w:val="18"/>
                <w:b w:val="1"/>
                <w:bCs w:val="1"/>
                <w:color w:val="auto"/>
                <w:w w:val="92"/>
              </w:rPr>
              <w:t>8.</w:t>
            </w:r>
          </w:p>
        </w:tc>
        <w:tc>
          <w:tcPr>
            <w:tcW w:w="65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Goodwill</w:t>
            </w: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60" w:type="dxa"/>
            <w:vAlign w:val="bottom"/>
            <w:vMerge w:val="continue"/>
          </w:tcPr>
          <w:p>
            <w:pPr>
              <w:spacing w:after="0"/>
              <w:rPr>
                <w:sz w:val="24"/>
                <w:szCs w:val="24"/>
                <w:color w:val="auto"/>
              </w:rPr>
            </w:pPr>
          </w:p>
        </w:tc>
        <w:tc>
          <w:tcPr>
            <w:tcW w:w="6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60" w:type="dxa"/>
            <w:vAlign w:val="bottom"/>
          </w:tcPr>
          <w:p>
            <w:pPr>
              <w:spacing w:after="0"/>
              <w:rPr>
                <w:sz w:val="24"/>
                <w:szCs w:val="24"/>
                <w:color w:val="auto"/>
              </w:rPr>
            </w:pPr>
          </w:p>
        </w:tc>
        <w:tc>
          <w:tcPr>
            <w:tcW w:w="8180" w:type="dxa"/>
            <w:vAlign w:val="bottom"/>
            <w:gridSpan w:val="4"/>
          </w:tcPr>
          <w:p>
            <w:pPr>
              <w:ind w:left="300"/>
              <w:spacing w:after="0"/>
              <w:rPr>
                <w:sz w:val="20"/>
                <w:szCs w:val="20"/>
                <w:color w:val="auto"/>
              </w:rPr>
            </w:pPr>
            <w:r>
              <w:rPr>
                <w:rFonts w:ascii="Arial" w:cs="Arial" w:eastAsia="Arial" w:hAnsi="Arial"/>
                <w:sz w:val="18"/>
                <w:szCs w:val="18"/>
                <w:color w:val="auto"/>
                <w:w w:val="96"/>
              </w:rPr>
              <w:t>The changes in the carrying amounts of goodwill by operating segment were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Patent Risk</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Management</w:t>
            </w:r>
          </w:p>
        </w:tc>
        <w:tc>
          <w:tcPr>
            <w:tcW w:w="2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Discovery Services</w:t>
            </w:r>
          </w:p>
        </w:tc>
        <w:tc>
          <w:tcPr>
            <w:tcW w:w="300" w:type="dxa"/>
            <w:vAlign w:val="bottom"/>
          </w:tcPr>
          <w:p>
            <w:pPr>
              <w:spacing w:after="0"/>
              <w:rPr>
                <w:sz w:val="18"/>
                <w:szCs w:val="18"/>
                <w:color w:val="auto"/>
              </w:rPr>
            </w:pPr>
          </w:p>
        </w:tc>
        <w:tc>
          <w:tcPr>
            <w:tcW w:w="1180" w:type="dxa"/>
            <w:vAlign w:val="bottom"/>
          </w:tcPr>
          <w:p>
            <w:pPr>
              <w:jc w:val="center"/>
              <w:ind w:right="213"/>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19,978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131,344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151,322</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5,015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June 30, 2017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19,978</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136,359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156,337</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140" w:firstLine="486"/>
        <w:spacing w:after="0" w:line="264" w:lineRule="auto"/>
        <w:rPr>
          <w:sz w:val="20"/>
          <w:szCs w:val="20"/>
          <w:color w:val="auto"/>
        </w:rPr>
      </w:pPr>
      <w:r>
        <w:rPr>
          <w:rFonts w:ascii="Arial" w:cs="Arial" w:eastAsia="Arial" w:hAnsi="Arial"/>
          <w:sz w:val="18"/>
          <w:szCs w:val="18"/>
          <w:color w:val="auto"/>
        </w:rPr>
        <w:t>The Company reviews goodwill for impairment at least annually or more frequently if events or changes in circumstances indicate that the carrying value of goodwill may not be recoverable. As of June 30, 2017, no impairment of goodwill had been identified.</w:t>
      </w:r>
    </w:p>
    <w:p>
      <w:pPr>
        <w:spacing w:after="0" w:line="137"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net,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6"/>
          </w:tcPr>
          <w:p>
            <w:pPr>
              <w:ind w:left="480"/>
              <w:spacing w:after="0"/>
              <w:rPr>
                <w:sz w:val="20"/>
                <w:szCs w:val="20"/>
                <w:color w:val="auto"/>
              </w:rPr>
            </w:pPr>
            <w:r>
              <w:rPr>
                <w:rFonts w:ascii="Arial" w:cs="Arial" w:eastAsia="Arial" w:hAnsi="Arial"/>
                <w:sz w:val="16"/>
                <w:szCs w:val="16"/>
                <w:b w:val="1"/>
                <w:bCs w:val="1"/>
                <w:color w:val="auto"/>
              </w:rPr>
              <w:t>June 30, 2017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3"/>
        </w:trPr>
        <w:tc>
          <w:tcPr>
            <w:tcW w:w="354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9"/>
        </w:trPr>
        <w:tc>
          <w:tcPr>
            <w:tcW w:w="35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Net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3"/>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54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average Life</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7"/>
              </w:rPr>
              <w:t>Carrying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7"/>
                <w:szCs w:val="1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780" w:type="dxa"/>
            <w:vAlign w:val="bottom"/>
          </w:tcPr>
          <w:p>
            <w:pPr>
              <w:jc w:val="right"/>
              <w:ind w:right="32"/>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78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5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120" w:type="dxa"/>
            <w:vAlign w:val="bottom"/>
          </w:tcPr>
          <w:p>
            <w:pPr>
              <w:spacing w:after="0"/>
              <w:rPr>
                <w:sz w:val="18"/>
                <w:szCs w:val="18"/>
                <w:color w:val="auto"/>
              </w:rPr>
            </w:pPr>
          </w:p>
        </w:tc>
        <w:tc>
          <w:tcPr>
            <w:tcW w:w="780" w:type="dxa"/>
            <w:vAlign w:val="bottom"/>
          </w:tcPr>
          <w:p>
            <w:pPr>
              <w:jc w:val="right"/>
              <w:ind w:right="72"/>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780" w:type="dxa"/>
            <w:vAlign w:val="bottom"/>
          </w:tcPr>
          <w:p>
            <w:pPr>
              <w:jc w:val="center"/>
              <w:ind w:right="33"/>
              <w:spacing w:after="0"/>
              <w:rPr>
                <w:sz w:val="20"/>
                <w:szCs w:val="20"/>
                <w:color w:val="auto"/>
              </w:rPr>
            </w:pPr>
            <w:r>
              <w:rPr>
                <w:rFonts w:ascii="Arial" w:cs="Arial" w:eastAsia="Arial" w:hAnsi="Arial"/>
                <w:sz w:val="16"/>
                <w:szCs w:val="16"/>
                <w:b w:val="1"/>
                <w:bCs w:val="1"/>
                <w:color w:val="auto"/>
                <w:w w:val="95"/>
              </w:rPr>
              <w:t>Amount</w:t>
            </w:r>
          </w:p>
        </w:tc>
      </w:tr>
      <w:tr>
        <w:trPr>
          <w:trHeight w:val="33"/>
        </w:trPr>
        <w:tc>
          <w:tcPr>
            <w:tcW w:w="35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Covenant not to compete</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Proprietary data and models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49,396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4,893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33"/>
              <w:spacing w:after="0"/>
              <w:rPr>
                <w:sz w:val="20"/>
                <w:szCs w:val="20"/>
                <w:color w:val="auto"/>
              </w:rPr>
            </w:pPr>
            <w:r>
              <w:rPr>
                <w:rFonts w:ascii="Arial" w:cs="Arial" w:eastAsia="Arial" w:hAnsi="Arial"/>
                <w:sz w:val="18"/>
                <w:szCs w:val="18"/>
                <w:color w:val="auto"/>
              </w:rPr>
              <w:t>2,195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2,440</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3,824</w:t>
            </w:r>
          </w:p>
        </w:tc>
      </w:tr>
      <w:tr>
        <w:trPr>
          <w:trHeight w:val="237"/>
        </w:trPr>
        <w:tc>
          <w:tcPr>
            <w:tcW w:w="3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69,901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52,518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70,400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56,050</w:t>
            </w:r>
          </w:p>
        </w:tc>
      </w:tr>
      <w:tr>
        <w:trPr>
          <w:trHeight w:val="27"/>
        </w:trPr>
        <w:tc>
          <w:tcPr>
            <w:tcW w:w="3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656"/>
        </w:trPr>
        <w:tc>
          <w:tcPr>
            <w:tcW w:w="3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gridSpan w:val="3"/>
          </w:tcPr>
          <w:p>
            <w:pPr>
              <w:jc w:val="right"/>
              <w:ind w:right="10"/>
              <w:spacing w:after="0"/>
              <w:rPr>
                <w:sz w:val="20"/>
                <w:szCs w:val="20"/>
                <w:color w:val="auto"/>
              </w:rPr>
            </w:pPr>
            <w:r>
              <w:rPr>
                <w:rFonts w:ascii="Arial" w:cs="Arial" w:eastAsia="Arial" w:hAnsi="Arial"/>
                <w:sz w:val="18"/>
                <w:szCs w:val="18"/>
                <w:color w:val="auto"/>
                <w:w w:val="99"/>
              </w:rPr>
              <w:t>11</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80"/>
        </w:trPr>
        <w:tc>
          <w:tcPr>
            <w:tcW w:w="9940" w:type="dxa"/>
            <w:vAlign w:val="bottom"/>
            <w:gridSpan w:val="2"/>
          </w:tcPr>
          <w:p>
            <w:pPr>
              <w:ind w:left="500"/>
              <w:spacing w:after="0"/>
              <w:rPr>
                <w:sz w:val="20"/>
                <w:szCs w:val="20"/>
                <w:color w:val="auto"/>
              </w:rPr>
            </w:pPr>
            <w:r>
              <w:rPr>
                <w:rFonts w:ascii="Arial" w:cs="Arial" w:eastAsia="Arial" w:hAnsi="Arial"/>
                <w:sz w:val="18"/>
                <w:szCs w:val="18"/>
                <w:color w:val="auto"/>
              </w:rPr>
              <w:t>As of June 30, 2017, the Company expects amortization expense in future periods to be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128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0"/>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2018</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8,412</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6,552</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6,435</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6,435</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20,478</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52,518</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Amortization expense related to the Company's intangible assets was $2.3 million and $2.6 million for the three months ended June 30, 2017 and 2016, respectively, and $4.7 million and $4.8 million for the six months ended June 30, 2017 and 2016, respectively.</w:t>
      </w:r>
    </w:p>
    <w:p>
      <w:pPr>
        <w:spacing w:after="0" w:line="126"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w:t>
      </w:r>
    </w:p>
    <w:p>
      <w:pPr>
        <w:spacing w:after="0" w:line="8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consisted of the following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7"/>
                <w:szCs w:val="17"/>
                <w:color w:val="auto"/>
              </w:rPr>
            </w:pPr>
          </w:p>
        </w:tc>
        <w:tc>
          <w:tcPr>
            <w:tcW w:w="1300" w:type="dxa"/>
            <w:vAlign w:val="bottom"/>
          </w:tcPr>
          <w:p>
            <w:pPr>
              <w:jc w:val="right"/>
              <w:ind w:right="194"/>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jc w:val="right"/>
              <w:ind w:right="494"/>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payroll-related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5,282</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13,905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16,798</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81" w:lineRule="exact"/>
        <w:rPr>
          <w:sz w:val="20"/>
          <w:szCs w:val="20"/>
          <w:color w:val="auto"/>
        </w:rPr>
      </w:pPr>
    </w:p>
    <w:p>
      <w:pPr>
        <w:ind w:right="320" w:firstLine="486"/>
        <w:spacing w:after="0" w:line="288" w:lineRule="auto"/>
        <w:rPr>
          <w:sz w:val="20"/>
          <w:szCs w:val="20"/>
          <w:color w:val="auto"/>
        </w:rPr>
      </w:pPr>
      <w:r>
        <w:rPr>
          <w:rFonts w:ascii="Arial" w:cs="Arial" w:eastAsia="Arial" w:hAnsi="Arial"/>
          <w:sz w:val="16"/>
          <w:szCs w:val="16"/>
          <w:color w:val="auto"/>
        </w:rPr>
        <w:t>On February 26, 2016, the Company entered into a Credit Agreement (the "Credit Agreement") which provided for a $100 million five-year term facility (the "Term Facility") and a $50 million five-year revolving credit facility (the "Revolving Credit Facility"), which remains undrawn as of June 30, 2017. The Term Facility bears interest which is payable quarterly in arrears at the Company's option equal to either a base rate plus a margin ranging from</w:t>
      </w:r>
    </w:p>
    <w:p>
      <w:pPr>
        <w:ind w:right="20"/>
        <w:spacing w:after="0" w:line="252" w:lineRule="auto"/>
        <w:rPr>
          <w:sz w:val="20"/>
          <w:szCs w:val="20"/>
          <w:color w:val="auto"/>
        </w:rPr>
      </w:pPr>
      <w:r>
        <w:rPr>
          <w:rFonts w:ascii="Arial" w:cs="Arial" w:eastAsia="Arial" w:hAnsi="Arial"/>
          <w:sz w:val="18"/>
          <w:szCs w:val="18"/>
          <w:color w:val="auto"/>
        </w:rPr>
        <w:t>1.25% to 1.75% per annum or, at the Company's election, the one-, two-, three-, or six-month London interbank offered rate ("LIBOR") plus a margin ranging from 2.25% to 2.75% per annum, based upon the ratio of the Company's debt to consolidated EBITDA ratio. The outstanding balance on the Term Facility bore interest during the six months ended June 30, 2017 at an average interest rate of 3.4%, which approximates fair value. The Revolving Credit Facility bears a commitment fee on undrawn balances of 0.35% to 0.45% per annum, also based upon the Company's debt to consolidated adjusted EBITDA ratio, that is expensed as incurred. The Credit Agreement contains financial covenants requiring the Company to maintain certain leverage and fixed charge ratios. The Company is compliant with these covenants as of June 30, 2017. The Credit Agreement also includes limitations on the Company's debt incurrence, dividend payments, and disposal activities.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2017, the Term Facility requires principal repayments in accordance with the following schedule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 (remainder)</w:t>
            </w:r>
          </w:p>
        </w:tc>
        <w:tc>
          <w:tcPr>
            <w:tcW w:w="6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2018</w:t>
            </w:r>
          </w:p>
        </w:tc>
        <w:tc>
          <w:tcPr>
            <w:tcW w:w="5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11,875</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2020</w:t>
            </w:r>
          </w:p>
        </w:tc>
        <w:tc>
          <w:tcPr>
            <w:tcW w:w="5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18,125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7"/>
        </w:trPr>
        <w:tc>
          <w:tcPr>
            <w:tcW w:w="4140" w:type="dxa"/>
            <w:vAlign w:val="bottom"/>
          </w:tcPr>
          <w:p>
            <w:pPr>
              <w:ind w:left="180"/>
              <w:spacing w:after="0"/>
              <w:rPr>
                <w:sz w:val="20"/>
                <w:szCs w:val="20"/>
                <w:color w:val="auto"/>
              </w:rPr>
            </w:pPr>
            <w:r>
              <w:rPr>
                <w:rFonts w:ascii="Arial" w:cs="Arial" w:eastAsia="Arial" w:hAnsi="Arial"/>
                <w:sz w:val="18"/>
                <w:szCs w:val="18"/>
                <w:color w:val="auto"/>
              </w:rPr>
              <w:t>Long-term debt, gross</w:t>
            </w:r>
          </w:p>
        </w:tc>
        <w:tc>
          <w:tcPr>
            <w:tcW w:w="59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93,125</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5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97"/>
        </w:trPr>
        <w:tc>
          <w:tcPr>
            <w:tcW w:w="4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Long-term debt, net</w:t>
            </w:r>
          </w:p>
        </w:tc>
        <w:tc>
          <w:tcPr>
            <w:tcW w:w="59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91,659</w:t>
            </w:r>
          </w:p>
        </w:tc>
        <w:tc>
          <w:tcPr>
            <w:tcW w:w="0" w:type="dxa"/>
            <w:vAlign w:val="bottom"/>
          </w:tcPr>
          <w:p>
            <w:pPr>
              <w:spacing w:after="0"/>
              <w:rPr>
                <w:sz w:val="1"/>
                <w:szCs w:val="1"/>
                <w:color w:val="auto"/>
              </w:rPr>
            </w:pPr>
          </w:p>
        </w:tc>
      </w:tr>
      <w:tr>
        <w:trPr>
          <w:trHeight w:val="311"/>
        </w:trPr>
        <w:tc>
          <w:tcPr>
            <w:tcW w:w="414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Reported as:</w:t>
            </w:r>
          </w:p>
        </w:tc>
        <w:tc>
          <w:tcPr>
            <w:tcW w:w="5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63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Long-term debt, less current portion</w:t>
            </w:r>
          </w:p>
        </w:tc>
        <w:tc>
          <w:tcPr>
            <w:tcW w:w="5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83,935</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63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91,659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jc w:val="right"/>
              <w:ind w:right="4170"/>
              <w:spacing w:after="0"/>
              <w:rPr>
                <w:sz w:val="20"/>
                <w:szCs w:val="20"/>
                <w:color w:val="auto"/>
              </w:rPr>
            </w:pPr>
            <w:r>
              <w:rPr>
                <w:rFonts w:ascii="Arial" w:cs="Arial" w:eastAsia="Arial" w:hAnsi="Arial"/>
                <w:sz w:val="18"/>
                <w:szCs w:val="18"/>
                <w:color w:val="auto"/>
              </w:rPr>
              <w:t>12</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4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8380" w:hanging="492"/>
        <w:spacing w:after="0" w:line="331" w:lineRule="auto"/>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ind w:right="100" w:firstLine="486"/>
        <w:spacing w:after="0" w:line="271" w:lineRule="auto"/>
        <w:rPr>
          <w:sz w:val="20"/>
          <w:szCs w:val="20"/>
          <w:color w:val="auto"/>
        </w:rPr>
      </w:pPr>
      <w:r>
        <w:rPr>
          <w:rFonts w:ascii="Arial" w:cs="Arial" w:eastAsia="Arial" w:hAnsi="Arial"/>
          <w:sz w:val="17"/>
          <w:szCs w:val="17"/>
          <w:color w:val="auto"/>
        </w:rPr>
        <w:t>The Company generally does not enter into long-term minimum purchase commitments. Its principal long-term commitments consist of obligations under operating leases for office space. In June 2017, the Company executed an amendment to its operating lease for its corporate headquarters in San Francisco. In accordance with the amendment, effective August 2017, the Company will reduce its leased space by approximately 18,000 square feet of the approximately 67,000 square feet of total previously leased space, which will reduce the Company's future operating lease commitments by approximately $2.4 million over the remaining lease term. Other than this change to the Company's lease obligation for its corporate headquarters, there were no material changes to the Company’s contractual obligations or commitments during the six months ended June 30, 2017 as compared to those presented under the heading “Commitments and Contingencies” in Note 12 of the Notes to Consolidated Financial Statements in Part II, Item 8 of the Company’s Annual Report on Form 10-K filed with the SEC on February 28, 2017.</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rent expense related to non-cancelable operating leases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296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540" w:type="dxa"/>
            <w:vAlign w:val="bottom"/>
            <w:gridSpan w:val="4"/>
          </w:tcPr>
          <w:p>
            <w:pPr>
              <w:jc w:val="right"/>
              <w:ind w:right="372"/>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2016</w:t>
            </w:r>
          </w:p>
        </w:tc>
      </w:tr>
      <w:tr>
        <w:trPr>
          <w:trHeight w:val="33"/>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6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 expense, net of sublease income</w:t>
            </w:r>
          </w:p>
        </w:tc>
        <w:tc>
          <w:tcPr>
            <w:tcW w:w="92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r>
      <w:tr>
        <w:trPr>
          <w:trHeight w:val="20"/>
        </w:trPr>
        <w:tc>
          <w:tcPr>
            <w:tcW w:w="5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June 30, 2017 or December 31, 2016.</w:t>
      </w:r>
    </w:p>
    <w:p>
      <w:pPr>
        <w:spacing w:after="0" w:line="187"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In April 2016, Sourceprose Corporation filed a complaint in the U.S. District Court for the Western District of Texas against the Company alleging breach of an agreement with the plaintiff to purchase certain patent assets and breach of a non-disclosure agreement with plaintiff. In July 2016, the Court transferred the litigation to the U.S. District Court for the Northern District of California. In November 2016, the Company moved to dismiss the claims of breach of an assignment of patents. In January 2017, the U.S. District Court for the Northern District of California dismissed the claims of breach of a patent assignment without prejudice, and allowed the plaintiff to file an amended complaint. The plaintiff filed an amended complaint in February 2017, alleging breach of a non-disclosure agreement, breach of an agreement to assign patents and a breach of a settlement agreement. In March 2017, the Company moved to dismiss all of the plaintiff’s claims, and the court granted-in-part and denied-in-part the motion, allowing the plaintiff leave to amend the complaint. The plaintiff filed a third amended complaint in May 2017, again alleging breach of an agreement with the plaintiff to purchase certain patent assets and breach of a non-disclosure agreement. RPX answered the third amended complaint in June 2017, and the case is proceeding to the discovery phase. The plaintiff seeks monetary damages and specific enforcement of the alleged purchase agreement. The Company is not currently able to determine whether there is a reasonable possibility that a loss has been incurred, nor can we estimate the potential loss or range of the potential loss that may result from this litigation. The Company is not currently able to determine whether there is a reasonable possibility that a loss has been incurred, nor can we estimate the potential loss or range of the potential loss that may result from this litigation.</w:t>
      </w:r>
    </w:p>
    <w:p>
      <w:pPr>
        <w:spacing w:after="0" w:line="188"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In June 2013, Kevin O’Halloran, as Trustee of the Liquidating Trust of Tectonics, Inc. (the “Debtor”), filed a complaint in the U.S. Bankruptcy Court for the Middle District of Florida against the Company and Harris Corporation (the “Defendants”). The complaint alleges that the Defendants are liable under federal and state bankruptcy law regarding fraudulent transfers for the value of a patent portfolio purchased by the Company from Harris Corporation pursuant to an agreement entered into in January 2009, and within four years of the date the Debtor filed its petition in bankruptcy. In February 2015, the Court held a trial and in November 2015 entered judgment in favor of the Defendants. In December 2015, the Debtor filed an appeal of the judgment to the U.S. District Court for the Middle District of Florida. In August 2016, the District Court affirmed the judgment in favor of the Defendants. In September 2016, the Debtor filed an appeal of the judgment to the U.S. Court of Appeals for the Eleventh Circuit. The appellate briefing was completed in January 2017, and the parties are currently awaiting scheduling of oral argument. The Company is not currently able to determine whether there is a reasonable possibility that a loss has been incurred, nor can it estimate the potential loss or range of the potential loss that may result from this litigation.</w:t>
      </w:r>
    </w:p>
    <w:p>
      <w:pPr>
        <w:spacing w:after="0" w:line="167"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In March 2012, Cascades Computer Innovations LLC filed a complaint in U.S. District Court for the Northern District of California (the “Court”) against the Company and five of its clients (collectively the “Defendants”). The complaint alleges that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Defendants violated federal antitrust law, California antitrust law and California unfair competition law. The complaint further alleges that after the Company terminated its negotiations with the plaintiff to license certain patents held by the plaintiff, the Defendants violated the law by jointly refusing to negotiate or accept licenses under the plaintiff’s patents. The plaintiff seeks unspecified monetary damages and injunctive relief. In January 2013, the Court dismissed the complaint against the Defendants and granted the plaintiff leave to amend its complaint. In February 2013, the plaintiff filed an amended lawsuit alleging that the Defendants violated federal antitrust law, California antitrust law and California unfair competition law. In April 2016, the Court entered a final judgment in favor of the Defendants on all the plaintiff's claims. In April 2016, the plaintiff filed an appeal of the judgment. The appellate briefing was completed in November 2016, and the parties are currently awaiting the scheduling of oral argument. The Company is not currently able to determine whether there is a reasonable possibility that a loss has been incurred, nor can it estimate the potential loss or range of the potential loss that may result from this litigation.</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7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No liability was recorded for these agreements as of June 30, 2017 or December 31, 2016. The Company has no reason to believe that there is any material liability related to such indemnification provisions. The Company does not indemnify its clients for patent infringement.</w:t>
      </w:r>
    </w:p>
    <w:p>
      <w:pPr>
        <w:spacing w:after="0" w:line="189"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As part of the Company's discovery services offering, the Company generally warrants that it will perform the services in good faith and in a timely and professional manner, and that it will exercise the same level of professional care commonly found in the industry. Additionally, the Company has agreed to provisions for indemnifying customers against liabilities if its discovery services infringe a third party’s intellectual property rights or if it breaches agreed privacy, security and/or confidentiality obligations. To date, the Company has not incurred any material costs, and it has not accrued any liabilities in the accompanying condensed consolidated financial statements, as a result of these obligations. The Company also enters into service-level agreements with its discovery services clients that specify required levels of application uptime and may permit customers to receive credits or to terminate their agreements in the event that the Company fails to meet required performance levels. To date, the Company has not experienced any significant failures to meet defined levels of performance and, as a result, has not accrued any liabilities related to these agreements in its condensed consolidated financial statements.</w:t>
      </w:r>
    </w:p>
    <w:p>
      <w:pPr>
        <w:spacing w:after="0" w:line="166" w:lineRule="exact"/>
        <w:rPr>
          <w:sz w:val="20"/>
          <w:szCs w:val="20"/>
          <w:color w:val="auto"/>
        </w:rPr>
      </w:pPr>
    </w:p>
    <w:p>
      <w:pPr>
        <w:ind w:right="240" w:firstLine="486"/>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Reserves for Known and Incurred but not Reported Claims</w:t>
      </w:r>
    </w:p>
    <w:p>
      <w:pPr>
        <w:spacing w:after="0" w:line="90"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Company offers patent litigation insurance that covers certain costs associated with patent infringement lawsuits, and it assumes a portion of the underwriting risk on these insurance policies that it issues on behalf of a Lloyd's of London underwriting syndicate. As of June 30, 2017 and December 31, 2016, the Company recorded a reserve of $1.4 million and $0.9 million, respectively, for known and incurred but not reported claims that represent estimated claim costs and related expenses for the policies underwritten and its portion of the underwriting risk on policies that the Company issued on behalf of the Lloyd's of London underwriting syndicate. The Company regularly reviews loss reserves using a variety of actuarial techniques and updates them as its loss experience develops.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500" w:right="9300" w:hanging="492"/>
        <w:spacing w:after="0" w:line="350" w:lineRule="auto"/>
        <w:tabs>
          <w:tab w:leader="none" w:pos="50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Equity Plans</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6"/>
          <w:szCs w:val="16"/>
          <w:color w:val="auto"/>
        </w:rPr>
        <w:t>A summary of the Company’s activity under its equity-settled award plans and related information is as follows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Available</w:t>
            </w: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for Grant</w:t>
            </w:r>
          </w:p>
        </w:tc>
        <w:tc>
          <w:tcPr>
            <w:tcW w:w="1260" w:type="dxa"/>
            <w:vAlign w:val="bottom"/>
          </w:tcPr>
          <w:p>
            <w:pPr>
              <w:jc w:val="right"/>
              <w:ind w:right="312"/>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2016</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180"/>
              <w:spacing w:after="0" w:line="270" w:lineRule="exact"/>
              <w:rPr>
                <w:sz w:val="20"/>
                <w:szCs w:val="20"/>
                <w:color w:val="auto"/>
              </w:rPr>
            </w:pPr>
            <w:r>
              <w:rPr>
                <w:rFonts w:ascii="Arial" w:cs="Arial" w:eastAsia="Arial" w:hAnsi="Arial"/>
                <w:sz w:val="18"/>
                <w:szCs w:val="18"/>
                <w:color w:val="auto"/>
              </w:rPr>
              <w:t>Shares authorized</w:t>
            </w:r>
            <w:r>
              <w:rPr>
                <w:rFonts w:ascii="Arial" w:cs="Arial" w:eastAsia="Arial" w:hAnsi="Arial"/>
                <w:sz w:val="25"/>
                <w:szCs w:val="25"/>
                <w:color w:val="auto"/>
                <w:vertAlign w:val="superscript"/>
              </w:rPr>
              <w:t>(1)</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3"/>
                <w:szCs w:val="23"/>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forfeited/canceled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Restricted stock units withheld related to net-share settlement</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restricted stock units</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June 30, 2017</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3,904</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2,751</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June 30, 2017</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2,751</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53" w:lineRule="exact"/>
        <w:rPr>
          <w:sz w:val="20"/>
          <w:szCs w:val="20"/>
          <w:color w:val="auto"/>
        </w:rPr>
      </w:pPr>
    </w:p>
    <w:p>
      <w:pPr>
        <w:ind w:left="18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 the first quarter of 2017, the Company reserved an additional 1.0 million shares of its common stock for future issuance under the 2011 Plan.</w:t>
      </w:r>
    </w:p>
    <w:p>
      <w:pPr>
        <w:spacing w:after="0" w:line="14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aggregate intrinsic value of stock options exercised during the three months ended June 30, 2017 and 2016 was $2.0 million and $0.2 million, respectively, and $2.7 million and $0.4 million for stock options exercised during the six months ended June 30, 2017 and 2016, respectively. The total grant date fair value of stock options vested during the three months ended June 30, 2017 and 2016 was nil and $0.5 million, respectively, and nil and $1.1 million for stock options vested during the six months ended June 30, 2017 and 2016, respectively. As of June 30, 2017, all options issued and outstanding are fully vested.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summary of RSU activity, which includes performance-based restricted stock units (“PBRSUs”), is as follows (in thousands, except per share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400" w:type="dxa"/>
            <w:vAlign w:val="bottom"/>
          </w:tcPr>
          <w:p>
            <w:pPr>
              <w:spacing w:after="0"/>
              <w:rPr>
                <w:sz w:val="18"/>
                <w:szCs w:val="18"/>
                <w:color w:val="auto"/>
              </w:rPr>
            </w:pPr>
          </w:p>
        </w:tc>
        <w:tc>
          <w:tcPr>
            <w:tcW w:w="1620" w:type="dxa"/>
            <w:vAlign w:val="bottom"/>
          </w:tcPr>
          <w:p>
            <w:pPr>
              <w:jc w:val="right"/>
              <w:ind w:right="7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2016</w:t>
            </w:r>
          </w:p>
        </w:tc>
        <w:tc>
          <w:tcPr>
            <w:tcW w:w="1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31"/>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June 30, 2017</w:t>
            </w:r>
          </w:p>
        </w:tc>
        <w:tc>
          <w:tcPr>
            <w:tcW w:w="16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51,571</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total grant date fair value of RSUs vested during the three months ended June 30, 2017 and 2016 was $5.1 million and $3.4 million, respectively, and $9.5 million and $6.2 million during the six months ended June 30, 2017 and 2016, respectively.</w:t>
      </w:r>
    </w:p>
    <w:p>
      <w:pPr>
        <w:spacing w:after="0" w:line="17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In October 2013, the Board of Directors approved net-share settlement for tax withholdings on RSU vesting. During the six months ended June 30, 2017, the Company withheld issuing 262,369 shares of its common stock based on the value of the RSUs on their vesting dates as determined by the Company’s closing common stock price. Total payments to taxing authorities for employees’ minimum tax obligations were $3.3 million for the six months ended June 30, 2017, and were recorded as a reduction to additional paid-in capital and reflected as a financing activity within the condensed consolidated statements of cash flows. The net-share settlements reduced the number of shares that would have otherwise been issued on the vesting date and increased the number of shares reserved for future issuance under the 2011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Stock-Based Compensation Related to Employees and Directors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RSUs granted to employees and directors is measured by reference to the fair value of the underlying shares on the date of grant.</w:t>
      </w:r>
    </w:p>
    <w:p>
      <w:pPr>
        <w:spacing w:after="0" w:line="248"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PBRSUs granted during the six months ended June 30, 2017 and 2016 contain service, performance, and/or market conditions that affect the quantity of awards that will vest. During the six months ended June 30, 2017 and 2016, the Company granted 102,790 and 96,282 PBRSUs, respectively. The Company estimates the grant date fair value of PBRSUs which include market conditions using the Monte Carlo simulation model. The weighted-average assumptions used to estimate the fair value of PBRSUs with market conditions and the resulting fair values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4"/>
          </w:tcPr>
          <w:p>
            <w:pPr>
              <w:jc w:val="right"/>
              <w:ind w:right="291"/>
              <w:spacing w:after="0"/>
              <w:rPr>
                <w:sz w:val="20"/>
                <w:szCs w:val="20"/>
                <w:color w:val="auto"/>
              </w:rPr>
            </w:pPr>
            <w:r>
              <w:rPr>
                <w:rFonts w:ascii="Arial" w:cs="Arial" w:eastAsia="Arial" w:hAnsi="Arial"/>
                <w:sz w:val="16"/>
                <w:szCs w:val="16"/>
                <w:b w:val="1"/>
                <w:bCs w:val="1"/>
                <w:color w:val="auto"/>
                <w:w w:val="95"/>
              </w:rPr>
              <w:t>Three and Six Months Ended June 30,</w:t>
            </w:r>
          </w:p>
        </w:tc>
      </w:tr>
      <w:tr>
        <w:trPr>
          <w:trHeight w:val="33"/>
        </w:trPr>
        <w:tc>
          <w:tcPr>
            <w:tcW w:w="79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7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5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2016</w:t>
            </w:r>
          </w:p>
        </w:tc>
      </w:tr>
      <w:tr>
        <w:trPr>
          <w:trHeight w:val="33"/>
        </w:trPr>
        <w:tc>
          <w:tcPr>
            <w:tcW w:w="7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28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1.08%</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Expected term - in years</w:t>
            </w:r>
          </w:p>
        </w:tc>
        <w:tc>
          <w:tcPr>
            <w:tcW w:w="280" w:type="dxa"/>
            <w:vAlign w:val="bottom"/>
          </w:tcPr>
          <w:p>
            <w:pPr>
              <w:spacing w:after="0"/>
              <w:rPr>
                <w:sz w:val="21"/>
                <w:szCs w:val="21"/>
                <w:color w:val="auto"/>
              </w:rPr>
            </w:pP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231"/>
              <w:spacing w:after="0"/>
              <w:rPr>
                <w:sz w:val="20"/>
                <w:szCs w:val="20"/>
                <w:color w:val="auto"/>
              </w:rPr>
            </w:pPr>
            <w:r>
              <w:rPr>
                <w:rFonts w:ascii="Arial" w:cs="Arial" w:eastAsia="Arial" w:hAnsi="Arial"/>
                <w:sz w:val="18"/>
                <w:szCs w:val="18"/>
                <w:color w:val="auto"/>
              </w:rPr>
              <w:t>4</w:t>
            </w:r>
          </w:p>
        </w:tc>
      </w:tr>
      <w:tr>
        <w:trPr>
          <w:trHeight w:val="27"/>
        </w:trPr>
        <w:tc>
          <w:tcPr>
            <w:tcW w:w="7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 fair value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6.28</w:t>
            </w:r>
          </w:p>
        </w:tc>
      </w:tr>
      <w:tr>
        <w:trPr>
          <w:trHeight w:val="27"/>
        </w:trPr>
        <w:tc>
          <w:tcPr>
            <w:tcW w:w="79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Stock-based compensation expense related to stock options granted to employees and directors was nil and $0.4 million for the three months ended June 30, 2017 and 2016, respectively, and nil and $0.8 million for the six months ended June 30, 2017 and 2016, respectively. Stock-based compensation expense related to PBRSUs and RSUs granted to employees and directors was $4.3 million and $4.5 million for the three months ended June 30, 2017 and 2016, respectively, and $7.0 million and $9.0 million for the six months ended June 30, 2017 and 2016, respectively.</w:t>
      </w:r>
    </w:p>
    <w:p>
      <w:pPr>
        <w:spacing w:after="0" w:line="171"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As of June 30, 2017, there was $39.1 million of unrecognized compensation cost related to RSUs, including PBRSUs, which is expected to be recognized over a weighted-average period of 2.8 years. Future grants of equity awards will increase the amount of stock-based compensation expense to be recorded.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77"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On February 10, 2015, the Company announced that its Board of Directors had authorized a share repurchase program under which the Company is authorized to repurchase up to $75.0 million of its outstanding common stock with no expiration date from the date of authorization. In March 2016 and May 2016, the Company increased its share repurchase program by $25.0 million and $50.0 million, respectively, for a total amount authorized of $150.0 million. As of June 30, 2017, the Company repurchased $91.1 million of the outstanding common stock. Under the program, shares may be purchased in open market transactions, including through block purchases, through privately negotiated transactions, or pursuant to any trading plan that may be adopted in accordance with Rule 10b5-1 of the Securities Exchange Act of 1934, as amended (the "Exchange Act"). The share repurchase program does not have an expiration date and may be suspended, terminated, or modified at any time for any reason. The Company’s share repurchase program does not obligate it to acquire any specific number of shares. The Company repurchased shares of its common stock in the open market, which were retired upon repurchase. The purchase price for the repurchased shares is reflected as a reduction to common stock and retained earnings in the Company's condensed consolidated balance sheet. Share repurchase activity during the period presented was as follows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34"/>
              <w:spacing w:after="0"/>
              <w:rPr>
                <w:sz w:val="20"/>
                <w:szCs w:val="20"/>
                <w:color w:val="auto"/>
              </w:rPr>
            </w:pPr>
            <w:r>
              <w:rPr>
                <w:rFonts w:ascii="Arial" w:cs="Arial" w:eastAsia="Arial" w:hAnsi="Arial"/>
                <w:sz w:val="16"/>
                <w:szCs w:val="16"/>
                <w:b w:val="1"/>
                <w:bCs w:val="1"/>
                <w:color w:val="auto"/>
              </w:rPr>
              <w:t>Value of Shares</w:t>
            </w:r>
          </w:p>
        </w:tc>
      </w:tr>
      <w:tr>
        <w:trPr>
          <w:trHeight w:val="210"/>
        </w:trPr>
        <w:tc>
          <w:tcPr>
            <w:tcW w:w="5380" w:type="dxa"/>
            <w:vAlign w:val="bottom"/>
          </w:tcPr>
          <w:p>
            <w:pPr>
              <w:spacing w:after="0"/>
              <w:rPr>
                <w:sz w:val="18"/>
                <w:szCs w:val="18"/>
                <w:color w:val="auto"/>
              </w:rPr>
            </w:pPr>
          </w:p>
        </w:tc>
        <w:tc>
          <w:tcPr>
            <w:tcW w:w="2060" w:type="dxa"/>
            <w:vAlign w:val="bottom"/>
            <w:gridSpan w:val="2"/>
          </w:tcPr>
          <w:p>
            <w:pPr>
              <w:ind w:left="280"/>
              <w:spacing w:after="0"/>
              <w:rPr>
                <w:sz w:val="20"/>
                <w:szCs w:val="20"/>
                <w:color w:val="auto"/>
              </w:rPr>
            </w:pPr>
            <w:r>
              <w:rPr>
                <w:rFonts w:ascii="Arial" w:cs="Arial" w:eastAsia="Arial" w:hAnsi="Arial"/>
                <w:sz w:val="16"/>
                <w:szCs w:val="16"/>
                <w:b w:val="1"/>
                <w:bCs w:val="1"/>
                <w:color w:val="auto"/>
              </w:rPr>
              <w:t>Shares Repurchased</w:t>
            </w:r>
          </w:p>
        </w:tc>
        <w:tc>
          <w:tcPr>
            <w:tcW w:w="14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Average Price per Share</w:t>
            </w:r>
          </w:p>
        </w:tc>
        <w:tc>
          <w:tcPr>
            <w:tcW w:w="280" w:type="dxa"/>
            <w:vAlign w:val="bottom"/>
          </w:tcPr>
          <w:p>
            <w:pPr>
              <w:spacing w:after="0"/>
              <w:rPr>
                <w:sz w:val="18"/>
                <w:szCs w:val="18"/>
                <w:color w:val="auto"/>
              </w:rPr>
            </w:pPr>
          </w:p>
        </w:tc>
        <w:tc>
          <w:tcPr>
            <w:tcW w:w="1660" w:type="dxa"/>
            <w:vAlign w:val="bottom"/>
          </w:tcPr>
          <w:p>
            <w:pPr>
              <w:jc w:val="right"/>
              <w:ind w:right="434"/>
              <w:spacing w:after="0"/>
              <w:rPr>
                <w:sz w:val="20"/>
                <w:szCs w:val="20"/>
                <w:color w:val="auto"/>
              </w:rPr>
            </w:pPr>
            <w:r>
              <w:rPr>
                <w:rFonts w:ascii="Arial" w:cs="Arial" w:eastAsia="Arial" w:hAnsi="Arial"/>
                <w:sz w:val="16"/>
                <w:szCs w:val="16"/>
                <w:b w:val="1"/>
                <w:bCs w:val="1"/>
                <w:color w:val="auto"/>
              </w:rPr>
              <w:t>Repurchased</w:t>
            </w:r>
          </w:p>
        </w:tc>
      </w:tr>
      <w:tr>
        <w:trPr>
          <w:trHeight w:val="33"/>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December 31, 2016</w:t>
            </w:r>
          </w:p>
        </w:tc>
        <w:tc>
          <w:tcPr>
            <w:tcW w:w="1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86,276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Repurchase activity during the period</w:t>
            </w:r>
          </w:p>
        </w:tc>
        <w:tc>
          <w:tcPr>
            <w:tcW w:w="1960" w:type="dxa"/>
            <w:vAlign w:val="bottom"/>
          </w:tcPr>
          <w:p>
            <w:pPr>
              <w:jc w:val="right"/>
              <w:ind w:right="32"/>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4,783</w:t>
            </w:r>
          </w:p>
        </w:tc>
      </w:tr>
      <w:tr>
        <w:trPr>
          <w:trHeight w:val="27"/>
        </w:trPr>
        <w:tc>
          <w:tcPr>
            <w:tcW w:w="538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repurchase activity as of June 30, 2017</w:t>
            </w:r>
          </w:p>
        </w:tc>
        <w:tc>
          <w:tcPr>
            <w:tcW w:w="1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8,346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91,059</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Company uses an estimated annual effective tax rate based upon a projection of its annual fiscal year results to measure the income tax benefit or expense recognized in each interim period. The Company’s effective tax rate, including the impact of discrete items, was 36% and 37% for the three months ended June 30, 2017 and 2016, respectively, and 37% and 38% for the six months ended June 30, 2017 and 2016,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Company's 2013 through 2016 tax periods remain open to examination by the Internal Revenue Service and the 2012 through 2016 tax periods remain open to examination by most state tax authorities. The Internal Revenue Service's examination of Inventus's federal income tax return for fiscal year 2013 was closed during the three months ended March 31, 2017 with no material adjustments. The Company's 2015 through 2016 tax periods remain open to examination in the United Kingdom.</w:t>
      </w:r>
    </w:p>
    <w:p>
      <w:pPr>
        <w:spacing w:after="0" w:line="14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81"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During each of the three and six month periods ended June 30, 2017 and 2016, four members of the Company’s Board of Directors also served on the boards of directors of RPX clients.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recognized the following from these clients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6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4"/>
          </w:tcPr>
          <w:p>
            <w:pPr>
              <w:jc w:val="right"/>
              <w:ind w:right="33"/>
              <w:spacing w:after="0"/>
              <w:rPr>
                <w:sz w:val="20"/>
                <w:szCs w:val="20"/>
                <w:color w:val="auto"/>
              </w:rPr>
            </w:pPr>
            <w:r>
              <w:rPr>
                <w:rFonts w:ascii="Arial" w:cs="Arial" w:eastAsia="Arial" w:hAnsi="Arial"/>
                <w:sz w:val="16"/>
                <w:szCs w:val="16"/>
                <w:b w:val="1"/>
                <w:bCs w:val="1"/>
                <w:color w:val="auto"/>
              </w:rPr>
              <w:t>Six Months Ended June 30,</w:t>
            </w:r>
          </w:p>
        </w:tc>
        <w:tc>
          <w:tcPr>
            <w:tcW w:w="4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73"/>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20"/>
                <w:szCs w:val="20"/>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4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40" w:type="dxa"/>
            <w:vAlign w:val="bottom"/>
            <w:tcBorders>
              <w:bottom w:val="single" w:sz="8" w:color="auto"/>
            </w:tcBorders>
          </w:tcPr>
          <w:p>
            <w:pPr>
              <w:jc w:val="right"/>
              <w:ind w:right="83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right"/>
              <w:ind w:right="8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83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0"/>
        </w:trPr>
        <w:tc>
          <w:tcPr>
            <w:tcW w:w="5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June 30, 2017 and December 31, 2016, there were $0.3 million and $1.3 million receivables, respectively, due from these clients.</w:t>
      </w:r>
    </w:p>
    <w:p>
      <w:pPr>
        <w:spacing w:after="0" w:line="181"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8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Prior to the acquisition of Inventus in January 2016, the Company’s Chief Executive Officer reviewed financial information presented on a consolidated basis and, as a result, the Company concluded that there was only one operating and reportable segment at that time. Subsequent to the acquisition of Inventus (see Note 7, Business Combinations), the Company's Chief Executive Officer reviews separate financial information for the patent risk management and discovery services businesses. Therefore, as of January 2016, the Company has two reportable segments: 1) patent risk management which generates its revenues primarily from membership subscriptions, premiums earned from insurance policies, and management fees for marketing, underwriting, and claim management and 2) discovery services which generates its revenues primarily from fees generated for data collection, hosting and processing, project management, and document review services. There are no material internal revenue transactions between these two reportable segments.</w:t>
      </w:r>
    </w:p>
    <w:p>
      <w:pPr>
        <w:spacing w:after="0" w:line="178"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Although adjusted EBITDA is not a measure of financial performance determined in accordance with GAAP, the Company's chief operating decision maker evaluates segment financial performance by utilizing the segment's adjusted EBITDA because the Company believes it is a useful supplemental measure that reflects core operating performance and provides an indicator of the segment's ability to generate cash.</w:t>
      </w:r>
    </w:p>
    <w:p>
      <w:pPr>
        <w:spacing w:after="0" w:line="166"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Company defines adjusted EBITDA as net income exclusive of provision for income taxes, interest and other income (expense), net, stock-based compensation and related employer payroll taxes, depreciation, and amortization. There are limitations in using the Company's measures of financial performance that are not determined in accordance with GAAP and these may be different from other financial measures not determined in accordance with GAAP used by other companies. These financial measures are limited in value because they exclude certain items that may have a material impact on the Company's reported financial results. In addition, they are subject to inherent limitations as they reflect the exercise of judgment by the Company about which items are adjusted to calculate its financial measures not determined in accordance with GAAP. The presentation of financial measures not determined in accordance with GAAP should not be considered in isolation or as a substitute for, or superior to, financial results determined in accordance with GAAP.</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Summarized financial information by segment utilized by the Company's chief operating decision maker is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Patent Risk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61,615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63,851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126,101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133,008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40,955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82,395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81,782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16,642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19,603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41,537</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4,092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9,769</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40,485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81,176</w:t>
            </w:r>
          </w:p>
        </w:tc>
      </w:tr>
      <w:tr>
        <w:trPr>
          <w:trHeight w:val="297"/>
        </w:trPr>
        <w:tc>
          <w:tcPr>
            <w:tcW w:w="51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48,595</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48,452</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100,157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100,634</w:t>
            </w:r>
          </w:p>
        </w:tc>
      </w:tr>
      <w:tr>
        <w:trPr>
          <w:trHeight w:val="311"/>
        </w:trPr>
        <w:tc>
          <w:tcPr>
            <w:tcW w:w="5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Discovery Services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18,819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10,187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14,954</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11,262</w:t>
            </w:r>
          </w:p>
        </w:tc>
      </w:tr>
      <w:tr>
        <w:trPr>
          <w:trHeight w:val="237"/>
        </w:trPr>
        <w:tc>
          <w:tcPr>
            <w:tcW w:w="51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3,620</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including related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4,409</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4,978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8,258</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80,434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83,109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162,946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162,844</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51,142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96,736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23,124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44,245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52,799</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16,261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w:t>
            </w: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Company's subtotal segment adjusted EBITDA to consolidated net income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gridSpan w:val="6"/>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78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318"/>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Subtotal segment adjusted EBITDA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53,573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(85,855)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(85,585)</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including related taxes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256</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(5,178)</w:t>
            </w: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4,192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4,150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10,185</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8,387</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9"/>
        </w:trPr>
        <w:tc>
          <w:tcPr>
            <w:tcW w:w="6780" w:type="dxa"/>
            <w:vAlign w:val="bottom"/>
            <w:gridSpan w:val="4"/>
          </w:tcPr>
          <w:p>
            <w:pPr>
              <w:ind w:left="500"/>
              <w:spacing w:after="0"/>
              <w:rPr>
                <w:sz w:val="20"/>
                <w:szCs w:val="20"/>
                <w:color w:val="auto"/>
              </w:rPr>
            </w:pPr>
            <w:r>
              <w:rPr>
                <w:rFonts w:ascii="Arial" w:cs="Arial" w:eastAsia="Arial" w:hAnsi="Arial"/>
                <w:sz w:val="18"/>
                <w:szCs w:val="18"/>
                <w:color w:val="auto"/>
                <w:w w:val="90"/>
              </w:rPr>
              <w:t>The following table summarizes the Company's total assets by segment (in thousands):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51"/>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92"/>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risk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501,540</w:t>
            </w: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Discovery services </w:t>
            </w:r>
            <w:r>
              <w:rPr>
                <w:rFonts w:ascii="Arial" w:cs="Arial" w:eastAsia="Arial" w:hAnsi="Arial"/>
                <w:sz w:val="25"/>
                <w:szCs w:val="25"/>
                <w:color w:val="auto"/>
                <w:vertAlign w:val="superscript"/>
              </w:rPr>
              <w:t>(1)</w:t>
            </w:r>
          </w:p>
        </w:tc>
        <w:tc>
          <w:tcPr>
            <w:tcW w:w="320" w:type="dxa"/>
            <w:vAlign w:val="bottom"/>
            <w:tcBorders>
              <w:bottom w:val="single" w:sz="8" w:color="CCEEFF"/>
            </w:tcBorders>
          </w:tcPr>
          <w:p>
            <w:pPr>
              <w:spacing w:after="0"/>
              <w:rPr>
                <w:sz w:val="23"/>
                <w:szCs w:val="23"/>
                <w:color w:val="auto"/>
              </w:rPr>
            </w:pPr>
          </w:p>
        </w:tc>
        <w:tc>
          <w:tcPr>
            <w:tcW w:w="11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242,272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233,749</w:t>
            </w: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733,636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735,289</w:t>
            </w:r>
          </w:p>
        </w:tc>
      </w:tr>
      <w:tr>
        <w:trPr>
          <w:trHeight w:val="20"/>
        </w:trPr>
        <w:tc>
          <w:tcPr>
            <w:tcW w:w="5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20" w:hanging="150"/>
        <w:spacing w:after="0"/>
        <w:tabs>
          <w:tab w:leader="none" w:pos="3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Includes goodwill and intangible assets acquired through the Company's acquisition of Inventus in January 2016.</w:t>
      </w:r>
    </w:p>
    <w:p>
      <w:pPr>
        <w:sectPr>
          <w:pgSz w:w="11900" w:h="16838" w:orient="portrait"/>
          <w:cols w:equalWidth="0" w:num="1">
            <w:col w:w="11420"/>
          </w:cols>
          <w:pgMar w:left="240" w:top="125" w:right="2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The Company markets its solutions to companies around the world. Revenue is attributed to geographic areas based on the country in which the client is domiciled. The following table presents revenue by location and revenue generated by country as a percentage of total revenue for the applicable period, for countries representing 10% or more of revenues for one or more of the periods presented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7"/>
          </w:tcPr>
          <w:p>
            <w:pPr>
              <w:ind w:left="780"/>
              <w:spacing w:after="0"/>
              <w:rPr>
                <w:sz w:val="20"/>
                <w:szCs w:val="20"/>
                <w:color w:val="auto"/>
              </w:rPr>
            </w:pPr>
            <w:r>
              <w:rPr>
                <w:rFonts w:ascii="Arial" w:cs="Arial" w:eastAsia="Arial" w:hAnsi="Arial"/>
                <w:sz w:val="16"/>
                <w:szCs w:val="16"/>
                <w:b w:val="1"/>
                <w:bCs w:val="1"/>
                <w:color w:val="auto"/>
              </w:rPr>
              <w:t>Three Months Ended 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gridSpan w:val="7"/>
          </w:tcPr>
          <w:p>
            <w:pPr>
              <w:ind w:left="20"/>
              <w:spacing w:after="0"/>
              <w:rPr>
                <w:sz w:val="20"/>
                <w:szCs w:val="20"/>
                <w:color w:val="auto"/>
              </w:rPr>
            </w:pPr>
            <w:r>
              <w:rPr>
                <w:rFonts w:ascii="Arial" w:cs="Arial" w:eastAsia="Arial" w:hAnsi="Arial"/>
                <w:sz w:val="16"/>
                <w:szCs w:val="16"/>
                <w:b w:val="1"/>
                <w:bCs w:val="1"/>
                <w:color w:val="auto"/>
              </w:rPr>
              <w:t>Six Months Ended June 30,</w:t>
            </w:r>
          </w:p>
        </w:tc>
        <w:tc>
          <w:tcPr>
            <w:tcW w:w="7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48,425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47,127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96,666</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94,652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8,226</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8,908</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17,640</w:t>
            </w:r>
          </w:p>
        </w:tc>
        <w:tc>
          <w:tcPr>
            <w:tcW w:w="900" w:type="dxa"/>
            <w:vAlign w:val="bottom"/>
            <w:gridSpan w:val="3"/>
          </w:tcPr>
          <w:p>
            <w:pPr>
              <w:jc w:val="right"/>
              <w:ind w:right="1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17,913</w:t>
            </w:r>
          </w:p>
        </w:tc>
        <w:tc>
          <w:tcPr>
            <w:tcW w:w="1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11</w:t>
            </w:r>
          </w:p>
        </w:tc>
      </w:tr>
      <w:tr>
        <w:trPr>
          <w:trHeight w:val="27"/>
        </w:trPr>
        <w:tc>
          <w:tcPr>
            <w:tcW w:w="2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23,783</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48,640</w:t>
            </w:r>
          </w:p>
        </w:tc>
        <w:tc>
          <w:tcPr>
            <w:tcW w:w="9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50,279</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w:t>
            </w:r>
          </w:p>
        </w:tc>
      </w:tr>
      <w:tr>
        <w:trPr>
          <w:trHeight w:val="257"/>
        </w:trPr>
        <w:tc>
          <w:tcPr>
            <w:tcW w:w="23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80,434</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83,109</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162,946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162,844</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46"/>
        </w:trPr>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81" w:lineRule="exact"/>
        <w:rPr>
          <w:sz w:val="20"/>
          <w:szCs w:val="20"/>
          <w:color w:val="auto"/>
        </w:rPr>
      </w:pPr>
    </w:p>
    <w:p>
      <w:pPr>
        <w:ind w:right="140" w:firstLine="44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(“SEC”) on February 28, 2017.</w:t>
      </w:r>
    </w:p>
    <w:p>
      <w:pPr>
        <w:spacing w:after="0" w:line="181"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Forward-looking statements include statements regarding our business strategies and business model, products, benefits to our clients, future financial results and expenses, patent acquisition spending, our acquisition of Inventus, and our competitive position. These statements are based on the beliefs and assumptions of our management based on information that is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 on February 28, 2017.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Since our founding in 2008, we have been providing an alternative to litigation through our patent risk management services. In January 2016, through our acquisition of Inventus, we began offering technology-enabled discovery services to our clients.</w:t>
      </w:r>
    </w:p>
    <w:p>
      <w:pPr>
        <w:spacing w:after="0" w:line="170"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We help companies reduce patent-related risk and corporate legal expense by providing two primary service offerings: (1) a subscription-based patent risk management service offering that facilitates more efficient exchanges of value between owners and users of patents compared to transactions driven by actual or threatened litigation, and (2) a discovery services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Risk Management</w:t>
      </w:r>
    </w:p>
    <w:p>
      <w:pPr>
        <w:spacing w:after="0" w:line="77" w:lineRule="exact"/>
        <w:rPr>
          <w:sz w:val="20"/>
          <w:szCs w:val="20"/>
          <w:color w:val="auto"/>
        </w:rPr>
      </w:pPr>
    </w:p>
    <w:p>
      <w:pPr>
        <w:ind w:right="40" w:firstLine="446"/>
        <w:spacing w:after="0" w:line="291" w:lineRule="auto"/>
        <w:rPr>
          <w:sz w:val="20"/>
          <w:szCs w:val="20"/>
          <w:color w:val="auto"/>
        </w:rPr>
      </w:pPr>
      <w:r>
        <w:rPr>
          <w:rFonts w:ascii="Arial" w:cs="Arial" w:eastAsia="Arial" w:hAnsi="Arial"/>
          <w:sz w:val="16"/>
          <w:szCs w:val="16"/>
          <w:color w:val="auto"/>
        </w:rPr>
        <w:t>We serve as a trusted intermediary in the patent marketplace. Our business model aligns our interests with those of our clients, with whom we have developed trusted relationships. Our patent risk management services clients include companies that design, make, or sell technology-based products and services as well as companies that use technology in their businesses, and which face legal claims for patent infringement. We have not asserted and will not assert our patents. We have never initiated patent infringement litigation, and our clients receive guarantees that we will never assert patents against them. We consider this guarantee to be of paramount importance in establishing trust with our clients. In a market with limited publicly available data on pricing and terms of licenses and litigation settlement, we believe our data and market intelligence is a valuable resource for our clients and prospects. In exchange for an upfront annual subscription fee, we provide the following to our patent risk management clients throughout the duration of their membership:</w:t>
      </w:r>
    </w:p>
    <w:p>
      <w:pPr>
        <w:spacing w:after="0" w:line="19"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review and analysis of patents offered for sale, including analysis of patent quality, validity, and commercial significance;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defensive patent acquisition, through which we acquire patents and patent rights on behalf of all of our patent risk management clients;</w:t>
      </w:r>
    </w:p>
    <w:p>
      <w:pPr>
        <w:spacing w:after="0" w:line="32" w:lineRule="exact"/>
        <w:rPr>
          <w:rFonts w:ascii="Arial" w:cs="Arial" w:eastAsia="Arial" w:hAnsi="Arial"/>
          <w:sz w:val="16"/>
          <w:szCs w:val="16"/>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facilitation of syndicated transactions;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art searches;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proprietary periodic analysis and publication of patent market trends;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tracking of all US patent applications and issuances, patent litigation activity, and associated parties; and</w:t>
      </w:r>
    </w:p>
    <w:p>
      <w:pPr>
        <w:spacing w:after="0" w:line="9" w:lineRule="exact"/>
        <w:rPr>
          <w:rFonts w:ascii="Arial" w:cs="Arial" w:eastAsia="Arial" w:hAnsi="Arial"/>
          <w:sz w:val="18"/>
          <w:szCs w:val="18"/>
          <w:color w:val="auto"/>
        </w:rPr>
      </w:pPr>
    </w:p>
    <w:p>
      <w:pPr>
        <w:ind w:left="1300" w:right="420" w:hanging="320"/>
        <w:spacing w:after="0" w:line="261"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publication and provision of patent-related data to governmental and regulatory bodies to inform public policy discussion about patent reform and trends.</w:t>
      </w:r>
    </w:p>
    <w:p>
      <w:pPr>
        <w:spacing w:after="0" w:line="1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Access to these services is available primarily through discussions with our professionals—particularly client relations and our team of patent experts, as well as through a proprietary database, and attendance at periodic conferences.</w:t>
      </w:r>
    </w:p>
    <w:p>
      <w:pPr>
        <w:spacing w:after="0" w:line="170"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Insuring against the costs of patent infringement litigation is a natural extension of our patent risk management membership. Our patent infringement litigation expense insurance is a liability insurance policy that covers certain costs associated with patent infringement lawsuits. We assume some portion of the underwriting risk on the insurance policies that we issue on behalf of a Lloyd's</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London underwriting syndicate. To date, the effect of the insurance policies that we have issued or assumed through our reinsurance business has not been material to our results of operations or financial condition.</w:t>
      </w:r>
    </w:p>
    <w:p>
      <w:pPr>
        <w:spacing w:after="0" w:line="170"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In our defensive patent acquisition activities, we acquire patents, licenses to patents, patent rights and agreements for covenants not to sue, which we collectively refer to as “patent assets.” We measure patent asset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 From our inception through June 30, 2017, we have reviewed over 8,900 patent asset portfolios, completed 413 acquisitions of patent asset portfolios with gross and net patent acquisition spend of $2.3 billion and $989.0 million, respectively. During the six months ended June 30, 2017, we completed 28 acquisitions of patent assets and our gross and net patent acquisition spend totaled $73.3 million and $41.6 million, respectively.</w:t>
      </w:r>
    </w:p>
    <w:p>
      <w:pPr>
        <w:spacing w:after="0" w:line="189" w:lineRule="exact"/>
        <w:rPr>
          <w:sz w:val="20"/>
          <w:szCs w:val="20"/>
          <w:color w:val="auto"/>
        </w:rPr>
      </w:pPr>
    </w:p>
    <w:p>
      <w:pPr>
        <w:ind w:right="440" w:firstLine="446"/>
        <w:spacing w:after="0" w:line="259" w:lineRule="auto"/>
        <w:rPr>
          <w:sz w:val="20"/>
          <w:szCs w:val="20"/>
          <w:color w:val="auto"/>
        </w:rPr>
      </w:pPr>
      <w:r>
        <w:rPr>
          <w:rFonts w:ascii="Arial" w:cs="Arial" w:eastAsia="Arial" w:hAnsi="Arial"/>
          <w:sz w:val="18"/>
          <w:szCs w:val="18"/>
          <w:color w:val="auto"/>
        </w:rPr>
        <w:t>During the six months ended June 30, 2017 and 2016, revenue from our patent risk management services was $126.1 million and $133.0 million, respectively. As of June 30, 2017, our patent risk management segment had more than 320 clients, consisting of our patent risk management network members and insurance clients. We provide patent risk management services to more than 400 companies, including those insured under policies sold to venture funds and industry trade associations.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Discovery Services</w:t>
      </w:r>
    </w:p>
    <w:p>
      <w:pPr>
        <w:spacing w:after="0" w:line="77"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Through our wholly owned subsidiary Inventus, in 2016 we began offering technology-enabled discovery services to assist law firms and corporate legal departments manage costs and risks related to the litigation discovery process. Our discovery service offering focuses on the process of consolidation and organization of data into meaningful discovery information powered by a mix of third-party and proprietary software. This allows our discovery services clients to efficiently and effectively manage a portfolio of litigation discovery matters in a central location.</w:t>
      </w:r>
    </w:p>
    <w:p>
      <w:pPr>
        <w:spacing w:after="0" w:line="171"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Our more than 1,000 discovery services clients in approximately a dozen countries benefit from our discovery services, which include data hosting and backup, data processing and collection, project management, document review, and traditional document production. All of these services are designed to streamline the administration of litigation, investigations, and regulatory compliance. During the six months ended June 30, 2017 and 2016, revenue from our discovery services was $36.8 million and $29.8 million, respectively. Certain of our discovery services operations are denominated in currencies other than the U.S. dollar, primarily the British pound sterling and the Euro, and therefore these operations are exposed to foreign exchange rate fluctuations.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77"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Subscription revenue includes membership subscriptions to our patent risk management services, premiums earned, net of ceding commissions, from insurance policies, and management fees related to our insurance business. Historically, the majority of our revenue has consisted of fees paid by our clients under subscription agreements. Subscription revenue will be positively or negatively impacted by the financial performance of our patent risk management clients since their subscription fees typically reset annually based upon their most recently reported annual financial results. In August 2012, we launched our insurance product and started to recognize insurance premium revenue from the insurance policies that we underwrite. As the primary insurer, we had been recognizing the full insurance premium as revenue. In May 2014, we began to assume a portion of the underwriting risk on insurance policies that we issue on behalf of a Lloyd's of London underwriting syndicate, and as a result we recognize only the portion of the underwriting risk that we assume. In addition, we receive management fees for marketing, underwriting, and claims management services. Although we expect this revenue to increase as we sell more insurance policies in the future, to date, insurance premium revenue has not been material to our results of operations.</w:t>
      </w:r>
    </w:p>
    <w:p>
      <w:pPr>
        <w:spacing w:after="0" w:line="167" w:lineRule="exact"/>
        <w:rPr>
          <w:sz w:val="20"/>
          <w:szCs w:val="20"/>
          <w:color w:val="auto"/>
        </w:rPr>
      </w:pPr>
    </w:p>
    <w:p>
      <w:pPr>
        <w:ind w:right="700" w:firstLine="486"/>
        <w:spacing w:after="0" w:line="286" w:lineRule="auto"/>
        <w:rPr>
          <w:sz w:val="20"/>
          <w:szCs w:val="20"/>
          <w:color w:val="auto"/>
        </w:rPr>
      </w:pPr>
      <w:r>
        <w:rPr>
          <w:rFonts w:ascii="Arial" w:cs="Arial" w:eastAsia="Arial" w:hAnsi="Arial"/>
          <w:sz w:val="17"/>
          <w:szCs w:val="17"/>
          <w:color w:val="auto"/>
        </w:rPr>
        <w:t>We recognize revenue from the sale of licenses and advisory fee income in connection with syndicated acquisitions through our patent risk management services, which we collectively refer to as fee-related revenue. In the future, we may receive other revenue and fee income from newly-introduced products and services. Our fee-related revenue may fluctuate significantly from period to period.</w:t>
      </w:r>
    </w:p>
    <w:p>
      <w:pPr>
        <w:spacing w:after="0" w:line="166"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Discovery revenue represents fees generated from services rendered in connection with our discovery services. These services are typically comprised of document collection and processing, document review, document production, and project management, and are generally billed in arrears based on the number of users, amount of data processed and stored, or number of consulting hours. Our discovery revenue may fluctuate significantly based on the project-oriented nature of the discovery services we provide.</w:t>
      </w:r>
    </w:p>
    <w:p>
      <w:pPr>
        <w:spacing w:after="0" w:line="18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We do not believe that our rate of growth since inception is representative of anticipated future revenue growth and we may experience a year-over-year decline in revenue in future periods.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7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Cost of revenue from our patent risk management services primarily consists of amortization expenses related to acquired patent assets. Acquired patent assets are capitalized and amortized ratably over their estimated useful lives, which typically relates to the anticipated cash flows from clients and prospects that will benefit from the transaction. Also included in the cost of revenue from our patent risk management service are expenses incurred to maintain our patents, prosecute our patent applications, conduct inter partes reviews and prior art searches, and amortization expense for acquired intangible assets and internally developed software. With the launch of our insurance offering in August 2012, cost of revenue from our patent risk management services began to include premiums ceded to reinsurers, loss reserves, and the costs of insurance claims paid to our insurance clients. We began to issue new policies under a reinsurance model in May 2014 and under this model we do not cede premiums.</w:t>
      </w:r>
    </w:p>
    <w:p>
      <w:pPr>
        <w:spacing w:after="0" w:line="178"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Our cost of revenue from our patent risk management services is primarily driven by the amortization of previously acquired patent assets, which are typically amortized over an estimated useful life of 24 to 60 months. From time to time, we may acquire patent assets that are valuable to our clients and prospects with an estimated useful life that is significantly less than the historical weighted-average of patent assets previously acquired, resulting in increased patent asset amortization expense in periods immediately following the acquisition. Estimating the economic useful lives of our patent assets depends on various factors including whether we acquire patents or licenses to patents, and the remaining statutory life of the underlying patents, either of which could result in shorter amortization periods. We believe that amortization periods of patent assets to be acquired in future periods may be amortized over shorter periods than the historical weighted-average of 40 months, which may cause our cost of revenue to increase. Our cost of revenue from our patent risk management services may fluctuate in the future as it is dependent on the level of patent asset purchases, the amortization period of the patent assets we acquire, and the level of insurance policies we issue.</w:t>
      </w:r>
    </w:p>
    <w:p>
      <w:pPr>
        <w:spacing w:after="0" w:line="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Cost of revenue from our discovery services primarily consists of compensation costs for employees and third-party contractors who deliver services to our clients, costs incurred to maintain, secure, and store hosted data, license fees for the software we utilize in our discovery services process, and amortization of our identifiable intangible assets for technology used to provide our discovery services to our clients. Our cost of revenue related to hosting and processing data and software license fees is primarily fixed but can fluctuate based on levels of data hosted and number of users our clients choose to have access to the software. Our cost of revenue related to document review services is primarily variable and may fluctuate significantly based on the review services provided to our clients.</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7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Selling, general and administrative expenses consist of salaries and related expenses, including stock-based compensation expense, amortization related to our intangible assets, cost of marketing programs, legal costs, professional fees, travel costs, facility costs, and other corporate expenses. We expect that in the foreseeable future, selling, general, and administrative expenses may decrease when compared to the prior year period as we seek to effectively manage expenses although such expenses could fluctuate from period to period.</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77"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Interest and other income (expense), net consists primarily of interest income earned on our cash, cash equivalents, and short-term investments, interest expense incurred on our term debt, gains or losses due to foreign currency fluctuations, as well as changes in fair value and gains on extinguishment of our deferred payment obligations. Our interest and other income (expense), net may fluctuate significantly as our long-term debt bears interest in line with the London interbank offered rate and our results of operations and cash flows are subject to fluctuations due to changes in foreign currency exchange rates, particularly changes in the British pound sterling, Japanese yen, and Euro relative to the U.S. dollar.</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77" w:lineRule="exact"/>
        <w:rPr>
          <w:sz w:val="20"/>
          <w:szCs w:val="20"/>
          <w:color w:val="auto"/>
        </w:rPr>
      </w:pPr>
    </w:p>
    <w:p>
      <w:pPr>
        <w:ind w:right="140" w:firstLine="486"/>
        <w:spacing w:after="0" w:line="312"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Our condensed consolidated financial statements are prepared in accordance with accounting principles generally accepted in the United States of America. The preparation of these condensed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during the six months ended June 30, 2017, as compared to the significant accounting policies presented under the heading “Basis of Presentation and Significant Accounting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Policies” in Note 2 of the Notes to Consolidated Financial Statements in Part II, Item 8 of our Annual Report on Form 10-K filed with the SEC on February 28, 2017.</w:t>
      </w:r>
    </w:p>
    <w:p>
      <w:pPr>
        <w:spacing w:after="0" w:line="170"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Compensation (Topic 718) </w:t>
      </w:r>
      <w:r>
        <w:rPr>
          <w:rFonts w:ascii="Arial" w:cs="Arial" w:eastAsia="Arial" w:hAnsi="Arial"/>
          <w:sz w:val="18"/>
          <w:szCs w:val="18"/>
          <w:color w:val="auto"/>
        </w:rPr>
        <w:t>("ASU 2016-09"). ASU 2016-09 identifies areas for simplification involving several aspects of accounting for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in this update became effective in the first quarter of 2017. We adopted this standard on January 1, 2017 and the standard did not have a material impact on our consolidated financial statements.</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Our recent accounting pronouncements are described in more detail in Note 2, "Basis of Presentation and Significant Accounting Policies," in Notes to Condensed Consolidated Financial Statements (unaudited) in Part I, Item 1 of this Quarterly Report on Form 10-Q.</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ind w:right="40" w:firstLine="446"/>
        <w:spacing w:after="0" w:line="308" w:lineRule="auto"/>
        <w:rPr>
          <w:sz w:val="20"/>
          <w:szCs w:val="20"/>
          <w:color w:val="auto"/>
        </w:rPr>
      </w:pPr>
      <w:r>
        <w:rPr>
          <w:rFonts w:ascii="Arial" w:cs="Arial" w:eastAsia="Arial" w:hAnsi="Arial"/>
          <w:sz w:val="17"/>
          <w:szCs w:val="17"/>
          <w:color w:val="auto"/>
        </w:rPr>
        <w:t>The following table sets forth our condensed consolidated statement of operations data for each of the periods indicated, including segment information (in thousands). Our historical results are not necessarily indicative of our results of operations to be expected for any future period.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8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220" w:type="dxa"/>
            <w:vAlign w:val="bottom"/>
          </w:tcPr>
          <w:p>
            <w:pPr>
              <w:spacing w:after="0"/>
              <w:rPr>
                <w:sz w:val="18"/>
                <w:szCs w:val="18"/>
                <w:color w:val="auto"/>
              </w:rPr>
            </w:pPr>
          </w:p>
        </w:tc>
        <w:tc>
          <w:tcPr>
            <w:tcW w:w="2280" w:type="dxa"/>
            <w:vAlign w:val="bottom"/>
            <w:gridSpan w:val="4"/>
          </w:tcPr>
          <w:p>
            <w:pPr>
              <w:jc w:val="right"/>
              <w:ind w:right="191"/>
              <w:spacing w:after="0"/>
              <w:rPr>
                <w:sz w:val="20"/>
                <w:szCs w:val="20"/>
                <w:color w:val="auto"/>
              </w:rPr>
            </w:pPr>
            <w:r>
              <w:rPr>
                <w:rFonts w:ascii="Arial" w:cs="Arial" w:eastAsia="Arial" w:hAnsi="Arial"/>
                <w:sz w:val="16"/>
                <w:szCs w:val="16"/>
                <w:b w:val="1"/>
                <w:bCs w:val="1"/>
                <w:color w:val="auto"/>
                <w:w w:val="95"/>
              </w:rPr>
              <w:t>Six Months Ended June 30,</w:t>
            </w:r>
          </w:p>
        </w:tc>
      </w:tr>
      <w:tr>
        <w:trPr>
          <w:trHeight w:val="33"/>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2016</w:t>
            </w:r>
          </w:p>
        </w:tc>
      </w:tr>
      <w:tr>
        <w:trPr>
          <w:trHeight w:val="33"/>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61,615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63,851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126,101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133,008</w:t>
            </w: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29,836</w:t>
            </w: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8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80,434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83,109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162,946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162,844</w:t>
            </w: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82,395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81,782</w:t>
            </w: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20,045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14,954</w:t>
            </w: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8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51,142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49,070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102,440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96,736</w:t>
            </w: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16,642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19,603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31,076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41,537</w:t>
            </w: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13,169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11,262</w:t>
            </w: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selling, general and administrative expenses</w:t>
            </w:r>
          </w:p>
        </w:tc>
        <w:tc>
          <w:tcPr>
            <w:tcW w:w="8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23,124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25,904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44,245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52,799</w:t>
            </w: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280"/>
              <w:spacing w:after="0"/>
              <w:rPr>
                <w:sz w:val="20"/>
                <w:szCs w:val="20"/>
                <w:color w:val="auto"/>
              </w:rPr>
            </w:pPr>
            <w:r>
              <w:rPr>
                <w:rFonts w:ascii="Arial" w:cs="Arial" w:eastAsia="Arial" w:hAnsi="Arial"/>
                <w:sz w:val="18"/>
                <w:szCs w:val="18"/>
                <w:color w:val="auto"/>
              </w:rPr>
              <w:t>Patent risk management</w:t>
            </w: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9,689</w:t>
            </w: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3,620</w:t>
            </w:r>
          </w:p>
        </w:tc>
      </w:tr>
      <w:tr>
        <w:trPr>
          <w:trHeight w:val="237"/>
        </w:trPr>
        <w:tc>
          <w:tcPr>
            <w:tcW w:w="4860" w:type="dxa"/>
            <w:vAlign w:val="bottom"/>
          </w:tcPr>
          <w:p>
            <w:pPr>
              <w:ind w:left="500"/>
              <w:spacing w:after="0"/>
              <w:rPr>
                <w:sz w:val="20"/>
                <w:szCs w:val="20"/>
                <w:color w:val="auto"/>
              </w:rPr>
            </w:pPr>
            <w:r>
              <w:rPr>
                <w:rFonts w:ascii="Arial" w:cs="Arial" w:eastAsia="Arial" w:hAnsi="Arial"/>
                <w:sz w:val="18"/>
                <w:szCs w:val="18"/>
                <w:color w:val="auto"/>
              </w:rPr>
              <w:t>Total operating income</w:t>
            </w:r>
          </w:p>
        </w:tc>
        <w:tc>
          <w:tcPr>
            <w:tcW w:w="8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16,261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13,309</w:t>
            </w: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8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16,155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13,565</w:t>
            </w: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5,178</w:t>
            </w: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4,150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10,185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8,387</w:t>
            </w:r>
          </w:p>
        </w:tc>
      </w:tr>
      <w:tr>
        <w:trPr>
          <w:trHeight w:val="20"/>
        </w:trPr>
        <w:tc>
          <w:tcPr>
            <w:tcW w:w="4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23</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following table sets forth our condensed consolidated statement of operations data as a percentage of total revenue for each of the periods indicated, including segment information.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6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3"/>
          </w:tcPr>
          <w:p>
            <w:pPr>
              <w:jc w:val="right"/>
              <w:ind w:right="55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920" w:type="dxa"/>
            <w:vAlign w:val="bottom"/>
            <w:gridSpan w:val="2"/>
          </w:tcPr>
          <w:p>
            <w:pPr>
              <w:ind w:left="5540"/>
              <w:spacing w:after="0"/>
              <w:rPr>
                <w:sz w:val="20"/>
                <w:szCs w:val="20"/>
                <w:color w:val="auto"/>
              </w:rPr>
            </w:pPr>
            <w:r>
              <w:rPr>
                <w:rFonts w:ascii="Arial" w:cs="Arial" w:eastAsia="Arial" w:hAnsi="Arial"/>
                <w:sz w:val="16"/>
                <w:szCs w:val="16"/>
                <w:b w:val="1"/>
                <w:bCs w:val="1"/>
                <w:color w:val="auto"/>
              </w:rPr>
              <w:t>2017</w:t>
            </w:r>
          </w:p>
        </w:tc>
        <w:tc>
          <w:tcPr>
            <w:tcW w:w="168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560" w:type="dxa"/>
            <w:vAlign w:val="bottom"/>
          </w:tcPr>
          <w:p>
            <w:pPr>
              <w:jc w:val="right"/>
              <w:ind w:right="530"/>
              <w:spacing w:after="0"/>
              <w:rPr>
                <w:sz w:val="20"/>
                <w:szCs w:val="20"/>
                <w:color w:val="auto"/>
              </w:rPr>
            </w:pPr>
            <w:r>
              <w:rPr>
                <w:rFonts w:ascii="Arial" w:cs="Arial" w:eastAsia="Arial" w:hAnsi="Arial"/>
                <w:sz w:val="16"/>
                <w:szCs w:val="16"/>
                <w:b w:val="1"/>
                <w:bCs w:val="1"/>
                <w:color w:val="auto"/>
              </w:rPr>
              <w:t>2016</w:t>
            </w:r>
          </w:p>
        </w:tc>
      </w:tr>
      <w:tr>
        <w:trPr>
          <w:trHeight w:val="33"/>
        </w:trPr>
        <w:tc>
          <w:tcPr>
            <w:tcW w:w="4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37"/>
        </w:trPr>
        <w:tc>
          <w:tcPr>
            <w:tcW w:w="49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100</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100</w:t>
            </w:r>
          </w:p>
        </w:tc>
      </w:tr>
      <w:tr>
        <w:trPr>
          <w:trHeight w:val="27"/>
        </w:trPr>
        <w:tc>
          <w:tcPr>
            <w:tcW w:w="4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50</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r>
      <w:tr>
        <w:trPr>
          <w:trHeight w:val="237"/>
        </w:trPr>
        <w:tc>
          <w:tcPr>
            <w:tcW w:w="4960" w:type="dxa"/>
            <w:vAlign w:val="bottom"/>
          </w:tcPr>
          <w:p>
            <w:pPr>
              <w:ind w:left="500"/>
              <w:spacing w:after="0"/>
              <w:rPr>
                <w:sz w:val="20"/>
                <w:szCs w:val="20"/>
                <w:color w:val="auto"/>
              </w:rPr>
            </w:pPr>
            <w:r>
              <w:rPr>
                <w:rFonts w:ascii="Arial" w:cs="Arial" w:eastAsia="Arial" w:hAnsi="Arial"/>
                <w:sz w:val="18"/>
                <w:szCs w:val="18"/>
                <w:color w:val="auto"/>
              </w:rPr>
              <w:t>Total cost of revenue</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59</w:t>
            </w:r>
          </w:p>
        </w:tc>
      </w:tr>
      <w:tr>
        <w:trPr>
          <w:trHeight w:val="27"/>
        </w:trPr>
        <w:tc>
          <w:tcPr>
            <w:tcW w:w="4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26</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r>
      <w:tr>
        <w:trPr>
          <w:trHeight w:val="237"/>
        </w:trPr>
        <w:tc>
          <w:tcPr>
            <w:tcW w:w="4960" w:type="dxa"/>
            <w:vAlign w:val="bottom"/>
          </w:tcPr>
          <w:p>
            <w:pPr>
              <w:ind w:left="500"/>
              <w:spacing w:after="0"/>
              <w:rPr>
                <w:sz w:val="20"/>
                <w:szCs w:val="20"/>
                <w:color w:val="auto"/>
              </w:rPr>
            </w:pPr>
            <w:r>
              <w:rPr>
                <w:rFonts w:ascii="Arial" w:cs="Arial" w:eastAsia="Arial" w:hAnsi="Arial"/>
                <w:sz w:val="18"/>
                <w:szCs w:val="18"/>
                <w:color w:val="auto"/>
              </w:rPr>
              <w:t>Total selling, general and administrative expenses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33</w:t>
            </w:r>
          </w:p>
        </w:tc>
      </w:tr>
      <w:tr>
        <w:trPr>
          <w:trHeight w:val="27"/>
        </w:trPr>
        <w:tc>
          <w:tcPr>
            <w:tcW w:w="4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r>
      <w:tr>
        <w:trPr>
          <w:trHeight w:val="243"/>
        </w:trPr>
        <w:tc>
          <w:tcPr>
            <w:tcW w:w="5920" w:type="dxa"/>
            <w:vAlign w:val="bottom"/>
            <w:gridSpan w:val="2"/>
          </w:tcPr>
          <w:p>
            <w:pPr>
              <w:ind w:left="280"/>
              <w:spacing w:after="0"/>
              <w:rPr>
                <w:sz w:val="20"/>
                <w:szCs w:val="20"/>
                <w:color w:val="auto"/>
              </w:rPr>
            </w:pPr>
            <w:r>
              <w:rPr>
                <w:rFonts w:ascii="Arial" w:cs="Arial" w:eastAsia="Arial" w:hAnsi="Arial"/>
                <w:sz w:val="18"/>
                <w:szCs w:val="18"/>
                <w:color w:val="auto"/>
              </w:rPr>
              <w:t>Patent risk management</w:t>
            </w:r>
          </w:p>
        </w:tc>
        <w:tc>
          <w:tcPr>
            <w:tcW w:w="54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Discovery services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37"/>
        </w:trPr>
        <w:tc>
          <w:tcPr>
            <w:tcW w:w="4960" w:type="dxa"/>
            <w:vAlign w:val="bottom"/>
          </w:tcPr>
          <w:p>
            <w:pPr>
              <w:ind w:left="380"/>
              <w:spacing w:after="0"/>
              <w:rPr>
                <w:sz w:val="20"/>
                <w:szCs w:val="20"/>
                <w:color w:val="auto"/>
              </w:rPr>
            </w:pPr>
            <w:r>
              <w:rPr>
                <w:rFonts w:ascii="Arial" w:cs="Arial" w:eastAsia="Arial" w:hAnsi="Arial"/>
                <w:sz w:val="18"/>
                <w:szCs w:val="18"/>
                <w:color w:val="auto"/>
              </w:rPr>
              <w:t>Total operating income</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496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9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8</w:t>
            </w:r>
          </w:p>
        </w:tc>
      </w:tr>
      <w:tr>
        <w:trPr>
          <w:trHeight w:val="27"/>
        </w:trPr>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r>
      <w:tr>
        <w:trPr>
          <w:trHeight w:val="257"/>
        </w:trPr>
        <w:tc>
          <w:tcPr>
            <w:tcW w:w="4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104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4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2017 and 2016</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total revenue for each of the periods indicated, including revenue by segment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9"/>
              </w:rPr>
              <w:t>Three Months Ended June 30,</w:t>
            </w:r>
          </w:p>
        </w:tc>
      </w:tr>
      <w:tr>
        <w:trPr>
          <w:trHeight w:val="33"/>
        </w:trPr>
        <w:tc>
          <w:tcPr>
            <w:tcW w:w="8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61,583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63,219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Fee-related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patent risk management revenue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61,615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63,851</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Discovery services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18,819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19,258</w:t>
            </w:r>
          </w:p>
        </w:tc>
      </w:tr>
      <w:tr>
        <w:trPr>
          <w:trHeight w:val="257"/>
        </w:trPr>
        <w:tc>
          <w:tcPr>
            <w:tcW w:w="836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80,434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83,109</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486"/>
        <w:spacing w:after="0" w:line="271" w:lineRule="auto"/>
        <w:rPr>
          <w:sz w:val="20"/>
          <w:szCs w:val="20"/>
          <w:color w:val="auto"/>
        </w:rPr>
      </w:pPr>
      <w:r>
        <w:rPr>
          <w:rFonts w:ascii="Arial" w:cs="Arial" w:eastAsia="Arial" w:hAnsi="Arial"/>
          <w:sz w:val="17"/>
          <w:szCs w:val="17"/>
          <w:color w:val="auto"/>
        </w:rPr>
        <w:t>Our revenue for the three months ended June 30, 2017 was $80.4 million compared to $83.1 million during the same period a year prior, a decrease of $2.7 million, or 3%. Subscription revenue, which includes membership subscriptions to our patent risk management services, premiums earned from insurance policies, and management fees, for the three months ended June 30, 2017 was $61.6 million compared to $63.2 million for the three months ended June 30, 2016. The decrease in subscription revenue was primarily attributable to a decrease of $2.0 million from clients who joined our network prior to June 30, 2016 and, in certain cases, may no longer be a part of our network as of June 30, 2017, partially offset by an increase in membership fees and insurance premiums of $0.4 million from new clients who joined our network subsequent to June 30, 2016. As of June 30, 2017, we provided patent risk management services to more than 400 companies, including those insured under policies sold to venture funds and industry trade associations as of June 30, 2017, as compared to approximately 317 as of June 30, 2016.</w:t>
      </w:r>
    </w:p>
    <w:p>
      <w:pPr>
        <w:spacing w:after="0" w:line="17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Revenue for the three months ended June 30, 2017 and 2016 included fee-related revenue of nil and $0.6 million, respectively, generated from our patent risk management business.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three months ended June 30, 2017 was $18.8 million compared to $19.3 million in the same period a year prior. The decrease is primarily attributable to a decrease in fees generated from hosting and processing services during the three months ended June 30, 2017 as compared to the prior year period.</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77" w:lineRule="exact"/>
        <w:rPr>
          <w:sz w:val="20"/>
          <w:szCs w:val="20"/>
          <w:color w:val="auto"/>
        </w:rPr>
      </w:pPr>
    </w:p>
    <w:p>
      <w:pPr>
        <w:ind w:right="200" w:firstLine="486"/>
        <w:spacing w:after="0" w:line="276" w:lineRule="auto"/>
        <w:rPr>
          <w:sz w:val="20"/>
          <w:szCs w:val="20"/>
          <w:color w:val="auto"/>
        </w:rPr>
      </w:pPr>
      <w:r>
        <w:rPr>
          <w:rFonts w:ascii="Arial" w:cs="Arial" w:eastAsia="Arial" w:hAnsi="Arial"/>
          <w:sz w:val="17"/>
          <w:szCs w:val="17"/>
          <w:color w:val="auto"/>
        </w:rPr>
        <w:t>Our cost of revenue for the three months ended June 30, 2017 was $51.1 million compared to $49.1 million during the same period a year prior, an increase of $2.0 million, or 4%. Cost of revenue from our patent risk management services for the three months ended June 30, 2017 was $41.0 million compared to $39.2 million for the three months ended June 30, 2016. The increase in our cost of revenue from our patent risk management services is primarily attributable to an increase in patent amortization expense of $2.1 million which was partially offset by a $0.3 million decrease in costs incurred to maintain and prosecute our patents and patent applications included in our portfolio and conduct inter partes reviews.</w:t>
      </w:r>
    </w:p>
    <w:p>
      <w:pPr>
        <w:spacing w:after="0" w:line="1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Cost of revenue from our discovery services for the three months ended June 30, 2017 was $10.2 million compared to $9.9 million for the three months ended June 30, 2016. The increase in our cost of revenue from our discovery services is primarily attributable to an increase in the cost of revenue related to software licenses during the three months ended June 30, 2017 as compared to the prior year period.</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260" w:firstLine="486"/>
        <w:spacing w:after="0" w:line="273" w:lineRule="auto"/>
        <w:rPr>
          <w:sz w:val="20"/>
          <w:szCs w:val="20"/>
          <w:color w:val="auto"/>
        </w:rPr>
      </w:pPr>
      <w:r>
        <w:rPr>
          <w:rFonts w:ascii="Arial" w:cs="Arial" w:eastAsia="Arial" w:hAnsi="Arial"/>
          <w:sz w:val="17"/>
          <w:szCs w:val="17"/>
          <w:color w:val="auto"/>
        </w:rPr>
        <w:t>Our selling, general and administrative expenses for the three months ended June 30, 2017 were $23.1 million compared to $25.9 million during the same period a year prior, a decrease of $2.8 million, or 11%. Selling, general and administrative expense from our patent risk management services for the three months ended June 30, 2017 was $16.6 million compared to $19.6 million for the three months ended June 30, 2016. This decrease is primarily attributable to a $2.5 million decrease in personnel-related costs, including stock-based compensation, due to a decrease in headcount as well as executive management changes during the three months ended March 31, 2017. This decrease was also due to a $0.5 million decrease in professional services during the three months ended June 30, 2017 as compared to the prior year period.</w:t>
      </w:r>
    </w:p>
    <w:p>
      <w:pPr>
        <w:spacing w:after="0" w:line="178"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Selling, general and administrative expenses from our discovery services for the three months ended June 30, 2017 were $6.5 million compared to $6.3 million for the three months ended June 30, 2016. The increase in selling, general and administrative expense from our discovery services is primarily attributable to increases in personnel-related costs, including stock-based compensation, due to increases in headcount.</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interest and other income, net for the three months ended June 30, 2017 was $0.4 million compared to interest and other expense, net of $1.5 million during the same period a year prior, an increase of $1.9 million. The increase was primarily due to $2.1 million of realized and unrealized foreign currency gains, a $0.1 million increase in interest income generated on our short-term investments, and a $0.2 million decrease in realized losses on exchange of our short-term investments. These were all partially offset by a decrease of $0.5 million of gains related to the extinguishment of our deferred payment obligations.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Provision for Income Taxes</w:t>
      </w:r>
    </w:p>
    <w:p>
      <w:pPr>
        <w:spacing w:after="0" w:line="77"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Our provision for income taxes was $2.4 million for each of the three months ended June 30, 2017 and 2016. Our effective tax rate, including the impact of discrete items, was 36% and 37% for the three months ended June 30, 2017 and 2016,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2017 and 2016</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total revenue for each of the periods indicated, including revenue by segment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4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4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9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4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124,950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130,331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Fee-related revenue</w:t>
            </w:r>
          </w:p>
        </w:tc>
        <w:tc>
          <w:tcPr>
            <w:tcW w:w="3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37"/>
        </w:trPr>
        <w:tc>
          <w:tcPr>
            <w:tcW w:w="4440" w:type="dxa"/>
            <w:vAlign w:val="bottom"/>
          </w:tcPr>
          <w:p>
            <w:pPr>
              <w:ind w:left="500"/>
              <w:spacing w:after="0"/>
              <w:rPr>
                <w:sz w:val="20"/>
                <w:szCs w:val="20"/>
                <w:color w:val="auto"/>
              </w:rPr>
            </w:pPr>
            <w:r>
              <w:rPr>
                <w:rFonts w:ascii="Arial" w:cs="Arial" w:eastAsia="Arial" w:hAnsi="Arial"/>
                <w:sz w:val="18"/>
                <w:szCs w:val="18"/>
                <w:color w:val="auto"/>
              </w:rPr>
              <w:t>Total patent risk management revenue</w:t>
            </w:r>
          </w:p>
        </w:tc>
        <w:tc>
          <w:tcPr>
            <w:tcW w:w="39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126,101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133,008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Discovery services</w:t>
            </w:r>
          </w:p>
        </w:tc>
        <w:tc>
          <w:tcPr>
            <w:tcW w:w="39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29,836</w:t>
            </w:r>
          </w:p>
        </w:tc>
        <w:tc>
          <w:tcPr>
            <w:tcW w:w="0" w:type="dxa"/>
            <w:vAlign w:val="bottom"/>
          </w:tcPr>
          <w:p>
            <w:pPr>
              <w:spacing w:after="0"/>
              <w:rPr>
                <w:sz w:val="1"/>
                <w:szCs w:val="1"/>
                <w:color w:val="auto"/>
              </w:rPr>
            </w:pPr>
          </w:p>
        </w:tc>
      </w:tr>
      <w:tr>
        <w:trPr>
          <w:trHeight w:val="257"/>
        </w:trPr>
        <w:tc>
          <w:tcPr>
            <w:tcW w:w="44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39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162,946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162,844</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920" w:type="dxa"/>
            <w:vAlign w:val="bottom"/>
            <w:vMerge w:val="restart"/>
          </w:tcPr>
          <w:p>
            <w:pPr>
              <w:jc w:val="right"/>
              <w:ind w:right="2470"/>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Our revenue for the six months ended June 30, 2017 was $162.9 million compared to $162.8 million during the same period a year prior, an increase of $0.1 million. Subscription revenue, which includes membership subscriptions to our patent risk management services, premiums earned from insurance policies, and management fees, for the six months ended June 30, 2017 was $125.0 million compared to $130.3 million for the six months ended June 30, 2016. The decrease in subscription revenue was primarily attributable to a decrease of $10.3 million from clients who joined our network prior to June 30, 2016 and, in certain cases, may no longer be a part of our network as of June 30, 2017, partially offset by an increase in membership fees and insurance premiums of $5.0 million from new clients who joined our network subsequent to June 30, 2016. As of June 30, 2017, we provided patent risk management services to more than 400 companies, including those insured under policies sold to venture funds and industry trade associations as of June 30, 2017, as compared to approximately 317 as of June 30, 2016.</w:t>
      </w:r>
    </w:p>
    <w:p>
      <w:pPr>
        <w:spacing w:after="0" w:line="179"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Revenue for the six months ended June 30, 2017 and 2016 included fee-related revenue of $1.2 million and $2.7 million, respectively, generated from our patent risk management business.</w:t>
      </w:r>
    </w:p>
    <w:p>
      <w:pPr>
        <w:spacing w:after="0" w:line="170"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Discovery revenue, which includes fees generated from data collection, hosting and processing, project management, and document review services, for the six months ended June 30, 2017 was $36.8 million compared to $29.8 million in the same period a year prior. The increase is primarily attributable to an increase of $4.7 million in fees generated from document review services during the six months ended June 30, 2017 as compared to the prior year period. The increase is also attributable to fees generated from discovery services for the full period during the six months ended June 30, 2017, compared to a partial period during the six months ended June 30, 2016, as we started offering our discovery services through our acquisition of Inventus on January 22, 2016.</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Cost of Revenue</w:t>
      </w:r>
    </w:p>
    <w:p>
      <w:pPr>
        <w:spacing w:after="0" w:line="7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Our cost of revenue for the six months ended June 30, 2017 was $102.4 million compared to $96.7 million during the same period a year prior, an increase of $5.7 million, or 6%. Cost of revenue from our patent risk management services for the six months ended June 30, 2017 was $82.4 million compared to $81.8 million for the six months ended June 30, 2016. The increase in our cost of revenue from our patent risk management services is primarily attributable to a $0.6 million increases in cost of revenues related to our patent infringement litigation insurance.</w:t>
      </w:r>
    </w:p>
    <w:p>
      <w:pPr>
        <w:spacing w:after="0" w:line="171"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Cost of revenue from our discovery services for the six months ended June 30, 2017 was $20.0 million compared to $15.0 million for the six months ended June 30, 2016. The increase in our cost of revenue from our discovery services is primarily attributable to an increase in the cost of revenue related to software licenses as well as an increase in third-party contractor and personnel-related costs, including stock-based compensation, during the six months ended June 30, 2017 as compared to the prior year period. This increase is also attributable to offering discovery services for a full period during the six months ended June 30, 2017, compared to a partial period during the six months ended June 30, 2016, as we started offering our discovery services through our acquisition of Inventus on January 22, 2016.</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7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Our selling, general and administrative expenses for the six months ended June 30, 2017 were $44.2 million compared to $52.8 million during the same period a year prior, a decrease of $8.6 million, or 16%. Selling, general and administrative expenses generated from our patent risk management services for the six months ended June 30, 2017 were $31.1 million compared to $41.5 million for the six months ended June 30, 2016. This decrease is primarily attributable to a $6.8 million decrease in personnel-related costs, including stock-based compensation, due to a decrease in headcount compared to the prior year period as well as executive management changes during the three months ended March 31, 2017. This decrease was also due to a $2.0 million decrease in professional services, a $0.6 million decrease in our corporate legal expenses, a $0.6 million decrease in our bad debt expense, and a $0.3 million decrease in our amortization expense related to intangible assets (other than patents) during the six months ended June 30, 2017 as compared to the prior year period.</w:t>
      </w:r>
    </w:p>
    <w:p>
      <w:pPr>
        <w:spacing w:after="0" w:line="192"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Selling, general and administrative expenses from our discovery services for the six months ended June 30, 2017 were $13.2 million compared to $11.3 million for the six months ended June 30, 2016. The increase in the selling, general and administrative expenses from our discovery services is primarily attributable to our offering of discovery services for a full period during the six months ended June 30, 2017, compared to a partial period during the six months ended June 30, 2016, as we started offering our discovery services through our acquisition of Inventus on January 22, 2016. The increase was also due to increases in personnel-related costs, including stock-based compensation, due to increases in headcount.</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interest and other expense, net for the six months ended June 30, 2017 was $0.1 million compared to interest and other income, net of $0.3 million during the same period a year prior, a decrease of $0.4 million. The decrease was primarily due to a decrease of $1.9 million in fair value adjustments on our deferred payment obligations, a $0.6 million increase in interest expense incurred on our term debt, and a decrease of $0.5 million on gains related to the extinguishment of our deferred payment obligations. These were all partially offset by $2.2 million of realized and unrealized foreign currency gains, a $0.2 million decrease in realized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losses on exchange of our short-term investments, and a $0.2 million increase in interest income generated from our short-term investments.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Provision for Income Taxes</w:t>
      </w:r>
    </w:p>
    <w:p>
      <w:pPr>
        <w:spacing w:after="0" w:line="7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Our provision for income taxes was $6.0 million and $5.2 million for the six months ended June 30, 2017 and 2016. Our effective tax rate, including the impact of discrete items, was 37% and 38% for the six months ended June 30, 2017 and 2016,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81"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supplement our consolidated financial statements presented on a GAAP basis with non-GAAP adjusted EBITDA less net patent spend as we believe that this non-GAAP measure provides useful information about core operating results and thus is appropriate to enhance the overall understanding of our past financial performance and our prospects for the future. We define non-GAAP adjusted EBITDA as net income exclusive of provision for income taxes, interest and other income (expense), net, stock-based compensation, including employer payroll taxes, depreciation, and amortization. We use this non-GAAP measure to evaluate our financial results and trends, allocate internal resources, prepare and approve our annual budget, develop short- and long-term operating plans, and assess the health of our business. We believe this non-GAAP measure may prove useful to investors who wish to consider the impact of certain items when comparing our financial performance with that of other companies. The adjustments to our GAAP results are made with the intent of providing both management and investors a more complete understanding of our underlying operational results, trends, and performance.</w:t>
      </w:r>
    </w:p>
    <w:p>
      <w:pPr>
        <w:spacing w:after="0" w:line="166"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There are limitations in using non-GAAP financial measures because non-GAAP financial measures are not prepared in accordance with GAAP and may be different from non-GAAP financial measures used by other companies. The non-GAAP financial measures are limited in value because they exclude certain items that may have a material impact on our reported financial results. In addition, they are subject to inherent limitations as they reflect the exercise of judgment by management about which items are adjusted to calculate our non-GAAP financial measures. Management compensates for these limitations by analyzing current and future results on a GAAP basis as well as a non-GAAP basis and also by providing GAAP measures in our public disclosures.</w:t>
      </w:r>
    </w:p>
    <w:p>
      <w:pPr>
        <w:spacing w:after="0" w:line="158" w:lineRule="exact"/>
        <w:rPr>
          <w:sz w:val="20"/>
          <w:szCs w:val="20"/>
          <w:color w:val="auto"/>
        </w:rPr>
      </w:pPr>
    </w:p>
    <w:p>
      <w:pPr>
        <w:ind w:right="420" w:firstLine="486"/>
        <w:spacing w:after="0" w:line="264" w:lineRule="auto"/>
        <w:rPr>
          <w:sz w:val="20"/>
          <w:szCs w:val="20"/>
          <w:color w:val="auto"/>
        </w:rPr>
      </w:pPr>
      <w:r>
        <w:rPr>
          <w:rFonts w:ascii="Arial" w:cs="Arial" w:eastAsia="Arial" w:hAnsi="Arial"/>
          <w:sz w:val="18"/>
          <w:szCs w:val="18"/>
          <w:color w:val="auto"/>
        </w:rPr>
        <w:t>The presentation of additional information should not be considered in isolation or as a substitute for or superior to financial results determined in accordance with GAAP. Investors are encouraged to review the reconciliation of these non-GAAP measures to their most directly comparable GAAP financial measure and not to rely on any single financial measure to evaluate our business.</w:t>
      </w:r>
    </w:p>
    <w:p>
      <w:pPr>
        <w:spacing w:after="0" w:line="181" w:lineRule="exact"/>
        <w:rPr>
          <w:sz w:val="20"/>
          <w:szCs w:val="20"/>
          <w:color w:val="auto"/>
        </w:rPr>
      </w:pPr>
    </w:p>
    <w:p>
      <w:pPr>
        <w:ind w:right="200" w:firstLine="446"/>
        <w:spacing w:after="0" w:line="308" w:lineRule="auto"/>
        <w:rPr>
          <w:sz w:val="20"/>
          <w:szCs w:val="20"/>
          <w:color w:val="auto"/>
        </w:rPr>
      </w:pPr>
      <w:r>
        <w:rPr>
          <w:rFonts w:ascii="Arial" w:cs="Arial" w:eastAsia="Arial" w:hAnsi="Arial"/>
          <w:sz w:val="17"/>
          <w:szCs w:val="17"/>
          <w:color w:val="auto"/>
        </w:rPr>
        <w:t>The following table sets forth the reconciliation of net income to non-GAAP adjusted EBITDA less net patent spend for each of the periods indicated (in thousands). Our historical results are not necessarily indicative of our results of operations to be expected for any future period.</w:t>
      </w:r>
    </w:p>
    <w:p>
      <w:pPr>
        <w:sectPr>
          <w:pgSz w:w="11900" w:h="16838" w:orient="portrait"/>
          <w:cols w:equalWidth="0" w:num="1">
            <w:col w:w="11420"/>
          </w:cols>
          <w:pgMar w:left="240" w:top="125" w:right="239" w:bottom="1440" w:gutter="0" w:footer="0" w:header="0"/>
        </w:sectPr>
      </w:pPr>
    </w:p>
    <w:p>
      <w:pPr>
        <w:spacing w:after="0" w:line="107"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52070</wp:posOffset>
            </wp:positionV>
            <wp:extent cx="19723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103" w:lineRule="exact"/>
        <w:rPr>
          <w:sz w:val="20"/>
          <w:szCs w:val="20"/>
          <w:color w:val="auto"/>
        </w:rPr>
      </w:pPr>
    </w:p>
    <w:p>
      <w:pPr>
        <w:ind w:left="5740"/>
        <w:spacing w:after="0"/>
        <w:tabs>
          <w:tab w:leader="none" w:pos="7340" w:val="left"/>
        </w:tabs>
        <w:rPr>
          <w:sz w:val="20"/>
          <w:szCs w:val="20"/>
          <w:color w:val="auto"/>
        </w:rPr>
      </w:pPr>
      <w:r>
        <w:rPr>
          <w:rFonts w:ascii="Arial" w:cs="Arial" w:eastAsia="Arial" w:hAnsi="Arial"/>
          <w:sz w:val="16"/>
          <w:szCs w:val="16"/>
          <w:b w:val="1"/>
          <w:bCs w:val="1"/>
          <w:color w:val="auto"/>
        </w:rPr>
        <w:t>2017</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52070</wp:posOffset>
            </wp:positionV>
            <wp:extent cx="1938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b w:val="1"/>
          <w:bCs w:val="1"/>
          <w:color w:val="auto"/>
        </w:rPr>
        <w:t>2017</w:t>
      </w:r>
      <w:r>
        <w:rPr>
          <w:sz w:val="20"/>
          <w:szCs w:val="20"/>
          <w:color w:val="auto"/>
        </w:rPr>
        <w:tab/>
      </w:r>
      <w:r>
        <w:rPr>
          <w:rFonts w:ascii="Arial" w:cs="Arial" w:eastAsia="Arial" w:hAnsi="Arial"/>
          <w:sz w:val="15"/>
          <w:szCs w:val="15"/>
          <w:b w:val="1"/>
          <w:bCs w:val="1"/>
          <w:color w:val="auto"/>
        </w:rPr>
        <w:t>2016</w:t>
      </w:r>
    </w:p>
    <w:p>
      <w:pPr>
        <w:spacing w:after="0" w:line="50" w:lineRule="exact"/>
        <w:rPr>
          <w:sz w:val="20"/>
          <w:szCs w:val="20"/>
          <w:color w:val="auto"/>
        </w:rPr>
      </w:pPr>
    </w:p>
    <w:p>
      <w:pPr>
        <w:sectPr>
          <w:pgSz w:w="11900" w:h="16838" w:orient="portrait"/>
          <w:cols w:equalWidth="0" w:num="2">
            <w:col w:w="8220" w:space="720"/>
            <w:col w:w="24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10,185</w:t>
            </w:r>
          </w:p>
        </w:tc>
        <w:tc>
          <w:tcPr>
            <w:tcW w:w="52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8,387</w:t>
            </w: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2,403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2,436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5,970</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5,178</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and other (income) expense, net</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Stock-based compensation, including related taxes</w:t>
            </w:r>
          </w:p>
        </w:tc>
        <w:tc>
          <w:tcPr>
            <w:tcW w:w="4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7,354</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9,998</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42,926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41,030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85,855</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85,585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Non-GAAP adjusted EBITDA</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53,573</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54,141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109,470</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108,892</w:t>
            </w:r>
          </w:p>
        </w:tc>
      </w:tr>
      <w:tr>
        <w:trPr>
          <w:trHeight w:val="27"/>
        </w:trPr>
        <w:tc>
          <w:tcPr>
            <w:tcW w:w="5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patent spend</w:t>
            </w: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(41,585)</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(37,134)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Non-GAAP adjusted EBITDA less net patent spend</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43,118</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33,256</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67,885</w:t>
            </w:r>
          </w:p>
        </w:tc>
        <w:tc>
          <w:tcPr>
            <w:tcW w:w="5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71,758</w:t>
            </w:r>
          </w:p>
        </w:tc>
      </w:tr>
      <w:tr>
        <w:trPr>
          <w:trHeight w:val="20"/>
        </w:trPr>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We have financed substantially all of our operations and patent asset acquisitions through subscription and other fees collected from our clients, patent-seller financing, the sale of equity securities, and from borrowing through term loan facilities. As of June 30, 2017, we had $189.3 million of cash and cash equivalents and $55.3 million in short-term investments. In January 2016, we paid aggregate consideration of $232.0 million in cash, net of working capital adjustments, at the closing of the Inventus transaction. On February 26, 2016, we entered into a credit agreement for a $100 million five-year term facility and a $50 million five-year revolving credit facility, which contains financial covenants requiring us to maintain certain leverage and fixed charge ratios which may impact our spending patterns and limits in the future. As of June 30, 2017, the total balance outstanding on the term facility was $93.1 million, and the revolving credit facility remains undrawn. Our debt facilities and repayment schedule are described in more detail in Note 11, "Debt," in Notes to Condensed Consolidated Financial Statements (unaudited) in Part I, Item 1 of this Quarterly Report on Form 10-Q.</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growth of our insurance and discovery services businesses, and development of new products and services. We may experience fluctuations in patent acquisition spending as we acquire patent assets that will benefit our clients. Our cash used in investing activities may increase in the future as we acquire additional patent assets. Our cash used in financing activities may increase in the future as we execute our stock repurchase program by purchasing RPX shares.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55,671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Foreign-currency effect on cash and cash equivalents</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89,159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35,057</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provided by operating activities for the six months ended June 30, 2017 was $102.9 million, consisting of adjustments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$97.1 million, changes in working capital and non-current assets and liabilities of $4.4 million and net income of $10.2 million. Non-cash adjustments to net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income primarily consisted of $85.9 million of depreciation and amortization, $7.1 million of stock-based compensation, $4.3 million net change in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deferred taxes, and a $0.9 million of amortization of premium on investments, partially offset by an unrealized gain of $1.0 million due to foreign currency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fluctuations. The change in working capital and non-current assets and liabilities resulted primarily from a $15.8 million decrease in deferred revenue,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our prepaid expenses and other assets of $11.3 million, a $3.0 million decrease in our accrued and other liabilities, and a $1.0 million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accounts payable, all partially offset by a $26.8 million decrease in accounts receivable due to the receipt of payment from a significant patent risk</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customer.</w:t>
      </w:r>
    </w:p>
    <w:p>
      <w:pPr>
        <w:spacing w:after="0" w:line="21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Cash provided by operating activities for the six months ended June 30, 2016 was $89.2 million, consisting of adjustments for non-cash items of $95.8 million, changes in working capital and non-current assets and liabilities of $15.0 million and net income of $8.4 million. Non-cash adjustments to net income primarily consisted of $85.6 million of depreciation and amortization, $9.8 million of stock-based compensation, an unrealized loss of $1.2 million due to foreign currency fluctuations, $1.0 million of amortization of premium on investments, $0.3 million realized loss on our sale of short-term investments, $0.2 million net decrease in our deferred taxes excluding those acquired through our acquisition of Inventus in January 2016, partially offset by $1.9 million of fair value adjustments on our deferred payment obligations and $0.5 million gain on extinguishment of our deferred payment obligation. The change in working capital and non-current assets and liabilities resulted primarily from a $15.2 million increase in accounts receivable, a $6.1 million decrease in our accrued and other liabilities and an increase in our prepaid expenses and other assets of $1.3 million partially offset by a $7.4 million increase in deferred revenue and a $0.2 million increase in accounts payable.</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77" w:lineRule="exact"/>
        <w:rPr>
          <w:sz w:val="20"/>
          <w:szCs w:val="20"/>
          <w:color w:val="auto"/>
        </w:rPr>
      </w:pPr>
    </w:p>
    <w:p>
      <w:pPr>
        <w:jc w:val="both"/>
        <w:ind w:right="280" w:firstLine="486"/>
        <w:spacing w:after="0" w:line="264" w:lineRule="auto"/>
        <w:rPr>
          <w:sz w:val="20"/>
          <w:szCs w:val="20"/>
          <w:color w:val="auto"/>
        </w:rPr>
      </w:pPr>
      <w:r>
        <w:rPr>
          <w:rFonts w:ascii="Arial" w:cs="Arial" w:eastAsia="Arial" w:hAnsi="Arial"/>
          <w:sz w:val="18"/>
          <w:szCs w:val="18"/>
          <w:color w:val="auto"/>
        </w:rPr>
        <w:t>Cash used in investing activities for the six months ended June 30, 2017 was $8.5 million, of which $41.9 million was used to acquire patent assets, $0.7 million was used to acquire property and equipment, and a $0.6 million increase in our restricted cash balances. These were partially offset by $34.7 million net maturities of short-term investments.</w:t>
      </w:r>
    </w:p>
    <w:p>
      <w:pPr>
        <w:spacing w:after="0" w:line="18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Cash used in investing activities for the six months ended June 30, 2016 was $109.7 million, of which $228.5 million was used for the acquisition of Inventus, net of cash received, $36.5 million was used to acquire patent assets, and $2.1 million was used to acquire property and equipment, partially offset by $157.2 million net sales and maturities of short-term investments used to fund the acquisition of Inventus, and a $0.2 million decrease in our restricted cash balances.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77"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Cash used in financing activities for the six months ended June 30, 2017 was $5.5 million, of which $4.8 million was used to repurchase our common stock under our share repurchase program, $3.3 million used in taxes paid related to net-share settlements of restricted stock units, payments of principal on our long-term debt of $3.1 million, partially offset by $5.9 million in proceeds from stock option exercises.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firstLine="486"/>
        <w:spacing w:after="0" w:line="259" w:lineRule="auto"/>
        <w:rPr>
          <w:sz w:val="20"/>
          <w:szCs w:val="20"/>
          <w:color w:val="auto"/>
        </w:rPr>
      </w:pPr>
      <w:r>
        <w:rPr>
          <w:rFonts w:ascii="Arial" w:cs="Arial" w:eastAsia="Arial" w:hAnsi="Arial"/>
          <w:sz w:val="18"/>
          <w:szCs w:val="18"/>
          <w:color w:val="auto"/>
        </w:rPr>
        <w:t>Cash provided by financing activities for the six months ended June 30, 2016 was $55.7 million, of which $100.0 million represented proceeds from the issuance of long-term debt which was partially offset by $39.1 million used to repurchase our common stock under our share repurchase program, $2.0 million for payments of issuance costs related to our long-term debt, $2.0 million used in taxes paid related to net-share settlements of restricted stock units and payments of principal on our long-term debt of $1.3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generally do not enter into long-term minimum purchase commitments. Our principal long-term commitments consist of obligations under operating leases for office space. In June 2017, we executed an amendment to our operating lease for our corporate headquarters in San Francisco. In accordance with the amendment, effective August 2017, we will reduce our leased space by approximately 18,000 square feet of the approximately 67,000 square feet of total previously leased space, which will reduce our future operating lease commitments by approximately $2.4 million over the remaining lease term. Other than this change to our lease obligation at our corporate headquarters, there were no material changes to our contractual obligations or commitments during the six months ended June 30, 2017 as compared to our contractual obligations and commitments presented under the heading “Contractual Obligations and Commitments” in Part II, Item 7 “Management’s Discussion and Analysis of Financial Condition and Results of Operations” or the heading “Commitments and Contingencies” in Note 12 of the Notes to Consolidated Financial Statements in Part II, Item 8 of our Annual Report on Form 10-K filed with the SEC on February 28, 2017.</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w:t>
      </w:r>
    </w:p>
    <w:p>
      <w:pPr>
        <w:spacing w:after="0" w:line="7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On February 26, 2016, we entered into the Credit Agreement which provided for the Term Facility and the Revolving Credit Facility. As of June 30, 2017, the total balance outstanding on the Term Facility is $93.1 million, and the Revolving Credit Facility remains undrawn. Our debt facilities and repayment schedule are described in more detail in Note 11, "Debt," in Notes to Condensed Consolidated Financial Statements (unaudited) in Part I, Item 1 of this Quarterly Report on Form 10-Q.</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8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In February 2015, our Board of Directors authorized the repurchase of up to $75.0 million of our outstanding shares of common stock. In March and May 2016, we increased our share repurchase program by $25.0 million and $50.0 million, respectively, for a total amount authorized of $150.0 million. As part of the share repurchase program, shares may be purchased in open market transactions, including through block purchases, through privately negotiated transactions, or pursuant to any trading plan that may be adopted in accordance with Rule 10b5-1 of the Exchange Act. The timing, manner, price and amount of any repurchases will be determined in our discretion and will depend on factors such as cash generation from operations, other cash requirements, economic and market conditions, stock price and legal and regulatory requirements. The share repurchase program does not have an expiration date and may be suspended, terminated or modified at any time for any reason. The repurchase program does not obligate us to acquire any specific number of shares, and all open market repurchases will be made in accordance with Exchange Act Rule 10b-18, which sets certain restrictions on the method, timing, price and volume of open market stock repurchases. As of June 30, 2017, we had repurchased an aggregate of 8.3 million shares of common stock in the open market for $91.1 million under the share repurchase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81"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At June 30, 2017, we did not have any relationships with unconsolidated entities or financial partnerships, such as structured finance or special purpose entities, which would have been established for the purpose of facilitating off-balance-sheet arrangements or other contractually narrow or limited purposes.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1"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7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Our subscription agreements are denominated in U.S. dollars and, therefore, our subscription revenue is not currently subject to significant foreign currency risk. Certain of our discovery services operations are denominated in currencies other than the U.S. dollar, primarily the British pound sterling and the Euro, and therefore these operations are exposed to foreign exchange rate fluctuations, particularly in light of the referendum in the United Kingdom in which voters approved an exit from the European Union, commonly referred to as "Brexit," and other recent political developments. Our expenses are incurred primarily in the United States, with a portion of expenses incurred and denominated in the currencies where our international offices are located. Our results of operations and cash flows are subject to fluctuations due to changes in foreign currency exchange rates, particularly changes in the British pound sterling, Japanese yen, and Euro relative to the U.S. dollar, including changes due to Brexit. To date, we have not entered into any foreign currency hedging contracts.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7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Our exposure to market risk for changes in interest rates relates primarily to our investment portfolio of cash equivalents and short-term investments and our long-term debt.</w:t>
      </w:r>
    </w:p>
    <w:p>
      <w:pPr>
        <w:spacing w:after="0" w:line="170"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As of June 30, 2017, we had an outstanding term facility with a five-year maturity with an aggregate carrying amount of $93.1 million, which bears interest which is payable quarterly in arrears at our option equal to either a base rate plus a margin ranging from 1.25% to 1.75% per annum or, at our election, the one-, two-, three-, or six-month LIBOR plus a margin ranging from 2.25% to 2.75% per annum, based upon the ratio of our debt to consolidated adjusted EBITDA ratio. A hypothetical 100 BPS increase or decrease in LIBOR would increase or decrease the interest expense on our term facility by approximately $0.5 million for the six months ended June 30, 2017.</w:t>
      </w:r>
    </w:p>
    <w:p>
      <w:pPr>
        <w:spacing w:after="0" w:line="188"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We had cash, cash equivalents and short-term investments of $244.5 million as of June 30, 2017. Our cash balances deposited in U.S. banks are non-interest bearing and insured up to the Federal Deposit Insurance Corporation (“FDIC”) limits. Cash equivalents consist primarily of commercial paper, institutional money market funds, and municipal bonds denominated primarily in U.S. dollars. Interest rate fluctuations affect the returns on our invested funds.</w:t>
      </w:r>
    </w:p>
    <w:p>
      <w:pPr>
        <w:spacing w:after="0" w:line="18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As of June 30, 2017, our short-term investments of $55.3 million were primarily invested in municipal and corporate bonds maturing between 90 days and 12 months, U.S. government and agency securities, and commercial paper. As of June 30, 2017, our investments were primarily classified as available-for-sale and, consequently, were recorded at fair value in the condensed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June 30, 2017, we had not recorded any impairment charges related to our investments in the condensed consolidated statement of operations.</w:t>
      </w:r>
    </w:p>
    <w:p>
      <w:pPr>
        <w:spacing w:after="0" w:line="19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 hypothetical change in interest rates of 10% during the six months ended June 30, 2017 would not have had a material impact on the fair value of our investments.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June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2017, our Chief Executive Officer and Chief Financial Officer concluded that, as of such date, our disclosure controls and procedures were effective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7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2017 which were identified in connection with management's evaluation required by Rule 13a-15 and 15d-15 under the Exchange Act that have materially affected, or are reasonably likely to materially affect, our internal control over financial reporting.</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125" w:right="31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81"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Refer to Note 12, “Commitments and Contingencies,” in Notes to Condensed Consolidated Financial Statements (unaudited) in Part I, Item 1 of this Quarterly Report on Form 10-Q, which is hereby incorporated by reference.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ind w:right="10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40"/>
        <w:spacing w:after="0" w:line="261"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operating results, and growth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 our future operating results difficult to predict and could cause our operating results to fall below expectations.</w:t>
      </w:r>
    </w:p>
    <w:p>
      <w:pPr>
        <w:spacing w:after="0" w:line="22" w:lineRule="exact"/>
        <w:rPr>
          <w:sz w:val="20"/>
          <w:szCs w:val="20"/>
          <w:color w:val="auto"/>
        </w:rPr>
      </w:pPr>
    </w:p>
    <w:p>
      <w:pPr>
        <w:ind w:right="120" w:firstLine="446"/>
        <w:spacing w:after="0" w:line="291" w:lineRule="auto"/>
        <w:rPr>
          <w:sz w:val="20"/>
          <w:szCs w:val="20"/>
          <w:color w:val="auto"/>
        </w:rPr>
      </w:pPr>
      <w:r>
        <w:rPr>
          <w:rFonts w:ascii="Arial" w:cs="Arial" w:eastAsia="Arial" w:hAnsi="Arial"/>
          <w:sz w:val="16"/>
          <w:szCs w:val="16"/>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the characteristics of the assets acquired and the timing of those acquisitions may result in significant quarterly fluctuations in our capital expenditures and our financial results, and the amount and timing of our membership sales may result in significant fluctuations in our cash flow on a quarterly basis. In addition, we do not believe that our rate of growth since inception is representative of anticipated future revenue growth and we may experience a year-over-year decline in revenue in future periods. As a result, comparing our operating results on a period-to-period basis may not be meaningful. You should not rely on our past results as an indication of our future performance.</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the factors described above and elsewhere in this Item 1A, other factors that may affect our operating results include:</w:t>
      </w:r>
    </w:p>
    <w:p>
      <w:pPr>
        <w:spacing w:after="0" w:line="63"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and discounting policies or those of our competitors;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services that meet client requirements in a timely manner;</w:t>
      </w:r>
    </w:p>
    <w:p>
      <w:pPr>
        <w:spacing w:after="0" w:line="63"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services to our existing and potential clients;</w:t>
      </w:r>
    </w:p>
    <w:p>
      <w:pPr>
        <w:spacing w:after="0" w:line="8"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subscription fees from clients whose annual subscription fees decrease due to declining operating income or revenue of such clients or the effects of changes in foreign exchange rates;</w:t>
      </w:r>
    </w:p>
    <w:p>
      <w:pPr>
        <w:spacing w:after="0" w:line="8" w:lineRule="exact"/>
        <w:rPr>
          <w:rFonts w:ascii="Arial" w:cs="Arial" w:eastAsia="Arial" w:hAnsi="Arial"/>
          <w:sz w:val="18"/>
          <w:szCs w:val="18"/>
          <w:color w:val="auto"/>
        </w:rPr>
      </w:pPr>
    </w:p>
    <w:p>
      <w:pPr>
        <w:ind w:left="820" w:right="44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lengthy and unpredictable membership sales cycle, including delays in potential clients’ decisions whether to subscribe to our patent risk management services;</w:t>
      </w:r>
    </w:p>
    <w:p>
      <w:pPr>
        <w:spacing w:after="0" w:line="8"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addition or loss of discovery services clients and projects which are difficult to predict and may result in material changes in quarterly revenue and costs;</w:t>
      </w:r>
    </w:p>
    <w:p>
      <w:pPr>
        <w:spacing w:after="0" w:line="8" w:lineRule="exact"/>
        <w:rPr>
          <w:rFonts w:ascii="Arial" w:cs="Arial" w:eastAsia="Arial" w:hAnsi="Arial"/>
          <w:sz w:val="18"/>
          <w:szCs w:val="18"/>
          <w:color w:val="auto"/>
        </w:rPr>
      </w:pPr>
    </w:p>
    <w:p>
      <w:pPr>
        <w:ind w:left="820" w:right="14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acquisition of patent assets with a shorter estimated useful life that increases our near-term patent asset amortization expense and decreases our earnings;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losses incurred as a result of claims made on insurance policies underwritten or assumed by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63" w:lineRule="exact"/>
        <w:rPr>
          <w:rFonts w:ascii="Arial" w:cs="Arial" w:eastAsia="Arial" w:hAnsi="Arial"/>
          <w:sz w:val="18"/>
          <w:szCs w:val="18"/>
          <w:color w:val="auto"/>
        </w:rPr>
      </w:pPr>
    </w:p>
    <w:p>
      <w:pPr>
        <w:ind w:left="820" w:right="22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8"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the costs of new business initiatives, and our acquisition of Inventus;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matters related to our acquisition of Inventus and the expansion of our business into discovery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820" w:right="50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820" w:right="100" w:hanging="326"/>
        <w:spacing w:after="0" w:line="298" w:lineRule="auto"/>
        <w:tabs>
          <w:tab w:leader="none" w:pos="8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w:t>
      </w: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services is evolving, and if these services are not widely accepted or if demand for these services is not sustained, our operating results will be adversely affected.</w:t>
      </w:r>
    </w:p>
    <w:p>
      <w:pPr>
        <w:spacing w:after="0" w:line="22"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services and we expect this will continue for the foreseeable future. As a result, widespread acceptance of these services is critical to our future success. The market for patent risk management services is evolving and it is uncertain whether these services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services, then wide market adoption of our patent risk management services will not develop, or it may develop more slowly than we expect. Either scenario would adversely affect our operating results in a significant way. Factors that may negatively affect wide market acceptance of these services, as well as our ability to obtain new clients and renew existing clients, include:</w:t>
      </w:r>
    </w:p>
    <w:p>
      <w:pPr>
        <w:spacing w:after="0" w:line="5" w:lineRule="exact"/>
        <w:rPr>
          <w:sz w:val="20"/>
          <w:szCs w:val="20"/>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86" w:lineRule="exact"/>
        <w:rPr>
          <w:rFonts w:ascii="Arial" w:cs="Arial" w:eastAsia="Arial" w:hAnsi="Arial"/>
          <w:sz w:val="16"/>
          <w:szCs w:val="16"/>
          <w:color w:val="auto"/>
        </w:rPr>
      </w:pPr>
    </w:p>
    <w:p>
      <w:pPr>
        <w:ind w:left="820" w:right="120" w:hanging="326"/>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into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patent risk management or insurance offerings;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services or to develop or acquire new services to provide additional value to our clients and potential clients, we may not be able to maintain our growth, and our business may be harmed.</w:t>
      </w:r>
    </w:p>
    <w:p>
      <w:pPr>
        <w:spacing w:after="0" w:line="8"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In order to attract new clients and retain existing clients, we need to enhance and improve our existing service offering and introduce new services that meet the needs of our clients. We have in the past, and may in the future, seek to acquire or invest in businesses, products or technologies that we believe could complement or expand our services, enhance our technical capabilities or otherwise offer growth opportunities.</w:t>
      </w:r>
    </w:p>
    <w:p>
      <w:pPr>
        <w:spacing w:after="0" w:line="166"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The development and implementation of new services, particularly our legal discovery services, will continue to require substantial time and resources, as well as require us to operate businesses that would be new to our organization. These or any other new services may not be introduced in a timely manner or at all. If we do introduce these or any other services, we may be unable to implement such services in a cost-effective manner, achieve wide market acceptance, meet client expectations or generate revenue sufficient to recoup the cost of developing such services. Any new services we introduce may expose us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additional laws, regulations and risks. If we are unable to develop these or other services successfully and enhance our existing services to meet client requirements or expectations, we may not be able to attract or retain clients, and our business may be harmed.</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of our business model in the future. If companies do not continue to subscribe to our services, our business and operating results will be adversely affected.</w:t>
      </w:r>
    </w:p>
    <w:p>
      <w:pPr>
        <w:spacing w:after="0" w:line="33"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We acquired our first patent assets in September 2008, sold our first membership in October 2008, and sold our first insurance policy in August 2012. In addition, we acquired Inventus and its litigation discovery services business in January 2016. The litigation discovery services business is a new business for us. Therefore, we have not only a limited operating history, but also a limited track record in executing our business model. Our future success depends on acceptance of our services by companies we target to become clients. Our efforts to sell our products to new and existing clients may not continue to be successful. We evaluate our business model from time to time in order to address the evolving needs of our clients and prospective clients, particularly in an industry that continues to develop and change.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79"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If the market for our services is not sustained, or if competitors introduce new solutions that compete with our services, we may be unable to renew our memberships, sell insurance policies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or discounts, which would likely harm our operating results. If we introduce a higher rate card for our subscription business in the future, it may be more difficult for us to attract new clients. In order to attract new clients and retain existing clients, in certain cases we have previously offered, and may in the future offer, discounts or other contractual incentives to clients.</w:t>
      </w:r>
    </w:p>
    <w:p>
      <w:pPr>
        <w:spacing w:after="0" w:line="178" w:lineRule="exact"/>
        <w:rPr>
          <w:sz w:val="20"/>
          <w:szCs w:val="20"/>
          <w:color w:val="auto"/>
        </w:rPr>
      </w:pPr>
    </w:p>
    <w:p>
      <w:pPr>
        <w:ind w:right="160"/>
        <w:spacing w:after="0" w:line="306" w:lineRule="auto"/>
        <w:rPr>
          <w:sz w:val="20"/>
          <w:szCs w:val="20"/>
          <w:color w:val="auto"/>
        </w:rPr>
      </w:pPr>
      <w:r>
        <w:rPr>
          <w:rFonts w:ascii="Arial" w:cs="Arial" w:eastAsia="Arial" w:hAnsi="Arial"/>
          <w:sz w:val="17"/>
          <w:szCs w:val="17"/>
          <w:b w:val="1"/>
          <w:bCs w:val="1"/>
          <w:i w:val="1"/>
          <w:iCs w:val="1"/>
          <w:color w:val="auto"/>
        </w:rPr>
        <w:t>The success of our business depends on clients renewing their subscription agreements, and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As of June 30, 2017, the weighted-average term of our subscription agreements with our current clients since the inception of those agreements was 2.3 years. As our overall membership base grows, we expect our rate of client renewals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has decreased and may continue to decrease further. If our clients do not renew their subscriptions or renew for shorter terms or if we allow them to renew at reduced subscription fees, our revenue may decline and our business may be adversely affected.</w:t>
      </w:r>
    </w:p>
    <w:p>
      <w:pPr>
        <w:spacing w:after="0" w:line="179"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substantially all of the patent assets in our portfolio at the time of subscription. In addition, clients receive term licenses to substantially all of the patent assets we acquire during the period of their membership. Our subscription agreements also typically include a vesting provision that converts a client’s term licenses into perpetual licenses on a delayed, rolling basis as long as the company remains a client. Accordingly, clients who continue to subscribe to our services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to all patent assets they believe are materially relevant to their businesses.</w:t>
      </w:r>
    </w:p>
    <w:p>
      <w:pPr>
        <w:spacing w:after="0" w:line="1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22" w:lineRule="exact"/>
        <w:rPr>
          <w:sz w:val="20"/>
          <w:szCs w:val="20"/>
          <w:color w:val="auto"/>
        </w:rPr>
      </w:pPr>
    </w:p>
    <w:p>
      <w:pPr>
        <w:ind w:right="100" w:firstLine="446"/>
        <w:spacing w:after="0" w:line="286" w:lineRule="auto"/>
        <w:rPr>
          <w:sz w:val="20"/>
          <w:szCs w:val="20"/>
          <w:color w:val="auto"/>
        </w:rPr>
      </w:pPr>
      <w:r>
        <w:rPr>
          <w:rFonts w:ascii="Arial" w:cs="Arial" w:eastAsia="Arial" w:hAnsi="Arial"/>
          <w:sz w:val="17"/>
          <w:szCs w:val="17"/>
          <w:color w:val="auto"/>
        </w:rPr>
        <w:t>Subscription fees are typically reset annually based on a client’s reported revenue and operating income measured as of the end of its last fiscal year. If a client who is not already paying the minimum due under our rate card experiences reduced operating results, its subscription fee for the next year will decline. As a result, our revenue stream may be affected by conditions outside of our control that impact the operating results of our clients.</w:t>
      </w:r>
    </w:p>
    <w:p>
      <w:pPr>
        <w:spacing w:after="0" w:line="166"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Our rate cards generally provide that our subscription fee as a percentage of the client’s operating income decreases as their operating income goes up. In addition, many of our clients’ rate cards are subject to an annual cap. As a result, if one of our clients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acquires another client, our future revenue could be reduced as a result of the application of our rate card to the combined entity rather than to each entity separately. Any reduction in subscription fees could harm our business and operating results.</w:t>
      </w:r>
    </w:p>
    <w:p>
      <w:pPr>
        <w:spacing w:after="0" w:line="170" w:lineRule="exact"/>
        <w:rPr>
          <w:sz w:val="20"/>
          <w:szCs w:val="20"/>
          <w:color w:val="auto"/>
        </w:rPr>
      </w:pPr>
    </w:p>
    <w:p>
      <w:pPr>
        <w:ind w:right="260"/>
        <w:spacing w:after="0" w:line="34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1"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services,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300"/>
        <w:spacing w:after="0" w:line="317"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ind w:firstLine="446"/>
        <w:spacing w:after="0" w:line="255"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services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8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the Inventus security measures are breached, our discovery services may be perceived as not being secure, clients may curtail or stop using our discovery services, and we may incur significant legal and financial exposure.</w:t>
      </w:r>
    </w:p>
    <w:p>
      <w:pPr>
        <w:spacing w:after="0" w:line="22"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We process, store, and transmit large amounts of data, including personal information, for our discovery services clients, and a material security breach would expose us to a risk of loss of this information, litigation, and potential liability. Because the techniques used to obtain unauthorized access, disable or degrade service, or sabotage systems change frequently and often are not recognized until launched against a target, we may be unable to anticipate these techniques or to implement adequate preventative measures.</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22"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Our previous chief executive officer resigned his employment with us in February 2017, and we announced earlier this year that our executive vice president was joining our board of directors and would be resigning her executive position later this year and that our previous chief financial officer would serve in another executive role effective May 15, 2017. We also recently announced that the CEO of Inventus has resigned. We do not maintain key person life insurance policies on any of our employees. The loss of one or more of our key employees, including the recent loss of our previous chief executive officer and our other executive officers, could seriously harm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77"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increase our revenue is dependent on our ability to hire personnel who can identify and acquire valuable patent assets and attract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estimating the frequency and severity of related loss events, but actual results could differ materially from the model outputs. Incurring losses that exceed our predictions could adversely affect our financial condition and results of operations.</w:t>
      </w:r>
    </w:p>
    <w:p>
      <w:pPr>
        <w:spacing w:after="0" w:line="19"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that we underwrite or reinsure. We use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which could have a material adverse effect on our results of operations. If, based upon these models or otherwise, we over price our products or overestimate the risks we are exposed to, new business growth and retention of our existing business may be adversely affected.</w:t>
      </w:r>
    </w:p>
    <w:p>
      <w:pPr>
        <w:spacing w:after="0" w:line="2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or continued engagements from these clients, our revenue may decrease substantially.</w:t>
      </w:r>
    </w:p>
    <w:p>
      <w:pPr>
        <w:spacing w:after="0" w:line="22" w:lineRule="exact"/>
        <w:rPr>
          <w:sz w:val="20"/>
          <w:szCs w:val="20"/>
          <w:color w:val="auto"/>
        </w:rPr>
      </w:pPr>
    </w:p>
    <w:p>
      <w:pPr>
        <w:ind w:firstLine="446"/>
        <w:spacing w:after="0" w:line="279" w:lineRule="auto"/>
        <w:rPr>
          <w:sz w:val="20"/>
          <w:szCs w:val="20"/>
          <w:color w:val="auto"/>
        </w:rPr>
      </w:pPr>
      <w:r>
        <w:rPr>
          <w:rFonts w:ascii="Arial" w:cs="Arial" w:eastAsia="Arial" w:hAnsi="Arial"/>
          <w:sz w:val="17"/>
          <w:szCs w:val="17"/>
          <w:color w:val="auto"/>
        </w:rPr>
        <w:t>We receive a significant amount of our revenue from a limited number of clients. For example, during the six months ended June 30, 2017, our 10 highest revenue-generating clients accounted for approximately 31% of our total revenue. We expect that a significant portion of our revenue will continue to come from a relatively small number of clients for the foreseeable future. If any of these clients chooses not to remain a client, or if our fees from one of these clients decline, our revenue may correspondingly decrease and our operating results may be adversely affected.</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small and mid-size companies, we may not be able to maintain our growth and our business and results of operations may be harmed.</w:t>
      </w:r>
    </w:p>
    <w:p>
      <w:pPr>
        <w:spacing w:after="0" w:line="8" w:lineRule="exact"/>
        <w:rPr>
          <w:sz w:val="20"/>
          <w:szCs w:val="20"/>
          <w:color w:val="auto"/>
        </w:rPr>
      </w:pPr>
    </w:p>
    <w:p>
      <w:pPr>
        <w:ind w:right="100"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and, in order for us to continue our growth, we need to expand our membership base to include small and mid-size companies. There is no guarantee that we will be successful in those efforts. Small and mid-size companies often have more limited budgets available for services of the type we offer compared to large companies. Furthermore, small and mid-size companies are generally not subject to as much patent litigation as large companies and, therefore, may not perceive that the benefits of our services justify their cost. They may also have concerns that we will focus our patent acquisition efforts on patent assets that are of more benefit to our larger clients who pay us higher subscription fees. If we are unable to successfully expand our membership base to include an increased number of companies, our growth may slow, and our business may be harmed.</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We are investing management time and resources into developing products designed to provide insurance against patent infringement claims. We have limited prior experience in designing or providing insurance products. If we are not successful in selling a significant amount of these insurance products, we will not realize the anticipated benefit of these investments, which could have an adverse effect on our growth prospects, and our business may be harmed.</w:t>
      </w:r>
    </w:p>
    <w:p>
      <w:pPr>
        <w:spacing w:after="0" w:line="25"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are investing management time and financial resources in the development of products designed to provide insurance against some of the costs resulting from patent claims. We are providing capital to develop and operate this business. We have limited prior experience in designing insurance products, operating an insurance business, attracting policyholders or establishing the pricing or terms of insurance policies and selling insurance policies in combination with membership subscriptions. We cannot assure you that our patent insurance products will appeal to a sufficient number of our existing clients or attract enough new clients to build a sustainable insurance business. If we are unsuccessful in managing this business, we may not realize the anticipated benefits of our investments of capital and management attention, which could have an adverse effect on our financial performance and growth prospects and our business may be harmed.</w:t>
      </w:r>
    </w:p>
    <w:p>
      <w:pPr>
        <w:spacing w:after="0" w:line="18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b w:val="1"/>
          <w:bCs w:val="1"/>
          <w:i w:val="1"/>
          <w:iCs w:val="1"/>
          <w:color w:val="auto"/>
        </w:rPr>
        <w:t>We acquired Inventus in January 2016, and may acquire or invest in other companies or technologies, which could divert our management’s attention, result in additional dilution to our stockholders, and otherwise disrupt our operations and harm our operating results. We may also be unable to realize the expected benefits and synergies of any acquisitions.</w:t>
      </w:r>
    </w:p>
    <w:p>
      <w:pPr>
        <w:spacing w:after="0" w:line="19" w:lineRule="exact"/>
        <w:rPr>
          <w:sz w:val="20"/>
          <w:szCs w:val="20"/>
          <w:color w:val="auto"/>
        </w:rPr>
      </w:pPr>
    </w:p>
    <w:p>
      <w:pPr>
        <w:ind w:right="40" w:firstLine="446"/>
        <w:spacing w:after="0" w:line="302" w:lineRule="auto"/>
        <w:rPr>
          <w:sz w:val="20"/>
          <w:szCs w:val="20"/>
          <w:color w:val="auto"/>
        </w:rPr>
      </w:pPr>
      <w:r>
        <w:rPr>
          <w:rFonts w:ascii="Arial" w:cs="Arial" w:eastAsia="Arial" w:hAnsi="Arial"/>
          <w:sz w:val="16"/>
          <w:szCs w:val="16"/>
          <w:color w:val="auto"/>
        </w:rPr>
        <w:t>We have in the past and may in the future seek to acquire or invest in businesses, products or technologies that we believe could complement or expand our services, enhance our technical capabilities or otherwise offer growth opportunities. We may not be able to integrate the acquired personnel, operations, and technologies successfully or effectively manage the combined business. The pursuit of potential acquisitions may divert the attention of management and cause us to incur various expenses in identifying, investigating and pursuing suitable acquisitions, whether or not they are consummated.</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not achieve the anticipated benefits from the Inventus or another acquisition due to a number of factors, including:</w:t>
      </w:r>
    </w:p>
    <w:p>
      <w:pPr>
        <w:spacing w:after="0" w:line="225" w:lineRule="exact"/>
        <w:rPr>
          <w:sz w:val="20"/>
          <w:szCs w:val="20"/>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820" w:right="20" w:hanging="326"/>
        <w:spacing w:after="0" w:line="317" w:lineRule="auto"/>
        <w:tabs>
          <w:tab w:leader="none" w:pos="8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need to integrate the operations, systems (including accounting, management, information, human resources and other administrative systems), technologies, products, and personnel of each acquired company, which is an inherently risky and potentially lengthy and costly process;</w:t>
      </w:r>
    </w:p>
    <w:p>
      <w:pPr>
        <w:ind w:left="820" w:right="240" w:hanging="326"/>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implement or improve controls, procedures, and policies appropriate for a public company at companies that prior to our acquisition may have lacked such controls, procedures, and policies or whose controls, procedures, and policies did not meet applicable legal and other standards;</w:t>
      </w:r>
    </w:p>
    <w:p>
      <w:pPr>
        <w:spacing w:after="0" w:line="19" w:lineRule="exact"/>
        <w:rPr>
          <w:rFonts w:ascii="Arial" w:cs="Arial" w:eastAsia="Arial" w:hAnsi="Arial"/>
          <w:sz w:val="18"/>
          <w:szCs w:val="18"/>
          <w:color w:val="auto"/>
        </w:rPr>
      </w:pPr>
    </w:p>
    <w:p>
      <w:pPr>
        <w:jc w:val="both"/>
        <w:ind w:left="820" w:right="120" w:hanging="326"/>
        <w:spacing w:after="0" w:line="264"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the accounting, financial reporting, operating metrics and similar systems, controls and processes of an acquired business, and the risk that errors or irregularities in those systems, controls, and processes will lead to errors in our consolidated financial statements or make it more difficult to manage the acquired business;</w:t>
      </w:r>
    </w:p>
    <w:p>
      <w:pPr>
        <w:spacing w:after="0" w:line="19" w:lineRule="exact"/>
        <w:rPr>
          <w:rFonts w:ascii="Arial" w:cs="Arial" w:eastAsia="Arial" w:hAnsi="Arial"/>
          <w:sz w:val="18"/>
          <w:szCs w:val="18"/>
          <w:color w:val="auto"/>
        </w:rPr>
      </w:pPr>
    </w:p>
    <w:p>
      <w:pPr>
        <w:ind w:left="820" w:right="72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loss of key customers, vendors, and other business partners of the companies we acquire following the announcement of our transaction plans;</w:t>
      </w:r>
    </w:p>
    <w:p>
      <w:pPr>
        <w:spacing w:after="0" w:line="8"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inefficiencies and lack of control that may result if such integration is delayed or not implemented, and unforeseen difficulties and expenditures that may arise as a result;</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derivative lawsuits resulting from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associated with our expansion into new international markets;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legal, financial and accounting challenges and complexities in areas such as tax planning and cash management;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discovery services engagement agreements, including those related to our largest clients, can be terminated by our clients with little or no notice and without penalty, which may cause our operating results to be unpredictable.</w:t>
      </w:r>
    </w:p>
    <w:p>
      <w:pPr>
        <w:spacing w:after="0" w:line="22"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Our discovery services clients typically retain us on an engagement-by-engagement basis, rather than under fixed-term contracts; the volume of work performed for any particular client is likely to vary from month to month and year to year, and a major client in one fiscal period may not require or may decide not to use our services in any subsequent fiscal period. Almost all of our discovery services engagement agreements can be terminated by our clients with little or no notice and without penalty. For example, in engagements related to litigation, if the litigation were to be settled, our engagement for those services would no longer be necessary and, therefore, would be terminated. When discovery services engagements are terminated or reduced, we lose the associated future revenues, and we may not be able to recover associated costs or redeploy the affected employees in a timely manner to minimize the negative impact. In addition, our discovery services clients’ ability to terminate engagements with little or no notice and without penalty makes it difficult to predict our operating results for the discovery services segment in any particular fiscal period.</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9"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jc w:val="both"/>
        <w:ind w:right="12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retaining existing clients, and our operating results will be harmed. Similarly, if clients are not satisfied with the amount of capital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services to clients or potential clients and harm our business and operating results.</w:t>
      </w:r>
    </w:p>
    <w:p>
      <w:pPr>
        <w:spacing w:after="0" w:line="8"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If Congress, the U.S.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services to our current and potential clients. For example, limitations on the ability to bring patent enforcement claims or the venue for those claims,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or risk of bringing patent enforcement actions. As a result, assertions and the threat of assertions by NPEs may decrease. If this occurs, companies may seek to resolve patent claims on an individual basis and be less willing to subscribe to our services or renew their memberships. Furthermore, even if companies are interested in subscribing to our services or maintaining their memberships, companies may be unwilling to pay the subscription fees that we propose. Any of these events could result in a material adverse effect on our business and operating results.</w:t>
      </w:r>
    </w:p>
    <w:p>
      <w:pPr>
        <w:spacing w:after="0" w:line="223" w:lineRule="exact"/>
        <w:rPr>
          <w:sz w:val="20"/>
          <w:szCs w:val="20"/>
          <w:color w:val="auto"/>
        </w:rPr>
      </w:pPr>
    </w:p>
    <w:p>
      <w:pPr>
        <w:ind w:right="120" w:firstLine="446"/>
        <w:spacing w:after="0" w:line="286" w:lineRule="auto"/>
        <w:rPr>
          <w:sz w:val="20"/>
          <w:szCs w:val="20"/>
          <w:color w:val="auto"/>
        </w:rPr>
      </w:pPr>
      <w:r>
        <w:rPr>
          <w:rFonts w:ascii="Arial" w:cs="Arial" w:eastAsia="Arial" w:hAnsi="Arial"/>
          <w:sz w:val="17"/>
          <w:szCs w:val="17"/>
          <w:color w:val="auto"/>
        </w:rPr>
        <w:t>In addition, future laws and regulations, or judicial interpretations thereof, could adversely affect our discovery services clients and thus indirectly affect our business. For example, changes to the Federal Rules of Civil Procedure regarding discovery of "electronically stored information" could result in a decreased need for discovery services. Any of these events could result in a material adverse effect on our business and operating results.</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services for existing clients and may not be able to respond effectively to changes in our market. This limited flexibility could have an adverse effect on our operating results.</w:t>
      </w:r>
    </w:p>
    <w:p>
      <w:pPr>
        <w:spacing w:after="0" w:line="8"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Under many of our existing subscription agreements, our annual subscription fee is based on published rate cards applicable to all of our clients that commence their membership while that rate card is in effect. Clients under such agreements are able to renew their memberships perpetually under the rate card in effect at the time that they became members with periodic adjustments by us only based on changes in the Consumer Price Index. This means that any increases to our rate card generally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9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Releases of new software products or upgrades to our existing software products or licensed third-party software may have undetected errors, or may not operate as intended or achieve our client's desired objectives, which could cause litigation claims against us, damage to our reputation, or loss of business.</w:t>
      </w:r>
    </w:p>
    <w:p>
      <w:pPr>
        <w:spacing w:after="0" w:line="3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Certain of our discovery services utilize software developed by us or third parties for the needs of our clients. Complex software products, such as those we utilize, can contain undetected errors when first introduced or as new versions are released, or may fail to operate as intended or achieve the client’s desired objectives. Any introduction of new software products or upgrade to existing software products has a risk of undetected errors. These undetected errors may be discovered only after a product has been installed and used either in our internal processing or by our clients. Likewise, the software products we acquire in business acquisitions have a risk of undetected errors. Any undetected errors, difficulties in installing and maintaining our software products or upgrade releases, or the failure to achieve the client's desired objectives, may result in a delay or loss of revenue, diversion of development resources, damage to our reputation, the loss of that client, loss of future business, increased service costs, potential litigation claims against us, or impaired market acceptance of our products.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in our patent risk management or legal discovery services businesses. Any failure to compete effectively could harm our business and results of operations.</w:t>
      </w:r>
    </w:p>
    <w:p>
      <w:pPr>
        <w:spacing w:after="0" w:line="8"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services and the value and cost savings they provide.</w:t>
      </w:r>
    </w:p>
    <w:p>
      <w:pPr>
        <w:spacing w:after="0" w:line="188" w:lineRule="exact"/>
        <w:rPr>
          <w:sz w:val="20"/>
          <w:szCs w:val="20"/>
          <w:color w:val="auto"/>
        </w:rPr>
      </w:pPr>
    </w:p>
    <w:p>
      <w:pPr>
        <w:ind w:right="20" w:firstLine="446"/>
        <w:spacing w:after="0" w:line="272" w:lineRule="auto"/>
        <w:rPr>
          <w:sz w:val="20"/>
          <w:szCs w:val="20"/>
          <w:color w:val="auto"/>
        </w:rPr>
      </w:pPr>
      <w:r>
        <w:rPr>
          <w:rFonts w:ascii="Arial" w:cs="Arial" w:eastAsia="Arial" w:hAnsi="Arial"/>
          <w:sz w:val="17"/>
          <w:szCs w:val="17"/>
          <w:color w:val="auto"/>
        </w:rPr>
        <w:t>In addition to competing for new clients, we also compete to acquire patent assets. Our primary competitors in the market for patent assets are varied and include other entities that seek to accumulate patent assets, including NPEs such as Acacia Research, PanOptis, and Dominion Harbor. Many of our current or potential competitors have longer operating histories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78" w:lineRule="exact"/>
        <w:rPr>
          <w:sz w:val="20"/>
          <w:szCs w:val="20"/>
          <w:color w:val="auto"/>
        </w:rPr>
      </w:pPr>
    </w:p>
    <w:p>
      <w:pPr>
        <w:ind w:right="280" w:firstLine="446"/>
        <w:spacing w:after="0" w:line="273" w:lineRule="auto"/>
        <w:rPr>
          <w:sz w:val="20"/>
          <w:szCs w:val="20"/>
          <w:color w:val="auto"/>
        </w:rPr>
      </w:pPr>
      <w:r>
        <w:rPr>
          <w:rFonts w:ascii="Arial" w:cs="Arial" w:eastAsia="Arial" w:hAnsi="Arial"/>
          <w:sz w:val="17"/>
          <w:szCs w:val="17"/>
          <w:color w:val="auto"/>
        </w:rPr>
        <w:t>In addition, the discovery services market is highly fragmented, extremely competitive, and continually changing as technology and the legal and regulatory environments evolve around the world. Our competitors include larger businesses that offer a distinct discovery service offering such as DTI Global, KrolLDiscovery, Consilio, and FTI Consulting. We also compete with smaller regional discovery services businesses as well as discovery services practices inside large and mid-sized law firms and professional services firms. Many of our competitors in this market have a greater national and international presence, as well as have a significantly greater number of personnel, financial, technical, and marketing resources. In addition, these competitors may generate greater revenues and have greater name recognition than we do.</w:t>
      </w:r>
    </w:p>
    <w:p>
      <w:pPr>
        <w:spacing w:after="0" w:line="178"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We expect to face more direct competition in the future in both our patent risk management business and litigation discovery services business from other established and emerging companies. In addition, as a relatively new company in the patent risk management market and litigation discovery services market, we have limited insight into trends that may develop and affect our businesses. As a result, we may make errors in predicting and reacting to relevant business trends, making us unable to compete effectively against others.</w:t>
      </w:r>
    </w:p>
    <w:p>
      <w:pPr>
        <w:spacing w:after="0" w:line="187" w:lineRule="exact"/>
        <w:rPr>
          <w:sz w:val="20"/>
          <w:szCs w:val="20"/>
          <w:color w:val="auto"/>
        </w:rPr>
      </w:pPr>
    </w:p>
    <w:p>
      <w:pPr>
        <w:ind w:firstLine="446"/>
        <w:spacing w:after="0" w:line="276" w:lineRule="auto"/>
        <w:rPr>
          <w:sz w:val="20"/>
          <w:szCs w:val="20"/>
          <w:color w:val="auto"/>
        </w:rPr>
      </w:pPr>
      <w:r>
        <w:rPr>
          <w:rFonts w:ascii="Arial" w:cs="Arial" w:eastAsia="Arial" w:hAnsi="Arial"/>
          <w:sz w:val="17"/>
          <w:szCs w:val="17"/>
          <w:color w:val="auto"/>
        </w:rPr>
        <w:t>Our current or potential competitors in both our patent risk management business and litigation discovery services businesses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Certain of our acquisitions of patent assets are time consuming, complex and costly, which could adversely affect our operating results.</w:t>
      </w:r>
    </w:p>
    <w:p>
      <w:pPr>
        <w:spacing w:after="0" w:line="75" w:lineRule="exact"/>
        <w:rPr>
          <w:sz w:val="20"/>
          <w:szCs w:val="20"/>
          <w:color w:val="auto"/>
        </w:rPr>
      </w:pPr>
    </w:p>
    <w:p>
      <w:pPr>
        <w:ind w:right="120" w:firstLine="446"/>
        <w:spacing w:after="0" w:line="272" w:lineRule="auto"/>
        <w:rPr>
          <w:sz w:val="20"/>
          <w:szCs w:val="20"/>
          <w:color w:val="auto"/>
        </w:rPr>
      </w:pPr>
      <w:r>
        <w:rPr>
          <w:rFonts w:ascii="Arial" w:cs="Arial" w:eastAsia="Arial" w:hAnsi="Arial"/>
          <w:sz w:val="17"/>
          <w:szCs w:val="17"/>
          <w:color w:val="auto"/>
        </w:rPr>
        <w:t>Certain of our acquisitions of patent assets are time consuming, complex and costly to consummate. We utilize many different transaction structures in our acquisitions and the terms of the acquisition agreements tend to be very heavily negotiated. As a result, we may incur significant operating expenses during the negotiations even when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of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syndicated acquisitions are complex and can be large and highly visible. We may incur significant costs to organize and negotiate a syndicated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patent risk manager, our ability to gain wide market acceptance will be harmed, and our operating results could be adversely affected.</w:t>
      </w:r>
    </w:p>
    <w:p>
      <w:pPr>
        <w:spacing w:after="0" w:line="22" w:lineRule="exact"/>
        <w:rPr>
          <w:sz w:val="20"/>
          <w:szCs w:val="20"/>
          <w:color w:val="auto"/>
        </w:rPr>
      </w:pPr>
    </w:p>
    <w:p>
      <w:pPr>
        <w:ind w:right="28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unavailability of third-party technology could adversely impact our revenue and results of operations.</w:t>
      </w:r>
    </w:p>
    <w:p>
      <w:pPr>
        <w:spacing w:after="0" w:line="117" w:lineRule="exact"/>
        <w:rPr>
          <w:sz w:val="20"/>
          <w:szCs w:val="20"/>
          <w:color w:val="auto"/>
        </w:rPr>
      </w:pPr>
    </w:p>
    <w:p>
      <w:pPr>
        <w:ind w:right="20" w:firstLine="486"/>
        <w:spacing w:after="0" w:line="364" w:lineRule="auto"/>
        <w:rPr>
          <w:sz w:val="20"/>
          <w:szCs w:val="20"/>
          <w:color w:val="auto"/>
        </w:rPr>
      </w:pPr>
      <w:r>
        <w:rPr>
          <w:rFonts w:ascii="Arial" w:cs="Arial" w:eastAsia="Arial" w:hAnsi="Arial"/>
          <w:sz w:val="16"/>
          <w:szCs w:val="16"/>
          <w:color w:val="auto"/>
        </w:rPr>
        <w:t>We license certain discovery-related software from third parties and incorporate such software into our discovery services. Most of our third-party software license contracts expire within one year and may be renewed only by mutual consent. There is no assurance that we will be able to renew these contracts as they expire or that such renewals will be on the same or substantially similar terms or on conditions that are commercially reasonable to us. If we fail to renew these contracts as they expire, our discovery services offerings may be reduced. In addition, our third-party software licenses are non-exclusive, and therefore, our competitors may obtain the right to license certain of the technology covered by these agreements to compete directly with us. In certain situations, our third party software licensors are themselves also our competitors in the discovery services market.</w:t>
      </w:r>
    </w:p>
    <w:p>
      <w:pPr>
        <w:spacing w:after="0" w:line="135"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If certain of our third-party licensors were to change product offerings, cease actively supporting the technologies, fail to update and enhance the technologies to keep pace with changing industry standards, encounter technical difficulties in the continuing development of these technologies, significantly increase prices, terminate our licenses, suffer significant capacity or supply chain constraints or suffer significant disruptions, we would need to seek alternative suppliers and incur additional internal or external development costs to ensure continued performance of our discovery services. Such alternatives may not be available on attractive terms, or may not be as widely accepted or as effective as the current licenses provided by our existing suppliers. If the cost of licensing or maintaining the third party intellectual property significantly increases, our operating earnings could significantly decrease. In addition, interruption in functionality of our services and products as a result of changes in or with third party licensors could adversely affect our commitments to clients, future sales, and negatively affect our revenue and operating earnings.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Interruptions or delays in service at the data centers we utilize for discovery services could impair the delivery of our service and harm our business.</w:t>
      </w:r>
    </w:p>
    <w:p>
      <w:pPr>
        <w:spacing w:after="0" w:line="10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provide services through computer hardware that is located in co-location data centers operated by unrelated third parties. Although we do own that computer hardware, we do not control the operation of these colocation facilities, which increases our vulnerability to problems with the services they provide. The data centers are subject to damage or interruption from earthquakes, floods, fires, power loss, terrorist attacks, telecommunications failures and similar events. These facilities are also subject to break-ins, sabotage, intentional acts of vandalism and similar misconduct. The occurrence of any of these events or other unanticipated problems at a facility could result in interruptions in certain of our services, although we have established backup recovery data centers to try to minimize this risk. In addition, the failure by our vendor to provide our required data communications capacity could result in poor service or interruptions in our service. Any damage to, or failure of, our systems or services could reduce our revenue, cause us to issue credits or pay penalties, cause clients to terminate their agreements with us and adversely affect our ability to secure business in the future. Our business will be harmed if our clients and potential clients believe our services are unreliable.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becomes impaired, we may be required to record a significant charge to earnings.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test goodwill for impairment at least annually. If such goodwill is deemed to be impaired, an impairment loss equal to the amount by which the carrying amount exceeds the fair value of the assets would be recognized. We may be required to record a significant charge in our financial statements during the period in which any impairment of our goodwill is determined, which would negatively affect our results of operations.</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model requires estimates and judgments by our management. Our estimates and judgments are subject to changes that could adversely affect our operating results.</w:t>
      </w:r>
    </w:p>
    <w:p>
      <w:pPr>
        <w:spacing w:after="0" w:line="22" w:lineRule="exact"/>
        <w:rPr>
          <w:sz w:val="20"/>
          <w:szCs w:val="20"/>
          <w:color w:val="auto"/>
        </w:rPr>
      </w:pPr>
    </w:p>
    <w:p>
      <w:pPr>
        <w:ind w:right="100" w:firstLine="446"/>
        <w:spacing w:after="0" w:line="293" w:lineRule="auto"/>
        <w:rPr>
          <w:sz w:val="20"/>
          <w:szCs w:val="20"/>
          <w:color w:val="auto"/>
        </w:rPr>
      </w:pPr>
      <w:r>
        <w:rPr>
          <w:rFonts w:ascii="Arial" w:cs="Arial" w:eastAsia="Arial" w:hAnsi="Arial"/>
          <w:sz w:val="16"/>
          <w:szCs w:val="16"/>
          <w:color w:val="auto"/>
        </w:rPr>
        <w:t>Our patent risk management business model is relatively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be required to spend considerable time and expense defending our position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we may be unable to successfully defend our accounting or tax treatment, any of which could adversely affect our business and operating results.</w:t>
      </w:r>
    </w:p>
    <w:p>
      <w:pPr>
        <w:spacing w:after="0" w:line="2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Following the launch of insurance products for patent infringement claims, we now face the risks associated with operating an insurance business. If we fail to manage these risks, our results of operations and financial condition may be adversely affected.</w:t>
      </w:r>
    </w:p>
    <w:p>
      <w:pPr>
        <w:spacing w:after="0" w:line="22"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In August 2012, we began to offer insurance products for patent claims, and therefore face new risks associated with the operation of an insurance business. We have no prior experience in operating an insurance business, which includes assuming underwriting and reinsurance risk and setting premiums. There are many estimates and forecasts involved in predicting underwriting and reinsurance risk and setting premiums, many of which are subject to substantial uncertainty and which could cause our expenses and earnings to vary significantly from quarter to quarter. If we do not estimate our underwriting and reinsurance risks and set our premiums successfully, we may incur larger losses on our policies than we expect, which could have an adverse effect on our results of operations and financial condition. Under accounting principles generally accepted in the United States of America, while premiums earned from our insurance policies are recognized ratably, losses are recognized as incurred. This will increase the variability of our operating results until such time as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85" w:lineRule="exact"/>
        <w:rPr>
          <w:sz w:val="20"/>
          <w:szCs w:val="20"/>
          <w:color w:val="auto"/>
        </w:rPr>
      </w:pPr>
    </w:p>
    <w:p>
      <w:pPr>
        <w:ind w:right="80" w:firstLine="446"/>
        <w:spacing w:after="0" w:line="291" w:lineRule="auto"/>
        <w:rPr>
          <w:sz w:val="20"/>
          <w:szCs w:val="20"/>
          <w:color w:val="auto"/>
        </w:rPr>
      </w:pPr>
      <w:r>
        <w:rPr>
          <w:rFonts w:ascii="Arial" w:cs="Arial" w:eastAsia="Arial" w:hAnsi="Arial"/>
          <w:sz w:val="16"/>
          <w:szCs w:val="16"/>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We may incur significant costs in defending claims made against us and the result may not be favorable. An unfavorable outcome of any claim could result in proliferation of similar claims against us. The expense and disclosure associated with our involvement in litigation could have an adverse effect on our business, prospects, financial condition, operating results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63" w:lineRule="exact"/>
        <w:rPr>
          <w:sz w:val="20"/>
          <w:szCs w:val="20"/>
          <w:color w:val="auto"/>
        </w:rPr>
      </w:pPr>
    </w:p>
    <w:p>
      <w:pPr>
        <w:ind w:right="60" w:firstLine="446"/>
        <w:spacing w:after="0" w:line="270" w:lineRule="auto"/>
        <w:rPr>
          <w:sz w:val="20"/>
          <w:szCs w:val="20"/>
          <w:color w:val="auto"/>
        </w:rPr>
      </w:pPr>
      <w:r>
        <w:rPr>
          <w:rFonts w:ascii="Arial" w:cs="Arial" w:eastAsia="Arial" w:hAnsi="Arial"/>
          <w:sz w:val="17"/>
          <w:szCs w:val="17"/>
          <w:color w:val="auto"/>
        </w:rPr>
        <w:t>Because of our presence in an emerging industry, the application to us of existing United States and foreign laws is unclear. Many laws do not contemplate or address the specific issues associated with our patent risk management services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82"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Additionally, we face risks from laws that could be passed or changed in the future, including in the United Kingdom as a result of Brexit or in the United States as a result of the recent Presidential election. Since a significant portion of the regulatory framework in the United Kingdom is derived from EU directives and regulations, Brexit could materially affect the regulatory regime in the United Kingdom. Changes in laws and regulations regarding data protection, privacy, network security, or encryption may affect our discovery services.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22" w:lineRule="exact"/>
        <w:rPr>
          <w:sz w:val="20"/>
          <w:szCs w:val="20"/>
          <w:color w:val="auto"/>
        </w:rPr>
      </w:pPr>
    </w:p>
    <w:p>
      <w:pPr>
        <w:ind w:right="420" w:firstLine="446"/>
        <w:spacing w:after="0" w:line="277" w:lineRule="auto"/>
        <w:rPr>
          <w:sz w:val="20"/>
          <w:szCs w:val="20"/>
          <w:color w:val="auto"/>
        </w:rPr>
      </w:pPr>
      <w:r>
        <w:rPr>
          <w:rFonts w:ascii="Arial" w:cs="Arial" w:eastAsia="Arial" w:hAnsi="Arial"/>
          <w:sz w:val="18"/>
          <w:szCs w:val="18"/>
          <w:color w:val="auto"/>
        </w:rPr>
        <w:t>Our business is dependent on our ability to acquire patent assets that are valuable to our existing and potential clients. Following the acquisition of patent assets, we expend significant time and resources to maintain the effectiveness of those assets by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paying maintenance fees and making filings with the United States Patent and Trademark Office. In some cases, the patent assets we acquire include patent applications which require us to invest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00"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services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22" w:lineRule="exact"/>
        <w:rPr>
          <w:sz w:val="20"/>
          <w:szCs w:val="20"/>
          <w:color w:val="auto"/>
        </w:rPr>
      </w:pPr>
    </w:p>
    <w:p>
      <w:pPr>
        <w:ind w:firstLine="446"/>
        <w:spacing w:after="0" w:line="269" w:lineRule="auto"/>
        <w:rPr>
          <w:sz w:val="20"/>
          <w:szCs w:val="20"/>
          <w:color w:val="auto"/>
        </w:rPr>
      </w:pPr>
      <w:r>
        <w:rPr>
          <w:rFonts w:ascii="Arial" w:cs="Arial" w:eastAsia="Arial" w:hAnsi="Arial"/>
          <w:sz w:val="17"/>
          <w:szCs w:val="17"/>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of 2002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of 2002. Our compliance with Section 404 requires that we incur substantial accounting expense and expend significant management time on compliance-related issues. While neither we nor our independent registered public accounting firm have identified deficiencies in our internal control over financial reporting that are deemed to be material weaknesses, there can be no assurance that material weaknesses will not subsequently be identified. If we are unable to effectively remediate control deficiencies which are identified or are otherwise unable to maintain adequate internal controls over our financial reporting in the future, we may not be able to prepare reliable financial statements and comply with our reporting obligations on a timely basis, which could materially adversely affect our business and subject us to legal and regulatory action.</w:t>
      </w:r>
    </w:p>
    <w:p>
      <w:pPr>
        <w:spacing w:after="0" w:line="1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Global economic conditions may adversely affect demand for our services or fees payable under our subscription agreements, which could adversely affect our financial condition and operating results.</w:t>
      </w:r>
    </w:p>
    <w:p>
      <w:pPr>
        <w:spacing w:after="0" w:line="8"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and may continue to experience weak economic conditions. In particular, the economics of countries in Europe have been experiencing weakness associated with high sovereign debt levels, weakness in the banking sector, and uncertainty over the future of the Euro zone, including instability surrounding Brexit.</w:t>
      </w:r>
    </w:p>
    <w:p>
      <w:pPr>
        <w:spacing w:after="0" w:line="271" w:lineRule="auto"/>
        <w:rPr>
          <w:sz w:val="20"/>
          <w:szCs w:val="20"/>
          <w:color w:val="auto"/>
        </w:rPr>
      </w:pPr>
      <w:r>
        <w:rPr>
          <w:rFonts w:ascii="Arial" w:cs="Arial" w:eastAsia="Arial" w:hAnsi="Arial"/>
          <w:sz w:val="17"/>
          <w:szCs w:val="17"/>
          <w:color w:val="auto"/>
        </w:rPr>
        <w:t>Uncertainty about global economic conditions poses a risk as businesses may postpone spending in response to tighter credit, negative financial news and declines in income or asset values. This response could have a material negative effect on the demand for our services.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8" w:lineRule="exact"/>
        <w:rPr>
          <w:sz w:val="20"/>
          <w:szCs w:val="20"/>
          <w:color w:val="auto"/>
        </w:rPr>
      </w:pPr>
    </w:p>
    <w:p>
      <w:pPr>
        <w:ind w:right="60" w:firstLine="270"/>
        <w:spacing w:after="0" w:line="270"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the Dodd-Frank Act, the listing requirements of the NASDAQ Stock Market and other applicable securities rules and regulations. Compliance with these rules and regulations has increased, and will likely continue to increase, our legal and financial compliance costs, make some activities more difficult, time-consuming or costly, and place significant strain on our personnel, systems and resources.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This could result in continuing uncertainty regarding compliance matters, higher administrative expenses and a diversion of management’s time and attention. Further, if our compliance efforts differ from the activities intended by regulatory or governing bodies due to ambiguities related to practice,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regulatory authorities may initiate legal proceedings against us and our business may be harmed. Being a public company that is subject to these rules and regulations also makes it more expensive for us to obtain and retain director and officer liability insurance, and we may in the future be required to accept reduced coverage or incur substantially higher costs to obtain or retain adequate coverage. These factors could also make it more difficult for us to attract and retain qualified members of our Board of Directors and qualified executive officers.</w:t>
      </w:r>
    </w:p>
    <w:p>
      <w:pPr>
        <w:spacing w:after="0" w:line="187"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the need to acquire patent assets, develop new services or enhance our existing service offering,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 which could have an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taken on significant debt, which will decrease our business flexibility and increase our interest expense.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February 26, 2016, we entered into the Credit Agreement (defined above) which provided for the Term Facility and the Revolving Credit Facility.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total balance outstanding on the Term Facility was $93.1 million, and the Revolving Credit Facility remains undrawn.</w:t>
      </w:r>
    </w:p>
    <w:p>
      <w:pPr>
        <w:spacing w:after="0" w:line="62" w:lineRule="exact"/>
        <w:rPr>
          <w:sz w:val="20"/>
          <w:szCs w:val="20"/>
          <w:color w:val="auto"/>
        </w:rPr>
      </w:pPr>
    </w:p>
    <w:p>
      <w:pPr>
        <w:ind w:right="40" w:firstLine="446"/>
        <w:spacing w:after="0" w:line="289" w:lineRule="auto"/>
        <w:rPr>
          <w:sz w:val="20"/>
          <w:szCs w:val="20"/>
          <w:color w:val="auto"/>
        </w:rPr>
      </w:pPr>
      <w:r>
        <w:rPr>
          <w:rFonts w:ascii="Arial" w:cs="Arial" w:eastAsia="Arial" w:hAnsi="Arial"/>
          <w:sz w:val="16"/>
          <w:szCs w:val="16"/>
          <w:color w:val="auto"/>
        </w:rPr>
        <w:t>This debt, together with certain covenants imposed on us in connection with incurring this debt, among other things, limits how we conduct our business, reduces our flexibility to respond to changing business and economic conditions and increases our interest expense.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 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 In addition, the covenants in our debt limit our ability to, among other things, obtain additional financing, make acquisitions or other investments, repurchase our stock or pay dividends, or dispose of patent assets. These limitations could adversely affect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could vary as a result of the methods, estimates and judgments we use in applying our accounting policies.</w:t>
      </w:r>
    </w:p>
    <w:p>
      <w:pPr>
        <w:spacing w:after="0" w:line="88"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continue offering an “A” rated insurance product.</w:t>
      </w:r>
    </w:p>
    <w:p>
      <w:pPr>
        <w:spacing w:after="0" w:line="7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In May 2014, we began offering an “A” rated insurance product. If we are unable to maintain our relationship with one or more “A” rated insurance companies, we may be unable to continue offering an “A” rated insurance product, which could have an adverse effect on new insurance business growth and retention of our existing insurance business.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22"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 and on our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22"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$8.55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Current Report on Form 10-Q and others such as:</w:t>
      </w:r>
    </w:p>
    <w:p>
      <w:pPr>
        <w:spacing w:after="0" w:line="25"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820" w:right="82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820" w:right="8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63" w:lineRule="exact"/>
        <w:rPr>
          <w:rFonts w:ascii="Arial" w:cs="Arial" w:eastAsia="Arial" w:hAnsi="Arial"/>
          <w:sz w:val="18"/>
          <w:szCs w:val="18"/>
          <w:color w:val="auto"/>
        </w:rPr>
      </w:pPr>
    </w:p>
    <w:p>
      <w:pPr>
        <w:ind w:left="820" w:right="200" w:hanging="326"/>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macroeconomic, market, and political factors and trends, including in light of Brexit, the outcome of the United States Presidential election, and other recent political developments;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change in our stock repurchase program;</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outstanding debt service obligations and repayment thereof; and</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22" w:lineRule="exact"/>
        <w:rPr>
          <w:sz w:val="20"/>
          <w:szCs w:val="20"/>
          <w:color w:val="auto"/>
        </w:rPr>
      </w:pPr>
    </w:p>
    <w:p>
      <w:pPr>
        <w:ind w:right="100" w:firstLine="446"/>
        <w:spacing w:after="0" w:line="342" w:lineRule="auto"/>
        <w:rPr>
          <w:sz w:val="20"/>
          <w:szCs w:val="20"/>
          <w:color w:val="auto"/>
        </w:rPr>
      </w:pPr>
      <w:r>
        <w:rPr>
          <w:rFonts w:ascii="Arial" w:cs="Arial" w:eastAsia="Arial" w:hAnsi="Arial"/>
          <w:sz w:val="16"/>
          <w:szCs w:val="16"/>
          <w:color w:val="auto"/>
        </w:rPr>
        <w:t>If our existing stockholders, particularly our directors and executive officers, sell substantial amounts of our common stock in the public market, or are perceived by the public market as intending to sell substantial amounts of our common stock, the trading price of our common stock could decline.</w:t>
      </w:r>
    </w:p>
    <w:p>
      <w:pPr>
        <w:spacing w:after="0" w:line="124" w:lineRule="exact"/>
        <w:rPr>
          <w:sz w:val="20"/>
          <w:szCs w:val="20"/>
          <w:color w:val="auto"/>
        </w:rPr>
      </w:pPr>
    </w:p>
    <w:p>
      <w:pPr>
        <w:ind w:right="46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33"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 which could adversely affect our operating results, financial condition and stock price.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22"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820" w:right="10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820" w:right="160" w:hanging="326"/>
        <w:spacing w:after="0" w:line="277" w:lineRule="auto"/>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stock repurchase program could affect the price of our common stock and increase volatility and may be suspended or terminated at any time, which may result in a decrease in the trading price of our common stock.</w:t>
      </w:r>
    </w:p>
    <w:p>
      <w:pPr>
        <w:spacing w:after="0" w:line="22"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In February 2015, our Board of Directors approved a share repurchase program of up to $75.0 million. In March 2016 and May 2016, our Board of Directors further increased the amount authorized to repurchase by $25.0 million and $50.0 million, respectively, to an aggregate authorized amount of $150.0 million. The timing and actual number of shares repurchased will depend on a variety of factors including price, corporate and regulatory requirements, an assessment by management and our Board of Directors of cash availability and other market conditions. The program may be suspended or discontinued at any time without prior notice. Repurchases pursuant to our stock repurchase program could affect the price of our common stock and increase its volatility. The existence of our stock repurchase program could also cause the price of our common stock to be higher than it would be in the absence of such a program and could potentially reduce the market liquidity for our common stock. There can be no assurance that any stock repurchases will enhance stockholder value because the market price of our common stock may decline below the levels at which we repurchased such shares. Any failure to repurchase shares after we have announced our intention to do so may negatively impact our reputation and investor confidence in us and may negatively impact our stock price. Although our stock repurchase program is intended to enhance long-term stockholder value, short-term stock price fluctuations could reduce the program's effectiveness.</w:t>
      </w:r>
    </w:p>
    <w:p>
      <w:pPr>
        <w:spacing w:after="0" w:line="1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22"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 repurchase activity during the three months ended June 30, 2017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Dollar Value that</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Average Price Paid</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Purchased Under</w:t>
            </w:r>
          </w:p>
        </w:tc>
      </w:tr>
      <w:tr>
        <w:trPr>
          <w:trHeight w:val="261"/>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 Ended</w:t>
            </w: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Shares Purchased</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7"/>
              </w:rPr>
              <w:t xml:space="preserve">the Programs </w:t>
            </w:r>
            <w:r>
              <w:rPr>
                <w:rFonts w:ascii="Arial" w:cs="Arial" w:eastAsia="Arial" w:hAnsi="Arial"/>
                <w:sz w:val="25"/>
                <w:szCs w:val="25"/>
                <w:b w:val="1"/>
                <w:bCs w:val="1"/>
                <w:color w:val="auto"/>
                <w:w w:val="87"/>
                <w:vertAlign w:val="superscript"/>
              </w:rPr>
              <w:t>(1)</w:t>
            </w: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April 30, 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12,914</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12,914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59,075,904</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May 31, 2017</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59,011,390</w:t>
            </w: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June 30, 2017</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58,940,528</w:t>
            </w: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bl>
    <w:p>
      <w:pPr>
        <w:spacing w:after="0" w:line="13" w:lineRule="exact"/>
        <w:rPr>
          <w:sz w:val="20"/>
          <w:szCs w:val="20"/>
          <w:color w:val="auto"/>
        </w:rPr>
      </w:pPr>
    </w:p>
    <w:p>
      <w:pPr>
        <w:ind w:right="100" w:firstLine="8"/>
        <w:spacing w:after="0" w:line="273" w:lineRule="auto"/>
        <w:tabs>
          <w:tab w:leader="none" w:pos="192"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On February 10, 2015, we announced that our Board of Directors had authorized a share repurchase program under which we are authorized to repurchase up to $75.0 million of our outstanding common stock with no expiration date from the date of authorization. In March 2016 and May 2016, we increased our share repurchase program by $25.0 million and $50.0 million, respectively, for a total amount authorized of $150.0 million. As of June 30, 2017, we had repurchased $91.1 million of our outstanding common stock. Under the program, shares may be repurchased in privately negotiated and/or open market transactions, including under plans complying with Rule 10b5-1 under the Exchange Act. Our share repurchase program does not obligate us to acquire any specific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5167630</wp:posOffset>
            </wp:positionH>
            <wp:positionV relativeFrom="paragraph">
              <wp:posOffset>-845820</wp:posOffset>
            </wp:positionV>
            <wp:extent cx="1003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-845820</wp:posOffset>
            </wp:positionV>
            <wp:extent cx="1020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60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45" w:lineRule="exact"/>
        <w:rPr>
          <w:sz w:val="20"/>
          <w:szCs w:val="20"/>
          <w:color w:val="auto"/>
        </w:rPr>
      </w:pPr>
    </w:p>
    <w:p>
      <w:pPr>
        <w:ind w:left="40"/>
        <w:spacing w:after="0"/>
        <w:rPr>
          <w:rFonts w:ascii="Arial" w:cs="Arial" w:eastAsia="Arial" w:hAnsi="Arial"/>
          <w:sz w:val="14"/>
          <w:szCs w:val="14"/>
          <w:u w:val="single" w:color="auto"/>
          <w:color w:val="0000EE"/>
        </w:rPr>
      </w:pPr>
      <w:hyperlink r:id="rId14">
        <w:r>
          <w:rPr>
            <w:rFonts w:ascii="Arial" w:cs="Arial" w:eastAsia="Arial" w:hAnsi="Arial"/>
            <w:sz w:val="14"/>
            <w:szCs w:val="14"/>
            <w:u w:val="single" w:color="auto"/>
            <w:color w:val="0000EE"/>
          </w:rPr>
          <w:t>3.1</w:t>
        </w:r>
      </w:hyperlink>
    </w:p>
    <w:p>
      <w:pPr>
        <w:spacing w:after="0" w:line="231" w:lineRule="exact"/>
        <w:rPr>
          <w:sz w:val="20"/>
          <w:szCs w:val="20"/>
          <w:color w:val="auto"/>
        </w:rPr>
      </w:pPr>
    </w:p>
    <w:p>
      <w:pPr>
        <w:ind w:left="40"/>
        <w:spacing w:after="0"/>
        <w:rPr>
          <w:rFonts w:ascii="Arial" w:cs="Arial" w:eastAsia="Arial" w:hAnsi="Arial"/>
          <w:sz w:val="14"/>
          <w:szCs w:val="14"/>
          <w:u w:val="single" w:color="auto"/>
          <w:color w:val="0000EE"/>
        </w:rPr>
      </w:pPr>
      <w:hyperlink r:id="rId15">
        <w:r>
          <w:rPr>
            <w:rFonts w:ascii="Arial" w:cs="Arial" w:eastAsia="Arial" w:hAnsi="Arial"/>
            <w:sz w:val="14"/>
            <w:szCs w:val="14"/>
            <w:u w:val="single" w:color="auto"/>
            <w:color w:val="0000EE"/>
          </w:rPr>
          <w:t>3.2</w:t>
        </w:r>
      </w:hyperlink>
    </w:p>
    <w:p>
      <w:pPr>
        <w:spacing w:after="0" w:line="231" w:lineRule="exact"/>
        <w:rPr>
          <w:sz w:val="20"/>
          <w:szCs w:val="20"/>
          <w:color w:val="auto"/>
        </w:rPr>
      </w:pPr>
    </w:p>
    <w:p>
      <w:pPr>
        <w:ind w:left="40"/>
        <w:spacing w:after="0"/>
        <w:rPr>
          <w:rFonts w:ascii="Arial" w:cs="Arial" w:eastAsia="Arial" w:hAnsi="Arial"/>
          <w:sz w:val="14"/>
          <w:szCs w:val="14"/>
          <w:u w:val="single" w:color="auto"/>
          <w:color w:val="0000EE"/>
        </w:rPr>
      </w:pPr>
      <w:hyperlink w:anchor="page57">
        <w:r>
          <w:rPr>
            <w:rFonts w:ascii="Arial" w:cs="Arial" w:eastAsia="Arial" w:hAnsi="Arial"/>
            <w:sz w:val="14"/>
            <w:szCs w:val="14"/>
            <w:u w:val="single" w:color="auto"/>
            <w:color w:val="0000EE"/>
          </w:rPr>
          <w:t>31.1</w:t>
        </w:r>
      </w:hyperlink>
    </w:p>
    <w:p>
      <w:pPr>
        <w:spacing w:after="0" w:line="200" w:lineRule="exact"/>
        <w:rPr>
          <w:sz w:val="20"/>
          <w:szCs w:val="20"/>
          <w:color w:val="auto"/>
        </w:rPr>
      </w:pPr>
    </w:p>
    <w:p>
      <w:pPr>
        <w:spacing w:after="0" w:line="328" w:lineRule="exact"/>
        <w:rPr>
          <w:sz w:val="20"/>
          <w:szCs w:val="20"/>
          <w:color w:val="auto"/>
        </w:rPr>
      </w:pPr>
    </w:p>
    <w:p>
      <w:pPr>
        <w:ind w:left="40"/>
        <w:spacing w:after="0"/>
        <w:rPr>
          <w:rFonts w:ascii="Arial" w:cs="Arial" w:eastAsia="Arial" w:hAnsi="Arial"/>
          <w:sz w:val="14"/>
          <w:szCs w:val="14"/>
          <w:color w:val="0000EE"/>
        </w:rPr>
      </w:pPr>
      <w:hyperlink w:anchor="page51">
        <w:r>
          <w:rPr>
            <w:rFonts w:ascii="Arial" w:cs="Arial" w:eastAsia="Arial" w:hAnsi="Arial"/>
            <w:sz w:val="14"/>
            <w:szCs w:val="14"/>
            <w:u w:val="single" w:color="auto"/>
            <w:color w:val="0000EE"/>
          </w:rPr>
          <w:t>10.1</w:t>
        </w:r>
      </w:hyperlink>
      <w:r>
        <w:rPr>
          <w:rFonts w:ascii="Arial" w:cs="Arial" w:eastAsia="Arial" w:hAnsi="Arial"/>
          <w:sz w:val="14"/>
          <w:szCs w:val="14"/>
          <w:color w:val="000000"/>
        </w:rPr>
        <w:t>*</w:t>
      </w:r>
    </w:p>
    <w:p>
      <w:pPr>
        <w:spacing w:after="0" w:line="312" w:lineRule="exact"/>
        <w:rPr>
          <w:sz w:val="20"/>
          <w:szCs w:val="20"/>
          <w:color w:val="auto"/>
        </w:rPr>
      </w:pPr>
    </w:p>
    <w:p>
      <w:pPr>
        <w:ind w:left="40"/>
        <w:spacing w:after="0"/>
        <w:rPr>
          <w:rFonts w:ascii="Arial" w:cs="Arial" w:eastAsia="Arial" w:hAnsi="Arial"/>
          <w:sz w:val="14"/>
          <w:szCs w:val="14"/>
          <w:color w:val="0000EE"/>
        </w:rPr>
      </w:pPr>
      <w:hyperlink w:anchor="page53">
        <w:r>
          <w:rPr>
            <w:rFonts w:ascii="Arial" w:cs="Arial" w:eastAsia="Arial" w:hAnsi="Arial"/>
            <w:sz w:val="14"/>
            <w:szCs w:val="14"/>
            <w:u w:val="single" w:color="auto"/>
            <w:color w:val="0000EE"/>
          </w:rPr>
          <w:t>10.2</w:t>
        </w:r>
      </w:hyperlink>
      <w:r>
        <w:rPr>
          <w:rFonts w:ascii="Arial" w:cs="Arial" w:eastAsia="Arial" w:hAnsi="Arial"/>
          <w:sz w:val="14"/>
          <w:szCs w:val="14"/>
          <w:color w:val="000000"/>
        </w:rPr>
        <w:t>*</w:t>
      </w:r>
    </w:p>
    <w:p>
      <w:pPr>
        <w:spacing w:after="0" w:line="244" w:lineRule="exact"/>
        <w:rPr>
          <w:sz w:val="20"/>
          <w:szCs w:val="20"/>
          <w:color w:val="auto"/>
        </w:rPr>
      </w:pPr>
    </w:p>
    <w:p>
      <w:pPr>
        <w:ind w:left="40"/>
        <w:spacing w:after="0"/>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31.2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2100"/>
        <w:spacing w:after="0"/>
        <w:rPr>
          <w:sz w:val="20"/>
          <w:szCs w:val="20"/>
          <w:color w:val="auto"/>
        </w:rPr>
      </w:pPr>
      <w:r>
        <w:rPr>
          <w:rFonts w:ascii="Arial" w:cs="Arial" w:eastAsia="Arial" w:hAnsi="Arial"/>
          <w:sz w:val="14"/>
          <w:szCs w:val="14"/>
          <w:b w:val="1"/>
          <w:bCs w:val="1"/>
          <w:color w:val="auto"/>
        </w:rPr>
        <w:t>Exhibit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319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Certificate of Incorporation of RPX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Amended and Restated Bylaws of RPX Corporation</w:t>
      </w:r>
    </w:p>
    <w:p>
      <w:pPr>
        <w:spacing w:after="0" w:line="231"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auto"/>
        </w:rPr>
        <w:t>Certification of Chief Executive Officer Pursuant to Rule 13-14(a) or 15(d)-14(a) of the Securities Exchange Act of 1934 as Adopted Pursuant to Section 302 of the Sarbanes-Oxley Act of 2002</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RPX Corporation Compensation Program for Non-Employee Directors, as Amended May 23, 2017</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Employment Offer Letter by and between the Registrant and David Anderson, dated as of October 12, 2010</w:t>
      </w:r>
    </w:p>
    <w:p>
      <w:pPr>
        <w:spacing w:after="0" w:line="133"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Certification of Chief Financial Officer Pursuant to Rule 13-14(a) or 15(d)-14(a) of the Securities Exchange Act of 1934 as Adopted Pursuant to Section 302 of the Sarbanes-Oxley Act of 2002</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3"/>
                <w:szCs w:val="13"/>
                <w:color w:val="auto"/>
              </w:rPr>
            </w:pP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452" w:lineRule="exact"/>
        <w:rPr>
          <w:sz w:val="20"/>
          <w:szCs w:val="20"/>
          <w:color w:val="auto"/>
        </w:rPr>
      </w:pPr>
    </w:p>
    <w:p>
      <w:pPr>
        <w:sectPr>
          <w:pgSz w:w="11900" w:h="16838" w:orient="portrait"/>
          <w:cols w:equalWidth="0" w:num="3">
            <w:col w:w="780" w:space="420"/>
            <w:col w:w="4880" w:space="240"/>
            <w:col w:w="5100"/>
          </w:cols>
          <w:pgMar w:left="240" w:top="125" w:right="23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840" w:type="dxa"/>
            <w:vAlign w:val="bottom"/>
            <w:gridSpan w:val="2"/>
          </w:tcPr>
          <w:p>
            <w:pPr>
              <w:spacing w:after="0"/>
              <w:rPr>
                <w:rFonts w:ascii="Arial" w:cs="Arial" w:eastAsia="Arial" w:hAnsi="Arial"/>
                <w:sz w:val="14"/>
                <w:szCs w:val="14"/>
                <w:color w:val="0000EE"/>
              </w:rPr>
            </w:pPr>
            <w:hyperlink w:anchor="page59">
              <w:r>
                <w:rPr>
                  <w:rFonts w:ascii="Arial" w:cs="Arial" w:eastAsia="Arial" w:hAnsi="Arial"/>
                  <w:sz w:val="14"/>
                  <w:szCs w:val="14"/>
                  <w:color w:val="0000EE"/>
                </w:rPr>
                <w:t>32.</w:t>
              </w:r>
              <w:r>
                <w:rPr>
                  <w:rFonts w:ascii="Arial" w:cs="Arial" w:eastAsia="Arial" w:hAnsi="Arial"/>
                  <w:sz w:val="14"/>
                  <w:szCs w:val="14"/>
                  <w:u w:val="single" w:color="auto"/>
                  <w:color w:val="0000EE"/>
                </w:rPr>
                <w:t>1</w:t>
              </w:r>
            </w:hyperlink>
          </w:p>
        </w:tc>
        <w:tc>
          <w:tcPr>
            <w:tcW w:w="4900" w:type="dxa"/>
            <w:vAlign w:val="bottom"/>
          </w:tcPr>
          <w:p>
            <w:pPr>
              <w:ind w:left="320"/>
              <w:spacing w:after="0"/>
              <w:rPr>
                <w:sz w:val="20"/>
                <w:szCs w:val="20"/>
                <w:color w:val="auto"/>
              </w:rPr>
            </w:pPr>
            <w:r>
              <w:rPr>
                <w:rFonts w:ascii="Arial" w:cs="Arial" w:eastAsia="Arial" w:hAnsi="Arial"/>
                <w:sz w:val="14"/>
                <w:szCs w:val="14"/>
                <w:color w:val="auto"/>
                <w:w w:val="94"/>
              </w:rPr>
              <w:t>Certification of Chief Executive Officer Pursuant to 18 U.S.C. Section 1350, as</w:t>
            </w:r>
          </w:p>
        </w:tc>
      </w:tr>
      <w:tr>
        <w:trPr>
          <w:trHeight w:val="162"/>
        </w:trPr>
        <w:tc>
          <w:tcPr>
            <w:tcW w:w="240" w:type="dxa"/>
            <w:vAlign w:val="bottom"/>
            <w:tcBorders>
              <w:top w:val="single" w:sz="8" w:color="0000EE"/>
            </w:tcBorders>
          </w:tcPr>
          <w:p>
            <w:pPr>
              <w:spacing w:after="0"/>
              <w:rPr>
                <w:sz w:val="14"/>
                <w:szCs w:val="14"/>
                <w:color w:val="auto"/>
              </w:rPr>
            </w:pPr>
          </w:p>
        </w:tc>
        <w:tc>
          <w:tcPr>
            <w:tcW w:w="600" w:type="dxa"/>
            <w:vAlign w:val="bottom"/>
          </w:tcPr>
          <w:p>
            <w:pPr>
              <w:spacing w:after="0"/>
              <w:rPr>
                <w:sz w:val="14"/>
                <w:szCs w:val="14"/>
                <w:color w:val="auto"/>
              </w:rPr>
            </w:pPr>
          </w:p>
        </w:tc>
        <w:tc>
          <w:tcPr>
            <w:tcW w:w="4900" w:type="dxa"/>
            <w:vAlign w:val="bottom"/>
          </w:tcPr>
          <w:p>
            <w:pPr>
              <w:ind w:left="320"/>
              <w:spacing w:after="0"/>
              <w:rPr>
                <w:sz w:val="20"/>
                <w:szCs w:val="20"/>
                <w:color w:val="auto"/>
              </w:rPr>
            </w:pPr>
            <w:r>
              <w:rPr>
                <w:rFonts w:ascii="Arial" w:cs="Arial" w:eastAsia="Arial" w:hAnsi="Arial"/>
                <w:sz w:val="14"/>
                <w:szCs w:val="14"/>
                <w:color w:val="auto"/>
              </w:rPr>
              <w:t>Adopted Pursuant to Section 906 of the Sarbanes-Oxley Act of 2002</w:t>
            </w:r>
          </w:p>
        </w:tc>
      </w:tr>
      <w:tr>
        <w:trPr>
          <w:trHeight w:val="290"/>
        </w:trPr>
        <w:tc>
          <w:tcPr>
            <w:tcW w:w="840" w:type="dxa"/>
            <w:vAlign w:val="bottom"/>
            <w:gridSpan w:val="2"/>
          </w:tcPr>
          <w:p>
            <w:pPr>
              <w:spacing w:after="0"/>
              <w:rPr>
                <w:rFonts w:ascii="Arial" w:cs="Arial" w:eastAsia="Arial" w:hAnsi="Arial"/>
                <w:sz w:val="14"/>
                <w:szCs w:val="14"/>
                <w:color w:val="0000EE"/>
              </w:rPr>
            </w:pPr>
            <w:hyperlink w:anchor="page60">
              <w:r>
                <w:rPr>
                  <w:rFonts w:ascii="Arial" w:cs="Arial" w:eastAsia="Arial" w:hAnsi="Arial"/>
                  <w:sz w:val="14"/>
                  <w:szCs w:val="14"/>
                  <w:color w:val="0000EE"/>
                </w:rPr>
                <w:t>32.</w:t>
              </w:r>
              <w:r>
                <w:rPr>
                  <w:rFonts w:ascii="Arial" w:cs="Arial" w:eastAsia="Arial" w:hAnsi="Arial"/>
                  <w:sz w:val="14"/>
                  <w:szCs w:val="14"/>
                  <w:u w:val="single" w:color="auto"/>
                  <w:color w:val="0000EE"/>
                </w:rPr>
                <w:t>2</w:t>
              </w:r>
            </w:hyperlink>
          </w:p>
        </w:tc>
        <w:tc>
          <w:tcPr>
            <w:tcW w:w="4900" w:type="dxa"/>
            <w:vAlign w:val="bottom"/>
          </w:tcPr>
          <w:p>
            <w:pPr>
              <w:ind w:left="320"/>
              <w:spacing w:after="0"/>
              <w:rPr>
                <w:sz w:val="20"/>
                <w:szCs w:val="20"/>
                <w:color w:val="auto"/>
              </w:rPr>
            </w:pPr>
            <w:r>
              <w:rPr>
                <w:rFonts w:ascii="Arial" w:cs="Arial" w:eastAsia="Arial" w:hAnsi="Arial"/>
                <w:sz w:val="14"/>
                <w:szCs w:val="14"/>
                <w:color w:val="auto"/>
                <w:w w:val="95"/>
              </w:rPr>
              <w:t>Certification of Chief Financial Officer Pursuant to 18 U.S.C. Section 1350, as</w:t>
            </w:r>
          </w:p>
        </w:tc>
      </w:tr>
      <w:tr>
        <w:trPr>
          <w:trHeight w:val="162"/>
        </w:trPr>
        <w:tc>
          <w:tcPr>
            <w:tcW w:w="240" w:type="dxa"/>
            <w:vAlign w:val="bottom"/>
            <w:tcBorders>
              <w:top w:val="single" w:sz="8" w:color="0000EE"/>
            </w:tcBorders>
          </w:tcPr>
          <w:p>
            <w:pPr>
              <w:spacing w:after="0"/>
              <w:rPr>
                <w:sz w:val="14"/>
                <w:szCs w:val="14"/>
                <w:color w:val="auto"/>
              </w:rPr>
            </w:pPr>
          </w:p>
        </w:tc>
        <w:tc>
          <w:tcPr>
            <w:tcW w:w="600" w:type="dxa"/>
            <w:vAlign w:val="bottom"/>
          </w:tcPr>
          <w:p>
            <w:pPr>
              <w:spacing w:after="0"/>
              <w:rPr>
                <w:sz w:val="14"/>
                <w:szCs w:val="14"/>
                <w:color w:val="auto"/>
              </w:rPr>
            </w:pPr>
          </w:p>
        </w:tc>
        <w:tc>
          <w:tcPr>
            <w:tcW w:w="4900" w:type="dxa"/>
            <w:vAlign w:val="bottom"/>
          </w:tcPr>
          <w:p>
            <w:pPr>
              <w:ind w:left="320"/>
              <w:spacing w:after="0"/>
              <w:rPr>
                <w:sz w:val="20"/>
                <w:szCs w:val="20"/>
                <w:color w:val="auto"/>
              </w:rPr>
            </w:pPr>
            <w:r>
              <w:rPr>
                <w:rFonts w:ascii="Arial" w:cs="Arial" w:eastAsia="Arial" w:hAnsi="Arial"/>
                <w:sz w:val="14"/>
                <w:szCs w:val="14"/>
                <w:color w:val="auto"/>
              </w:rPr>
              <w:t>Adopted Pursuant to Section 906 of the Sarbanes-Oxley Act of 2002</w:t>
            </w:r>
          </w:p>
        </w:tc>
      </w:tr>
      <w:tr>
        <w:trPr>
          <w:trHeight w:val="319"/>
        </w:trPr>
        <w:tc>
          <w:tcPr>
            <w:tcW w:w="840" w:type="dxa"/>
            <w:vAlign w:val="bottom"/>
            <w:gridSpan w:val="2"/>
          </w:tcPr>
          <w:p>
            <w:pPr>
              <w:spacing w:after="0"/>
              <w:rPr>
                <w:sz w:val="20"/>
                <w:szCs w:val="20"/>
                <w:color w:val="auto"/>
              </w:rPr>
            </w:pPr>
            <w:r>
              <w:rPr>
                <w:rFonts w:ascii="Arial" w:cs="Arial" w:eastAsia="Arial" w:hAnsi="Arial"/>
                <w:sz w:val="14"/>
                <w:szCs w:val="14"/>
                <w:color w:val="auto"/>
              </w:rPr>
              <w:t>101.INS</w:t>
            </w:r>
          </w:p>
        </w:tc>
        <w:tc>
          <w:tcPr>
            <w:tcW w:w="4900" w:type="dxa"/>
            <w:vAlign w:val="bottom"/>
          </w:tcPr>
          <w:p>
            <w:pPr>
              <w:ind w:left="320"/>
              <w:spacing w:after="0"/>
              <w:rPr>
                <w:sz w:val="20"/>
                <w:szCs w:val="20"/>
                <w:color w:val="auto"/>
              </w:rPr>
            </w:pPr>
            <w:r>
              <w:rPr>
                <w:rFonts w:ascii="Arial" w:cs="Arial" w:eastAsia="Arial" w:hAnsi="Arial"/>
                <w:sz w:val="14"/>
                <w:szCs w:val="14"/>
                <w:color w:val="auto"/>
              </w:rPr>
              <w:t>XBRL Instance Document</w:t>
            </w:r>
          </w:p>
        </w:tc>
      </w:tr>
      <w:tr>
        <w:trPr>
          <w:trHeight w:val="392"/>
        </w:trPr>
        <w:tc>
          <w:tcPr>
            <w:tcW w:w="840" w:type="dxa"/>
            <w:vAlign w:val="bottom"/>
            <w:gridSpan w:val="2"/>
          </w:tcPr>
          <w:p>
            <w:pPr>
              <w:spacing w:after="0"/>
              <w:rPr>
                <w:sz w:val="20"/>
                <w:szCs w:val="20"/>
                <w:color w:val="auto"/>
              </w:rPr>
            </w:pPr>
            <w:r>
              <w:rPr>
                <w:rFonts w:ascii="Arial" w:cs="Arial" w:eastAsia="Arial" w:hAnsi="Arial"/>
                <w:sz w:val="14"/>
                <w:szCs w:val="14"/>
                <w:color w:val="auto"/>
              </w:rPr>
              <w:t>101.SCH</w:t>
            </w:r>
          </w:p>
        </w:tc>
        <w:tc>
          <w:tcPr>
            <w:tcW w:w="4900" w:type="dxa"/>
            <w:vAlign w:val="bottom"/>
          </w:tcPr>
          <w:p>
            <w:pPr>
              <w:ind w:left="32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840" w:type="dxa"/>
            <w:vAlign w:val="bottom"/>
            <w:gridSpan w:val="2"/>
          </w:tcPr>
          <w:p>
            <w:pPr>
              <w:spacing w:after="0"/>
              <w:rPr>
                <w:sz w:val="20"/>
                <w:szCs w:val="20"/>
                <w:color w:val="auto"/>
              </w:rPr>
            </w:pPr>
            <w:r>
              <w:rPr>
                <w:rFonts w:ascii="Arial" w:cs="Arial" w:eastAsia="Arial" w:hAnsi="Arial"/>
                <w:sz w:val="14"/>
                <w:szCs w:val="14"/>
                <w:color w:val="auto"/>
              </w:rPr>
              <w:t>101.CAL</w:t>
            </w:r>
          </w:p>
        </w:tc>
        <w:tc>
          <w:tcPr>
            <w:tcW w:w="4900" w:type="dxa"/>
            <w:vAlign w:val="bottom"/>
          </w:tcPr>
          <w:p>
            <w:pPr>
              <w:ind w:left="3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840" w:type="dxa"/>
            <w:vAlign w:val="bottom"/>
            <w:gridSpan w:val="2"/>
          </w:tcPr>
          <w:p>
            <w:pPr>
              <w:spacing w:after="0"/>
              <w:rPr>
                <w:sz w:val="20"/>
                <w:szCs w:val="20"/>
                <w:color w:val="auto"/>
              </w:rPr>
            </w:pPr>
            <w:r>
              <w:rPr>
                <w:rFonts w:ascii="Arial" w:cs="Arial" w:eastAsia="Arial" w:hAnsi="Arial"/>
                <w:sz w:val="14"/>
                <w:szCs w:val="14"/>
                <w:color w:val="auto"/>
              </w:rPr>
              <w:t>101.DEF</w:t>
            </w:r>
          </w:p>
        </w:tc>
        <w:tc>
          <w:tcPr>
            <w:tcW w:w="4900" w:type="dxa"/>
            <w:vAlign w:val="bottom"/>
          </w:tcPr>
          <w:p>
            <w:pPr>
              <w:ind w:left="32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840" w:type="dxa"/>
            <w:vAlign w:val="bottom"/>
            <w:gridSpan w:val="2"/>
          </w:tcPr>
          <w:p>
            <w:pPr>
              <w:spacing w:after="0"/>
              <w:rPr>
                <w:sz w:val="20"/>
                <w:szCs w:val="20"/>
                <w:color w:val="auto"/>
              </w:rPr>
            </w:pPr>
            <w:r>
              <w:rPr>
                <w:rFonts w:ascii="Arial" w:cs="Arial" w:eastAsia="Arial" w:hAnsi="Arial"/>
                <w:sz w:val="14"/>
                <w:szCs w:val="14"/>
                <w:color w:val="auto"/>
              </w:rPr>
              <w:t>101.LAB</w:t>
            </w:r>
          </w:p>
        </w:tc>
        <w:tc>
          <w:tcPr>
            <w:tcW w:w="4900" w:type="dxa"/>
            <w:vAlign w:val="bottom"/>
          </w:tcPr>
          <w:p>
            <w:pPr>
              <w:ind w:left="32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840" w:type="dxa"/>
            <w:vAlign w:val="bottom"/>
            <w:gridSpan w:val="2"/>
          </w:tcPr>
          <w:p>
            <w:pPr>
              <w:spacing w:after="0"/>
              <w:rPr>
                <w:sz w:val="20"/>
                <w:szCs w:val="20"/>
                <w:color w:val="auto"/>
              </w:rPr>
            </w:pPr>
            <w:r>
              <w:rPr>
                <w:rFonts w:ascii="Arial" w:cs="Arial" w:eastAsia="Arial" w:hAnsi="Arial"/>
                <w:sz w:val="14"/>
                <w:szCs w:val="14"/>
                <w:color w:val="auto"/>
              </w:rPr>
              <w:t>101.PRE</w:t>
            </w:r>
          </w:p>
        </w:tc>
        <w:tc>
          <w:tcPr>
            <w:tcW w:w="4900" w:type="dxa"/>
            <w:vAlign w:val="bottom"/>
          </w:tcPr>
          <w:p>
            <w:pPr>
              <w:ind w:left="32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 Indicates a management contract or compensatory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611" w:lineRule="exact"/>
        <w:rPr>
          <w:sz w:val="20"/>
          <w:szCs w:val="20"/>
          <w:color w:val="auto"/>
        </w:rPr>
      </w:pPr>
    </w:p>
    <w:p>
      <w:pPr>
        <w:sectPr>
          <w:pgSz w:w="11900" w:h="16838" w:orient="portrait"/>
          <w:cols w:equalWidth="0" w:num="2">
            <w:col w:w="10020" w:space="720"/>
            <w:col w:w="68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39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6680" w:type="dxa"/>
            <w:vAlign w:val="bottom"/>
            <w:gridSpan w:val="2"/>
          </w:tcPr>
          <w:p>
            <w:pPr>
              <w:ind w:left="3300"/>
              <w:spacing w:after="0"/>
              <w:rPr>
                <w:sz w:val="20"/>
                <w:szCs w:val="20"/>
                <w:color w:val="auto"/>
              </w:rPr>
            </w:pPr>
            <w:r>
              <w:rPr>
                <w:rFonts w:ascii="Arial" w:cs="Arial" w:eastAsia="Arial" w:hAnsi="Arial"/>
                <w:sz w:val="18"/>
                <w:szCs w:val="18"/>
                <w:color w:val="auto"/>
              </w:rPr>
              <w:t>RPX CORPORATION</w:t>
            </w:r>
          </w:p>
        </w:tc>
      </w:tr>
      <w:tr>
        <w:trPr>
          <w:trHeight w:val="270"/>
        </w:trPr>
        <w:tc>
          <w:tcPr>
            <w:tcW w:w="3600" w:type="dxa"/>
            <w:vAlign w:val="bottom"/>
          </w:tcPr>
          <w:p>
            <w:pPr>
              <w:spacing w:after="0"/>
              <w:rPr>
                <w:sz w:val="23"/>
                <w:szCs w:val="23"/>
                <w:color w:val="auto"/>
              </w:rPr>
            </w:pPr>
          </w:p>
        </w:tc>
        <w:tc>
          <w:tcPr>
            <w:tcW w:w="6680" w:type="dxa"/>
            <w:vAlign w:val="bottom"/>
            <w:gridSpan w:val="2"/>
          </w:tcPr>
          <w:p>
            <w:pPr>
              <w:ind w:left="3300"/>
              <w:spacing w:after="0"/>
              <w:rPr>
                <w:sz w:val="20"/>
                <w:szCs w:val="20"/>
                <w:color w:val="auto"/>
              </w:rPr>
            </w:pPr>
            <w:r>
              <w:rPr>
                <w:rFonts w:ascii="Arial" w:cs="Arial" w:eastAsia="Arial" w:hAnsi="Arial"/>
                <w:sz w:val="18"/>
                <w:szCs w:val="18"/>
                <w:color w:val="auto"/>
              </w:rPr>
              <w:t>(Registrant)</w:t>
            </w:r>
          </w:p>
        </w:tc>
      </w:tr>
      <w:tr>
        <w:trPr>
          <w:trHeight w:val="594"/>
        </w:trPr>
        <w:tc>
          <w:tcPr>
            <w:tcW w:w="3600" w:type="dxa"/>
            <w:vAlign w:val="bottom"/>
          </w:tcPr>
          <w:p>
            <w:pPr>
              <w:spacing w:after="0"/>
              <w:rPr>
                <w:sz w:val="20"/>
                <w:szCs w:val="20"/>
                <w:color w:val="auto"/>
              </w:rPr>
            </w:pPr>
            <w:r>
              <w:rPr>
                <w:rFonts w:ascii="Arial" w:cs="Arial" w:eastAsia="Arial" w:hAnsi="Arial"/>
                <w:sz w:val="18"/>
                <w:szCs w:val="18"/>
                <w:color w:val="auto"/>
              </w:rPr>
              <w:t>Date:  August 3, 2017</w:t>
            </w:r>
          </w:p>
        </w:tc>
        <w:tc>
          <w:tcPr>
            <w:tcW w:w="3800" w:type="dxa"/>
            <w:vAlign w:val="bottom"/>
          </w:tcPr>
          <w:p>
            <w:pPr>
              <w:ind w:left="3300"/>
              <w:spacing w:after="0"/>
              <w:rPr>
                <w:sz w:val="20"/>
                <w:szCs w:val="20"/>
                <w:color w:val="auto"/>
              </w:rPr>
            </w:pPr>
            <w:r>
              <w:rPr>
                <w:rFonts w:ascii="Arial" w:cs="Arial" w:eastAsia="Arial" w:hAnsi="Arial"/>
                <w:sz w:val="18"/>
                <w:szCs w:val="18"/>
                <w:color w:val="auto"/>
              </w:rPr>
              <w:t>By:</w:t>
            </w:r>
          </w:p>
        </w:tc>
        <w:tc>
          <w:tcPr>
            <w:tcW w:w="2880" w:type="dxa"/>
            <w:vAlign w:val="bottom"/>
          </w:tcPr>
          <w:p>
            <w:pPr>
              <w:ind w:left="260"/>
              <w:spacing w:after="0"/>
              <w:rPr>
                <w:sz w:val="20"/>
                <w:szCs w:val="20"/>
                <w:color w:val="auto"/>
              </w:rPr>
            </w:pPr>
            <w:r>
              <w:rPr>
                <w:rFonts w:ascii="Arial" w:cs="Arial" w:eastAsia="Arial" w:hAnsi="Arial"/>
                <w:sz w:val="18"/>
                <w:szCs w:val="18"/>
                <w:color w:val="auto"/>
              </w:rPr>
              <w:t>/s/ MARTIN E. ROBERTS</w:t>
            </w:r>
          </w:p>
        </w:tc>
      </w:tr>
      <w:tr>
        <w:trPr>
          <w:trHeight w:val="27"/>
        </w:trPr>
        <w:tc>
          <w:tcPr>
            <w:tcW w:w="3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Martin E. Roberts</w:t>
            </w:r>
          </w:p>
        </w:tc>
      </w:tr>
      <w:tr>
        <w:trPr>
          <w:trHeight w:val="270"/>
        </w:trPr>
        <w:tc>
          <w:tcPr>
            <w:tcW w:w="36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Chief Executive Officer</w:t>
            </w:r>
          </w:p>
        </w:tc>
      </w:tr>
      <w:tr>
        <w:trPr>
          <w:trHeight w:val="270"/>
        </w:trPr>
        <w:tc>
          <w:tcPr>
            <w:tcW w:w="36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(Principal Executive Officer)</w:t>
            </w:r>
          </w:p>
        </w:tc>
      </w:tr>
      <w:tr>
        <w:trPr>
          <w:trHeight w:val="918"/>
        </w:trPr>
        <w:tc>
          <w:tcPr>
            <w:tcW w:w="3600" w:type="dxa"/>
            <w:vAlign w:val="bottom"/>
          </w:tcPr>
          <w:p>
            <w:pPr>
              <w:spacing w:after="0"/>
              <w:rPr>
                <w:sz w:val="20"/>
                <w:szCs w:val="20"/>
                <w:color w:val="auto"/>
              </w:rPr>
            </w:pPr>
            <w:r>
              <w:rPr>
                <w:rFonts w:ascii="Arial" w:cs="Arial" w:eastAsia="Arial" w:hAnsi="Arial"/>
                <w:sz w:val="18"/>
                <w:szCs w:val="18"/>
                <w:color w:val="auto"/>
              </w:rPr>
              <w:t>Date:  August 3, 2017</w:t>
            </w:r>
          </w:p>
        </w:tc>
        <w:tc>
          <w:tcPr>
            <w:tcW w:w="3800" w:type="dxa"/>
            <w:vAlign w:val="bottom"/>
          </w:tcPr>
          <w:p>
            <w:pPr>
              <w:ind w:left="3300"/>
              <w:spacing w:after="0"/>
              <w:rPr>
                <w:sz w:val="20"/>
                <w:szCs w:val="20"/>
                <w:color w:val="auto"/>
              </w:rPr>
            </w:pPr>
            <w:r>
              <w:rPr>
                <w:rFonts w:ascii="Arial" w:cs="Arial" w:eastAsia="Arial" w:hAnsi="Arial"/>
                <w:sz w:val="18"/>
                <w:szCs w:val="18"/>
                <w:color w:val="auto"/>
              </w:rPr>
              <w:t>By:</w:t>
            </w:r>
          </w:p>
        </w:tc>
        <w:tc>
          <w:tcPr>
            <w:tcW w:w="2880" w:type="dxa"/>
            <w:vAlign w:val="bottom"/>
          </w:tcPr>
          <w:p>
            <w:pPr>
              <w:ind w:left="260"/>
              <w:spacing w:after="0"/>
              <w:rPr>
                <w:sz w:val="20"/>
                <w:szCs w:val="20"/>
                <w:color w:val="auto"/>
              </w:rPr>
            </w:pPr>
            <w:r>
              <w:rPr>
                <w:rFonts w:ascii="Arial" w:cs="Arial" w:eastAsia="Arial" w:hAnsi="Arial"/>
                <w:sz w:val="18"/>
                <w:szCs w:val="18"/>
                <w:color w:val="auto"/>
              </w:rPr>
              <w:t>/s/ DAVID J. ANDERSON</w:t>
            </w:r>
          </w:p>
        </w:tc>
      </w:tr>
      <w:tr>
        <w:trPr>
          <w:trHeight w:val="27"/>
        </w:trPr>
        <w:tc>
          <w:tcPr>
            <w:tcW w:w="36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David J. Anderson</w:t>
            </w:r>
          </w:p>
        </w:tc>
      </w:tr>
      <w:tr>
        <w:trPr>
          <w:trHeight w:val="270"/>
        </w:trPr>
        <w:tc>
          <w:tcPr>
            <w:tcW w:w="36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Chief Financial Officer</w:t>
            </w:r>
          </w:p>
        </w:tc>
      </w:tr>
      <w:tr>
        <w:trPr>
          <w:trHeight w:val="270"/>
        </w:trPr>
        <w:tc>
          <w:tcPr>
            <w:tcW w:w="3600" w:type="dxa"/>
            <w:vAlign w:val="bottom"/>
          </w:tcPr>
          <w:p>
            <w:pPr>
              <w:spacing w:after="0"/>
              <w:rPr>
                <w:sz w:val="23"/>
                <w:szCs w:val="23"/>
                <w:color w:val="auto"/>
              </w:rPr>
            </w:pPr>
          </w:p>
        </w:tc>
        <w:tc>
          <w:tcPr>
            <w:tcW w:w="3800" w:type="dxa"/>
            <w:vAlign w:val="bottom"/>
          </w:tcPr>
          <w:p>
            <w:pPr>
              <w:spacing w:after="0"/>
              <w:rPr>
                <w:sz w:val="23"/>
                <w:szCs w:val="23"/>
                <w:color w:val="auto"/>
              </w:rPr>
            </w:pPr>
          </w:p>
        </w:tc>
        <w:tc>
          <w:tcPr>
            <w:tcW w:w="2880" w:type="dxa"/>
            <w:vAlign w:val="bottom"/>
          </w:tcPr>
          <w:p>
            <w:pPr>
              <w:ind w:left="26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600" w:type="dxa"/>
            <w:vAlign w:val="bottom"/>
          </w:tcPr>
          <w:p>
            <w:pPr>
              <w:spacing w:after="0"/>
              <w:rPr>
                <w:sz w:val="24"/>
                <w:szCs w:val="24"/>
                <w:color w:val="auto"/>
              </w:rPr>
            </w:pPr>
          </w:p>
        </w:tc>
        <w:tc>
          <w:tcPr>
            <w:tcW w:w="3800" w:type="dxa"/>
            <w:vAlign w:val="bottom"/>
          </w:tcPr>
          <w:p>
            <w:pPr>
              <w:ind w:left="1980"/>
              <w:spacing w:after="0"/>
              <w:rPr>
                <w:sz w:val="20"/>
                <w:szCs w:val="20"/>
                <w:color w:val="auto"/>
              </w:rPr>
            </w:pPr>
            <w:r>
              <w:rPr>
                <w:rFonts w:ascii="Arial" w:cs="Arial" w:eastAsia="Arial" w:hAnsi="Arial"/>
                <w:sz w:val="18"/>
                <w:szCs w:val="18"/>
                <w:color w:val="auto"/>
              </w:rPr>
              <w:t>48</w:t>
            </w:r>
          </w:p>
        </w:tc>
        <w:tc>
          <w:tcPr>
            <w:tcW w:w="2880" w:type="dxa"/>
            <w:vAlign w:val="bottom"/>
          </w:tcPr>
          <w:p>
            <w:pPr>
              <w:spacing w:after="0"/>
              <w:rPr>
                <w:sz w:val="24"/>
                <w:szCs w:val="24"/>
                <w:color w:val="auto"/>
              </w:rPr>
            </w:pPr>
          </w:p>
        </w:tc>
      </w:tr>
    </w:tbl>
    <w:p>
      <w:pPr>
        <w:sectPr>
          <w:pgSz w:w="11900" w:h="16838" w:orient="portrait"/>
          <w:cols w:equalWidth="0" w:num="1">
            <w:col w:w="10780"/>
          </w:cols>
          <w:pgMar w:left="240" w:top="125" w:right="879" w:bottom="1440" w:gutter="0" w:footer="0" w:header="0"/>
        </w:sectPr>
      </w:pPr>
    </w:p>
    <w:bookmarkStart w:id="50" w:name="page51"/>
    <w:bookmarkEnd w:id="50"/>
    <w:p>
      <w:pPr>
        <w:jc w:val="center"/>
        <w:ind w:right="140"/>
        <w:spacing w:after="0"/>
        <w:rPr>
          <w:sz w:val="20"/>
          <w:szCs w:val="20"/>
          <w:color w:val="auto"/>
        </w:rPr>
      </w:pPr>
      <w:r>
        <w:rPr>
          <w:rFonts w:ascii="Arial" w:cs="Arial" w:eastAsia="Arial" w:hAnsi="Arial"/>
          <w:sz w:val="26"/>
          <w:szCs w:val="26"/>
          <w:b w:val="1"/>
          <w:bCs w:val="1"/>
          <w:color w:val="auto"/>
        </w:rPr>
        <w:t>RPX C</w:t>
      </w:r>
      <w:r>
        <w:rPr>
          <w:rFonts w:ascii="Arial" w:cs="Arial" w:eastAsia="Arial" w:hAnsi="Arial"/>
          <w:sz w:val="21"/>
          <w:szCs w:val="21"/>
          <w:b w:val="1"/>
          <w:bCs w:val="1"/>
          <w:color w:val="auto"/>
        </w:rPr>
        <w:t>ORPORATION</w:t>
      </w: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26"/>
          <w:szCs w:val="26"/>
          <w:b w:val="1"/>
          <w:bCs w:val="1"/>
          <w:color w:val="auto"/>
        </w:rPr>
        <w:t>C</w:t>
      </w:r>
      <w:r>
        <w:rPr>
          <w:rFonts w:ascii="Arial" w:cs="Arial" w:eastAsia="Arial" w:hAnsi="Arial"/>
          <w:sz w:val="21"/>
          <w:szCs w:val="21"/>
          <w:b w:val="1"/>
          <w:bCs w:val="1"/>
          <w:color w:val="auto"/>
        </w:rPr>
        <w:t>OMPENSATION</w:t>
      </w:r>
      <w:r>
        <w:rPr>
          <w:rFonts w:ascii="Arial" w:cs="Arial" w:eastAsia="Arial" w:hAnsi="Arial"/>
          <w:sz w:val="26"/>
          <w:szCs w:val="26"/>
          <w:b w:val="1"/>
          <w:bCs w:val="1"/>
          <w:color w:val="auto"/>
        </w:rPr>
        <w:t xml:space="preserve"> P</w:t>
      </w:r>
      <w:r>
        <w:rPr>
          <w:rFonts w:ascii="Arial" w:cs="Arial" w:eastAsia="Arial" w:hAnsi="Arial"/>
          <w:sz w:val="21"/>
          <w:szCs w:val="21"/>
          <w:b w:val="1"/>
          <w:bCs w:val="1"/>
          <w:color w:val="auto"/>
        </w:rPr>
        <w:t>ROGRAM FOR</w:t>
      </w:r>
      <w:r>
        <w:rPr>
          <w:rFonts w:ascii="Arial" w:cs="Arial" w:eastAsia="Arial" w:hAnsi="Arial"/>
          <w:sz w:val="26"/>
          <w:szCs w:val="26"/>
          <w:b w:val="1"/>
          <w:bCs w:val="1"/>
          <w:color w:val="auto"/>
        </w:rPr>
        <w:t xml:space="preserve"> N</w:t>
      </w:r>
      <w:r>
        <w:rPr>
          <w:rFonts w:ascii="Arial" w:cs="Arial" w:eastAsia="Arial" w:hAnsi="Arial"/>
          <w:sz w:val="21"/>
          <w:szCs w:val="21"/>
          <w:b w:val="1"/>
          <w:bCs w:val="1"/>
          <w:color w:val="auto"/>
        </w:rPr>
        <w:t>ON</w:t>
      </w:r>
      <w:r>
        <w:rPr>
          <w:rFonts w:ascii="Arial" w:cs="Arial" w:eastAsia="Arial" w:hAnsi="Arial"/>
          <w:sz w:val="26"/>
          <w:szCs w:val="26"/>
          <w:b w:val="1"/>
          <w:bCs w:val="1"/>
          <w:color w:val="auto"/>
        </w:rPr>
        <w:t xml:space="preserve"> - E</w:t>
      </w:r>
      <w:r>
        <w:rPr>
          <w:rFonts w:ascii="Arial" w:cs="Arial" w:eastAsia="Arial" w:hAnsi="Arial"/>
          <w:sz w:val="21"/>
          <w:szCs w:val="21"/>
          <w:b w:val="1"/>
          <w:bCs w:val="1"/>
          <w:color w:val="auto"/>
        </w:rPr>
        <w:t>MPLOYEE</w:t>
      </w:r>
      <w:r>
        <w:rPr>
          <w:rFonts w:ascii="Arial" w:cs="Arial" w:eastAsia="Arial" w:hAnsi="Arial"/>
          <w:sz w:val="26"/>
          <w:szCs w:val="26"/>
          <w:b w:val="1"/>
          <w:bCs w:val="1"/>
          <w:color w:val="auto"/>
        </w:rPr>
        <w:t xml:space="preserve"> D</w:t>
      </w:r>
      <w:r>
        <w:rPr>
          <w:rFonts w:ascii="Arial" w:cs="Arial" w:eastAsia="Arial" w:hAnsi="Arial"/>
          <w:sz w:val="21"/>
          <w:szCs w:val="21"/>
          <w:b w:val="1"/>
          <w:bCs w:val="1"/>
          <w:color w:val="auto"/>
        </w:rPr>
        <w:t>IRECTORS</w:t>
      </w:r>
    </w:p>
    <w:p>
      <w:pPr>
        <w:spacing w:after="0" w:line="247" w:lineRule="exact"/>
        <w:rPr>
          <w:sz w:val="20"/>
          <w:szCs w:val="20"/>
          <w:color w:val="auto"/>
        </w:rPr>
      </w:pPr>
    </w:p>
    <w:p>
      <w:pPr>
        <w:jc w:val="center"/>
        <w:ind w:right="140"/>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16"/>
          <w:szCs w:val="16"/>
          <w:b w:val="1"/>
          <w:bCs w:val="1"/>
          <w:color w:val="auto"/>
        </w:rPr>
        <w:t>AS AMENDED</w:t>
      </w:r>
      <w:r>
        <w:rPr>
          <w:rFonts w:ascii="Arial" w:cs="Arial" w:eastAsia="Arial" w:hAnsi="Arial"/>
          <w:sz w:val="22"/>
          <w:szCs w:val="22"/>
          <w:b w:val="1"/>
          <w:bCs w:val="1"/>
          <w:color w:val="auto"/>
        </w:rPr>
        <w:t xml:space="preserve"> May 23, 2017)</w:t>
      </w:r>
    </w:p>
    <w:p>
      <w:pPr>
        <w:spacing w:after="0" w:line="341" w:lineRule="exact"/>
        <w:rPr>
          <w:sz w:val="20"/>
          <w:szCs w:val="20"/>
          <w:color w:val="auto"/>
        </w:rPr>
      </w:pPr>
    </w:p>
    <w:p>
      <w:pPr>
        <w:ind w:left="540" w:hanging="483"/>
        <w:spacing w:after="0"/>
        <w:tabs>
          <w:tab w:leader="none" w:pos="540"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Cash Compensation</w:t>
      </w:r>
    </w:p>
    <w:p>
      <w:pPr>
        <w:spacing w:after="0" w:line="266" w:lineRule="exact"/>
        <w:rPr>
          <w:rFonts w:ascii="Arial" w:cs="Arial" w:eastAsia="Arial" w:hAnsi="Arial"/>
          <w:sz w:val="22"/>
          <w:szCs w:val="22"/>
          <w:b w:val="1"/>
          <w:bCs w:val="1"/>
          <w:color w:val="auto"/>
        </w:rPr>
      </w:pPr>
    </w:p>
    <w:p>
      <w:pPr>
        <w:ind w:left="1880" w:right="20" w:hanging="1364"/>
        <w:spacing w:after="0" w:line="263" w:lineRule="auto"/>
        <w:tabs>
          <w:tab w:leader="none" w:pos="11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Directors will not receive any cash compensation for their service on the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or Board committees.</w:t>
      </w:r>
    </w:p>
    <w:p>
      <w:pPr>
        <w:spacing w:after="0" w:line="215" w:lineRule="exact"/>
        <w:rPr>
          <w:rFonts w:ascii="Arial" w:cs="Arial" w:eastAsia="Arial" w:hAnsi="Arial"/>
          <w:sz w:val="22"/>
          <w:szCs w:val="22"/>
          <w:color w:val="auto"/>
        </w:rPr>
      </w:pPr>
    </w:p>
    <w:p>
      <w:pPr>
        <w:ind w:left="1880" w:right="20" w:hanging="1364"/>
        <w:spacing w:after="0" w:line="263" w:lineRule="auto"/>
        <w:tabs>
          <w:tab w:leader="none" w:pos="1160" w:val="left"/>
        </w:tabs>
        <w:numPr>
          <w:ilvl w:val="2"/>
          <w:numId w:val="28"/>
        </w:numPr>
        <w:rPr>
          <w:rFonts w:ascii="Arial" w:cs="Arial" w:eastAsia="Arial" w:hAnsi="Arial"/>
          <w:sz w:val="22"/>
          <w:szCs w:val="22"/>
          <w:color w:val="auto"/>
        </w:rPr>
      </w:pPr>
      <w:r>
        <w:rPr>
          <w:rFonts w:ascii="Arial" w:cs="Arial" w:eastAsia="Arial" w:hAnsi="Arial"/>
          <w:sz w:val="22"/>
          <w:szCs w:val="22"/>
          <w:color w:val="auto"/>
        </w:rPr>
        <w:t>The reasonable expenses incurred by directors in connection with attendance at Board and Board committee meetings will be reimbursed upon submission of appropriate documentation.</w:t>
      </w:r>
    </w:p>
    <w:p>
      <w:pPr>
        <w:spacing w:after="0" w:line="222" w:lineRule="exact"/>
        <w:rPr>
          <w:rFonts w:ascii="Arial" w:cs="Arial" w:eastAsia="Arial" w:hAnsi="Arial"/>
          <w:sz w:val="22"/>
          <w:szCs w:val="22"/>
          <w:color w:val="auto"/>
        </w:rPr>
      </w:pPr>
    </w:p>
    <w:p>
      <w:pPr>
        <w:ind w:left="420" w:hanging="417"/>
        <w:spacing w:after="0"/>
        <w:tabs>
          <w:tab w:leader="none" w:pos="4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Equity Compensation</w:t>
      </w:r>
    </w:p>
    <w:p>
      <w:pPr>
        <w:spacing w:after="0" w:line="266" w:lineRule="exact"/>
        <w:rPr>
          <w:rFonts w:ascii="Arial" w:cs="Arial" w:eastAsia="Arial" w:hAnsi="Arial"/>
          <w:sz w:val="22"/>
          <w:szCs w:val="22"/>
          <w:b w:val="1"/>
          <w:bCs w:val="1"/>
          <w:color w:val="auto"/>
        </w:rPr>
      </w:pPr>
    </w:p>
    <w:p>
      <w:pPr>
        <w:jc w:val="both"/>
        <w:ind w:left="1160" w:hanging="644"/>
        <w:spacing w:after="0" w:line="261" w:lineRule="auto"/>
        <w:tabs>
          <w:tab w:leader="none" w:pos="1160" w:val="left"/>
        </w:tabs>
        <w:numPr>
          <w:ilvl w:val="2"/>
          <w:numId w:val="29"/>
        </w:numPr>
        <w:rPr>
          <w:rFonts w:ascii="Arial" w:cs="Arial" w:eastAsia="Arial" w:hAnsi="Arial"/>
          <w:sz w:val="21"/>
          <w:szCs w:val="21"/>
          <w:color w:val="auto"/>
        </w:rPr>
      </w:pPr>
      <w:r>
        <w:rPr>
          <w:rFonts w:ascii="Arial" w:cs="Arial" w:eastAsia="Arial" w:hAnsi="Arial"/>
          <w:sz w:val="21"/>
          <w:szCs w:val="21"/>
          <w:color w:val="auto"/>
        </w:rPr>
        <w:t>Non-employee directors will receive an annual award of 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with a target value determined based on Board and committee service as set forth in the table below. A non-employee director who joins the Board within 12 months prior to an Annual Meeting of Stockholders will receive an additional pro-rated annual award in conjunction with the director’s initial appointment or election to the Board, with the target value determined based on the number of days of Board service that will be provided prior to the first Annual Meeting of Stockholders that occurs following the director’s appointment.</w:t>
      </w:r>
    </w:p>
    <w:p>
      <w:pPr>
        <w:spacing w:after="0" w:line="303" w:lineRule="exact"/>
        <w:rPr>
          <w:sz w:val="20"/>
          <w:szCs w:val="20"/>
          <w:color w:val="auto"/>
        </w:rPr>
      </w:pPr>
    </w:p>
    <w:tbl>
      <w:tblPr>
        <w:tblLayout w:type="fixed"/>
        <w:tblInd w:w="1290" w:type="dxa"/>
        <w:tblCellMar>
          <w:top w:w="0" w:type="dxa"/>
          <w:left w:w="0" w:type="dxa"/>
          <w:bottom w:w="0" w:type="dxa"/>
          <w:right w:w="0" w:type="dxa"/>
        </w:tblCellMar>
      </w:tblPr>
      <w:tr>
        <w:trPr>
          <w:trHeight w:val="304"/>
        </w:trPr>
        <w:tc>
          <w:tcPr>
            <w:tcW w:w="6720" w:type="dxa"/>
            <w:vAlign w:val="bottom"/>
            <w:tcBorders>
              <w:top w:val="single" w:sz="8" w:color="auto"/>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22"/>
                <w:szCs w:val="22"/>
                <w:color w:val="auto"/>
              </w:rPr>
              <w:t>Board Service</w:t>
            </w:r>
          </w:p>
        </w:tc>
        <w:tc>
          <w:tcPr>
            <w:tcW w:w="146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$200,000</w:t>
            </w:r>
          </w:p>
        </w:tc>
      </w:tr>
      <w:tr>
        <w:trPr>
          <w:trHeight w:val="291"/>
        </w:trPr>
        <w:tc>
          <w:tcPr>
            <w:tcW w:w="672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22"/>
                <w:szCs w:val="22"/>
                <w:i w:val="1"/>
                <w:iCs w:val="1"/>
                <w:color w:val="auto"/>
              </w:rPr>
              <w:t>plus (as applicable):</w:t>
            </w:r>
          </w:p>
        </w:tc>
        <w:tc>
          <w:tcPr>
            <w:tcW w:w="1460" w:type="dxa"/>
            <w:vAlign w:val="bottom"/>
            <w:tcBorders>
              <w:bottom w:val="single" w:sz="8" w:color="auto"/>
              <w:right w:val="single" w:sz="8" w:color="auto"/>
            </w:tcBorders>
          </w:tcPr>
          <w:p>
            <w:pPr>
              <w:spacing w:after="0"/>
              <w:rPr>
                <w:sz w:val="24"/>
                <w:szCs w:val="24"/>
                <w:color w:val="auto"/>
              </w:rPr>
            </w:pPr>
          </w:p>
        </w:tc>
      </w:tr>
      <w:tr>
        <w:trPr>
          <w:trHeight w:val="291"/>
        </w:trPr>
        <w:tc>
          <w:tcPr>
            <w:tcW w:w="6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Board Chair</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$27,500</w:t>
            </w:r>
          </w:p>
        </w:tc>
      </w:tr>
      <w:tr>
        <w:trPr>
          <w:trHeight w:val="291"/>
        </w:trPr>
        <w:tc>
          <w:tcPr>
            <w:tcW w:w="6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Audit Committee Chair</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$22,500</w:t>
            </w:r>
          </w:p>
        </w:tc>
      </w:tr>
      <w:tr>
        <w:trPr>
          <w:trHeight w:val="291"/>
        </w:trPr>
        <w:tc>
          <w:tcPr>
            <w:tcW w:w="6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Other Audit Committee Members</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$10,000</w:t>
            </w:r>
          </w:p>
        </w:tc>
      </w:tr>
      <w:tr>
        <w:trPr>
          <w:trHeight w:val="291"/>
        </w:trPr>
        <w:tc>
          <w:tcPr>
            <w:tcW w:w="6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Compensation Committee Chair</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$15,000</w:t>
            </w:r>
          </w:p>
        </w:tc>
      </w:tr>
      <w:tr>
        <w:trPr>
          <w:trHeight w:val="291"/>
        </w:trPr>
        <w:tc>
          <w:tcPr>
            <w:tcW w:w="6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Other Compensation Committee Members</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$6,000</w:t>
            </w:r>
          </w:p>
        </w:tc>
      </w:tr>
      <w:tr>
        <w:trPr>
          <w:trHeight w:val="291"/>
        </w:trPr>
        <w:tc>
          <w:tcPr>
            <w:tcW w:w="6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Nominating &amp; Corporate Governance Committee Chair</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$10,000</w:t>
            </w:r>
          </w:p>
        </w:tc>
      </w:tr>
      <w:tr>
        <w:trPr>
          <w:trHeight w:val="291"/>
        </w:trPr>
        <w:tc>
          <w:tcPr>
            <w:tcW w:w="67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Other Nominating &amp; Corporate Governance Committee Members</w:t>
            </w:r>
          </w:p>
        </w:tc>
        <w:tc>
          <w:tcPr>
            <w:tcW w:w="14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$5,000</w:t>
            </w:r>
          </w:p>
        </w:tc>
      </w:tr>
    </w:tbl>
    <w:p>
      <w:pPr>
        <w:spacing w:after="0" w:line="262" w:lineRule="exact"/>
        <w:rPr>
          <w:sz w:val="20"/>
          <w:szCs w:val="20"/>
          <w:color w:val="auto"/>
        </w:rPr>
      </w:pPr>
    </w:p>
    <w:p>
      <w:pPr>
        <w:jc w:val="both"/>
        <w:ind w:left="1160" w:hanging="644"/>
        <w:spacing w:after="0" w:line="297" w:lineRule="auto"/>
        <w:tabs>
          <w:tab w:leader="none" w:pos="11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RSUs will vest in equal quarterly installments on August 20, November 20, February 20, and May 20, provided the director remains in continuous Service through the applicable vesting dates, with immediate vesting in full in the event of a change in control of the Company. The Board or Compensation Committee will grant the RSUs under the Company’s 2011 Equity Incentive Plan in conjunction with the Company’s Annual Meeting of Stockholders. A non-employee director who previously was an employee is eligible for annual awards.</w:t>
      </w:r>
    </w:p>
    <w:p>
      <w:pPr>
        <w:sectPr>
          <w:pgSz w:w="11900" w:h="16838" w:orient="portrait"/>
          <w:cols w:equalWidth="0" w:num="1">
            <w:col w:w="11280"/>
          </w:cols>
          <w:pgMar w:left="380" w:top="431" w:right="239" w:bottom="1440" w:gutter="0" w:footer="0" w:header="0"/>
        </w:sectPr>
      </w:pPr>
    </w:p>
    <w:bookmarkStart w:id="51" w:name="page52"/>
    <w:bookmarkEnd w:id="51"/>
    <w:p>
      <w:pPr>
        <w:ind w:left="430" w:hanging="430"/>
        <w:spacing w:after="0"/>
        <w:tabs>
          <w:tab w:leader="none" w:pos="43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52" w:lineRule="exact"/>
        <w:rPr>
          <w:rFonts w:ascii="Arial" w:cs="Arial" w:eastAsia="Arial" w:hAnsi="Arial"/>
          <w:sz w:val="22"/>
          <w:szCs w:val="22"/>
          <w:b w:val="1"/>
          <w:bCs w:val="1"/>
          <w:color w:val="auto"/>
        </w:rPr>
      </w:pPr>
    </w:p>
    <w:p>
      <w:pPr>
        <w:jc w:val="both"/>
        <w:ind w:left="1130" w:hanging="644"/>
        <w:spacing w:after="0" w:line="250" w:lineRule="auto"/>
        <w:tabs>
          <w:tab w:leader="none" w:pos="1130"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number of RSUs subject to each annual grant will be determined by dividing the target value of a director’s grant by the then-current denominator for RSUs as established from time to time by the Compensation Committee. The Compensation Committee will determine the value of the denominator at least quarterly based on the average value of the Company’s common stock for the previous quarter.</w:t>
      </w:r>
    </w:p>
    <w:p>
      <w:pPr>
        <w:spacing w:after="0" w:line="228" w:lineRule="exact"/>
        <w:rPr>
          <w:rFonts w:ascii="Arial" w:cs="Arial" w:eastAsia="Arial" w:hAnsi="Arial"/>
          <w:sz w:val="22"/>
          <w:szCs w:val="22"/>
          <w:color w:val="auto"/>
        </w:rPr>
      </w:pPr>
    </w:p>
    <w:p>
      <w:pPr>
        <w:ind w:left="1130" w:right="20" w:hanging="644"/>
        <w:spacing w:after="0" w:line="343" w:lineRule="auto"/>
        <w:tabs>
          <w:tab w:leader="none" w:pos="1130" w:val="left"/>
        </w:tabs>
        <w:numPr>
          <w:ilvl w:val="1"/>
          <w:numId w:val="31"/>
        </w:numPr>
        <w:rPr>
          <w:rFonts w:ascii="Arial" w:cs="Arial" w:eastAsia="Arial" w:hAnsi="Arial"/>
          <w:sz w:val="19"/>
          <w:szCs w:val="19"/>
          <w:color w:val="auto"/>
        </w:rPr>
      </w:pPr>
      <w:r>
        <w:rPr>
          <w:rFonts w:ascii="Arial" w:cs="Arial" w:eastAsia="Arial" w:hAnsi="Arial"/>
          <w:sz w:val="19"/>
          <w:szCs w:val="19"/>
          <w:color w:val="auto"/>
        </w:rPr>
        <w:t>Each director must retain 100% of the shares issued upon the vesting of RSU grants hereunder until he or she meets the ownership level specified for non-employee directors in the Company’s Stock Ownership Guidelines.</w:t>
      </w:r>
    </w:p>
    <w:p>
      <w:pPr>
        <w:spacing w:after="0" w:line="145" w:lineRule="exact"/>
        <w:rPr>
          <w:rFonts w:ascii="Arial" w:cs="Arial" w:eastAsia="Arial" w:hAnsi="Arial"/>
          <w:sz w:val="19"/>
          <w:szCs w:val="19"/>
          <w:color w:val="auto"/>
        </w:rPr>
      </w:pPr>
    </w:p>
    <w:p>
      <w:pPr>
        <w:ind w:left="1130" w:hanging="644"/>
        <w:spacing w:after="0"/>
        <w:tabs>
          <w:tab w:leader="none" w:pos="1130" w:val="left"/>
        </w:tabs>
        <w:numPr>
          <w:ilvl w:val="1"/>
          <w:numId w:val="31"/>
        </w:numPr>
        <w:rPr>
          <w:rFonts w:ascii="Arial" w:cs="Arial" w:eastAsia="Arial" w:hAnsi="Arial"/>
          <w:sz w:val="22"/>
          <w:szCs w:val="22"/>
          <w:color w:val="auto"/>
        </w:rPr>
      </w:pPr>
      <w:r>
        <w:rPr>
          <w:rFonts w:ascii="Arial" w:cs="Arial" w:eastAsia="Arial" w:hAnsi="Arial"/>
          <w:sz w:val="22"/>
          <w:szCs w:val="22"/>
          <w:color w:val="auto"/>
        </w:rPr>
        <w:t>All RSUs will be settled by issuing shares upon vesting.</w:t>
      </w:r>
    </w:p>
    <w:p>
      <w:pPr>
        <w:sectPr>
          <w:pgSz w:w="11900" w:h="16838" w:orient="portrait"/>
          <w:cols w:equalWidth="0" w:num="1">
            <w:col w:w="11250"/>
          </w:cols>
          <w:pgMar w:left="410" w:top="382" w:right="239" w:bottom="1440" w:gutter="0" w:footer="0" w:header="0"/>
        </w:sectPr>
      </w:pPr>
    </w:p>
    <w:bookmarkStart w:id="52" w:name="page53"/>
    <w:bookmarkEnd w:id="52"/>
    <w:p>
      <w:pPr>
        <w:jc w:val="center"/>
        <w:ind w:right="620"/>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ONE MARKET PLAZA, STEUART TOWER, SUITE 700</w:t>
      </w:r>
    </w:p>
    <w:p>
      <w:pPr>
        <w:spacing w:after="0" w:line="2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SAN FRANCISCO, CA 94105</w:t>
      </w:r>
    </w:p>
    <w:p>
      <w:pPr>
        <w:spacing w:after="0" w:line="26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October 12,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David Anderson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3401 Clay St. Apt 301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San Francisco, CA 94118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Dear David Anderson:</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RPX Corporation (the "Company") is pleased to offer you employment on the following terms:</w:t>
      </w:r>
    </w:p>
    <w:p>
      <w:pPr>
        <w:spacing w:after="0" w:line="248" w:lineRule="exact"/>
        <w:rPr>
          <w:sz w:val="20"/>
          <w:szCs w:val="20"/>
          <w:color w:val="auto"/>
        </w:rPr>
      </w:pPr>
    </w:p>
    <w:p>
      <w:pPr>
        <w:ind w:firstLine="671"/>
        <w:spacing w:after="0" w:line="313" w:lineRule="auto"/>
        <w:tabs>
          <w:tab w:leader="none" w:pos="995"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initial title will be Director, Corporate Development and you will initially report to Geoffrey T. Barker, Chief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This is a full-time position.</w:t>
      </w:r>
    </w:p>
    <w:p>
      <w:pPr>
        <w:spacing w:after="0" w:line="176" w:lineRule="exact"/>
        <w:rPr>
          <w:sz w:val="20"/>
          <w:szCs w:val="20"/>
          <w:color w:val="auto"/>
        </w:rPr>
      </w:pPr>
    </w:p>
    <w:p>
      <w:pPr>
        <w:ind w:firstLine="658"/>
        <w:spacing w:after="0" w:line="344" w:lineRule="auto"/>
        <w:tabs>
          <w:tab w:leader="none" w:pos="144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Commencement of Employment. </w:t>
      </w:r>
      <w:r>
        <w:rPr>
          <w:rFonts w:ascii="Arial" w:cs="Arial" w:eastAsia="Arial" w:hAnsi="Arial"/>
          <w:sz w:val="18"/>
          <w:szCs w:val="18"/>
          <w:color w:val="auto"/>
        </w:rPr>
        <w:t>This letter is conditioned upon your agreement to begin employment with the Company no</w:t>
      </w:r>
      <w:r>
        <w:rPr>
          <w:rFonts w:ascii="Arial" w:cs="Arial" w:eastAsia="Arial" w:hAnsi="Arial"/>
          <w:sz w:val="18"/>
          <w:szCs w:val="18"/>
          <w:b w:val="1"/>
          <w:bCs w:val="1"/>
          <w:color w:val="auto"/>
        </w:rPr>
        <w:t xml:space="preserve"> </w:t>
      </w:r>
      <w:r>
        <w:rPr>
          <w:rFonts w:ascii="Arial" w:cs="Arial" w:eastAsia="Arial" w:hAnsi="Arial"/>
          <w:sz w:val="18"/>
          <w:szCs w:val="18"/>
          <w:color w:val="auto"/>
        </w:rPr>
        <w:t>later than November 1, 2010.</w:t>
      </w:r>
    </w:p>
    <w:p>
      <w:pPr>
        <w:spacing w:after="0" w:line="135" w:lineRule="exact"/>
        <w:rPr>
          <w:rFonts w:ascii="Arial" w:cs="Arial" w:eastAsia="Arial" w:hAnsi="Arial"/>
          <w:sz w:val="18"/>
          <w:szCs w:val="18"/>
          <w:color w:val="auto"/>
        </w:rPr>
      </w:pPr>
    </w:p>
    <w:p>
      <w:pPr>
        <w:jc w:val="both"/>
        <w:ind w:firstLine="658"/>
        <w:spacing w:after="0" w:line="329" w:lineRule="auto"/>
        <w:tabs>
          <w:tab w:leader="none" w:pos="144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Cash Compensation. </w:t>
      </w:r>
      <w:r>
        <w:rPr>
          <w:rFonts w:ascii="Arial" w:cs="Arial" w:eastAsia="Arial" w:hAnsi="Arial"/>
          <w:sz w:val="18"/>
          <w:szCs w:val="18"/>
          <w:color w:val="auto"/>
        </w:rPr>
        <w:t>The Company will pay you a starting salary at the rate of $175,000 per year, payable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standard payroll schedule. This salary will be subject to adjustment pursuant to the Company's employee compensation policies in effect from time to time.</w:t>
      </w:r>
    </w:p>
    <w:p>
      <w:pPr>
        <w:spacing w:after="0" w:line="175" w:lineRule="exact"/>
        <w:rPr>
          <w:rFonts w:ascii="Arial" w:cs="Arial" w:eastAsia="Arial" w:hAnsi="Arial"/>
          <w:sz w:val="18"/>
          <w:szCs w:val="18"/>
          <w:color w:val="auto"/>
        </w:rPr>
      </w:pPr>
    </w:p>
    <w:p>
      <w:pPr>
        <w:jc w:val="both"/>
        <w:ind w:firstLine="658"/>
        <w:spacing w:after="0" w:line="329" w:lineRule="auto"/>
        <w:tabs>
          <w:tab w:leader="none" w:pos="144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Equity Compensation. </w:t>
      </w:r>
      <w:r>
        <w:rPr>
          <w:rFonts w:ascii="Arial" w:cs="Arial" w:eastAsia="Arial" w:hAnsi="Arial"/>
          <w:sz w:val="18"/>
          <w:szCs w:val="18"/>
          <w:color w:val="auto"/>
        </w:rPr>
        <w:t>As pan of your offer, we are also pleased to offer you a grant of 50,000 Options on Common Stock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This grant is subject to approval by the Company's board of directors and will vest 25% upon completion of your first year of employment with the Company, with the remaining 75% vesting ratably on a monthly basis over three years.</w:t>
      </w:r>
    </w:p>
    <w:p>
      <w:pPr>
        <w:spacing w:after="0" w:line="175" w:lineRule="exact"/>
        <w:rPr>
          <w:rFonts w:ascii="Arial" w:cs="Arial" w:eastAsia="Arial" w:hAnsi="Arial"/>
          <w:sz w:val="18"/>
          <w:szCs w:val="18"/>
          <w:color w:val="auto"/>
        </w:rPr>
      </w:pPr>
    </w:p>
    <w:p>
      <w:pPr>
        <w:ind w:firstLine="658"/>
        <w:spacing w:after="0" w:line="379" w:lineRule="auto"/>
        <w:tabs>
          <w:tab w:leader="none" w:pos="1445"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Employee Benefits. </w:t>
      </w:r>
      <w:r>
        <w:rPr>
          <w:rFonts w:ascii="Arial" w:cs="Arial" w:eastAsia="Arial" w:hAnsi="Arial"/>
          <w:sz w:val="17"/>
          <w:szCs w:val="17"/>
          <w:color w:val="auto"/>
        </w:rPr>
        <w:t>As a regular employee of the Company, you will be eligible to participate in a number of Company-sponsored benefits. In addition, you will be entitled to paid time off in accordance with the Company's PTO policy, as in effect from time to time.</w:t>
      </w:r>
    </w:p>
    <w:p>
      <w:pPr>
        <w:spacing w:after="0" w:line="111" w:lineRule="exact"/>
        <w:rPr>
          <w:rFonts w:ascii="Arial" w:cs="Arial" w:eastAsia="Arial" w:hAnsi="Arial"/>
          <w:sz w:val="17"/>
          <w:szCs w:val="17"/>
          <w:color w:val="auto"/>
        </w:rPr>
      </w:pPr>
    </w:p>
    <w:p>
      <w:pPr>
        <w:jc w:val="both"/>
        <w:ind w:firstLine="658"/>
        <w:spacing w:after="0" w:line="329" w:lineRule="auto"/>
        <w:tabs>
          <w:tab w:leader="none" w:pos="144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Proprietary Information and Inventions Agreement. </w:t>
      </w:r>
      <w:r>
        <w:rPr>
          <w:rFonts w:ascii="Arial" w:cs="Arial" w:eastAsia="Arial" w:hAnsi="Arial"/>
          <w:sz w:val="18"/>
          <w:szCs w:val="18"/>
          <w:color w:val="auto"/>
        </w:rPr>
        <w:t>Like all Company employees, you will be required, as a condition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your employment with the Company, to sign the Company's standard Proprietary Information and Inventions Agreement, a copy of which is attached hereto as </w:t>
      </w:r>
      <w:r>
        <w:rPr>
          <w:rFonts w:ascii="Arial" w:cs="Arial" w:eastAsia="Arial" w:hAnsi="Arial"/>
          <w:sz w:val="18"/>
          <w:szCs w:val="18"/>
          <w:b w:val="1"/>
          <w:bCs w:val="1"/>
          <w:color w:val="auto"/>
        </w:rPr>
        <w:t>Exhibit A.</w:t>
      </w:r>
    </w:p>
    <w:p>
      <w:pPr>
        <w:spacing w:after="0" w:line="202" w:lineRule="exact"/>
        <w:rPr>
          <w:rFonts w:ascii="Arial" w:cs="Arial" w:eastAsia="Arial" w:hAnsi="Arial"/>
          <w:sz w:val="18"/>
          <w:szCs w:val="18"/>
          <w:color w:val="auto"/>
        </w:rPr>
      </w:pPr>
    </w:p>
    <w:p>
      <w:pPr>
        <w:jc w:val="both"/>
        <w:ind w:firstLine="658"/>
        <w:spacing w:after="0" w:line="374" w:lineRule="auto"/>
        <w:tabs>
          <w:tab w:leader="none" w:pos="1445"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 xml:space="preserve">Employment Relationship. </w:t>
      </w:r>
      <w:r>
        <w:rPr>
          <w:rFonts w:ascii="Arial" w:cs="Arial" w:eastAsia="Arial" w:hAnsi="Arial"/>
          <w:sz w:val="16"/>
          <w:szCs w:val="16"/>
          <w:color w:val="auto"/>
        </w:rPr>
        <w:t>Our benefits, payroll, and other human resource management services are provided through TriNet</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Group, Inc., a professional employer organization. As a result of our arrangement with TriNet, TriNet will be considered your employer of record for these purposes and your managers at the Company will be responsible for directing your work, reviewing your performance, setting your schedule, and otherwise directing your work. Employment with the Company is for no specific period of time. Your employment with the</w:t>
      </w:r>
    </w:p>
    <w:p>
      <w:pPr>
        <w:sectPr>
          <w:pgSz w:w="11900" w:h="16838" w:orient="portrait"/>
          <w:cols w:equalWidth="0" w:num="1">
            <w:col w:w="10800"/>
          </w:cols>
          <w:pgMar w:left="860" w:top="37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David Anderson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October 12, 2010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0" w:lineRule="exact"/>
        <w:rPr>
          <w:sz w:val="20"/>
          <w:szCs w:val="20"/>
          <w:color w:val="auto"/>
        </w:rPr>
      </w:pPr>
    </w:p>
    <w:p>
      <w:pPr>
        <w:spacing w:after="0" w:line="268"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While you render services to the Company, you will not engage in any other employment, consulting or other business activity (whether full-time or part-time) that would create a conflict of interest with the Company. By signing this letter of agreement, you confirm to the Company that you have no contractual commitments or other legal obligations that would prohibit you from performing your duties for the Company,</w:t>
      </w:r>
    </w:p>
    <w:p>
      <w:pPr>
        <w:spacing w:after="0" w:line="176" w:lineRule="exact"/>
        <w:rPr>
          <w:sz w:val="20"/>
          <w:szCs w:val="20"/>
          <w:color w:val="auto"/>
        </w:rPr>
      </w:pPr>
    </w:p>
    <w:p>
      <w:pPr>
        <w:ind w:left="1340" w:hanging="655"/>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980" w:firstLine="1271"/>
        <w:spacing w:after="0" w:line="298" w:lineRule="auto"/>
        <w:tabs>
          <w:tab w:leader="none" w:pos="2670"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Withholding. </w:t>
      </w:r>
      <w:r>
        <w:rPr>
          <w:rFonts w:ascii="Arial" w:cs="Arial" w:eastAsia="Arial" w:hAnsi="Arial"/>
          <w:sz w:val="18"/>
          <w:szCs w:val="18"/>
          <w:color w:val="auto"/>
        </w:rPr>
        <w:t>All forms of compensation referred to in this letter agreement are subject to reduction to reflect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 and payroll taxes and other deductions required by law.</w:t>
      </w:r>
    </w:p>
    <w:p>
      <w:pPr>
        <w:spacing w:after="0" w:line="134" w:lineRule="exact"/>
        <w:rPr>
          <w:rFonts w:ascii="Arial" w:cs="Arial" w:eastAsia="Arial" w:hAnsi="Arial"/>
          <w:sz w:val="18"/>
          <w:szCs w:val="18"/>
          <w:color w:val="auto"/>
        </w:rPr>
      </w:pPr>
    </w:p>
    <w:p>
      <w:pPr>
        <w:jc w:val="both"/>
        <w:ind w:left="980" w:firstLine="1271"/>
        <w:spacing w:after="0" w:line="276" w:lineRule="auto"/>
        <w:tabs>
          <w:tab w:leader="none" w:pos="2801" w:val="left"/>
        </w:tabs>
        <w:numPr>
          <w:ilvl w:val="1"/>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Tax Advice. </w:t>
      </w:r>
      <w:r>
        <w:rPr>
          <w:rFonts w:ascii="Arial" w:cs="Arial" w:eastAsia="Arial" w:hAnsi="Arial"/>
          <w:sz w:val="18"/>
          <w:szCs w:val="18"/>
          <w:color w:val="auto"/>
        </w:rPr>
        <w:t>You are encouraged to obtain your own tax advice regarding your compensation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2" w:lineRule="exact"/>
        <w:rPr>
          <w:rFonts w:ascii="Arial" w:cs="Arial" w:eastAsia="Arial" w:hAnsi="Arial"/>
          <w:sz w:val="18"/>
          <w:szCs w:val="18"/>
          <w:color w:val="auto"/>
        </w:rPr>
      </w:pPr>
    </w:p>
    <w:p>
      <w:pPr>
        <w:ind w:left="1340" w:hanging="655"/>
        <w:spacing w:after="0"/>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 xml:space="preserve">Interpretation, Amendment and Enforcement. </w:t>
      </w:r>
      <w:r>
        <w:rPr>
          <w:rFonts w:ascii="Arial" w:cs="Arial" w:eastAsia="Arial" w:hAnsi="Arial"/>
          <w:sz w:val="18"/>
          <w:szCs w:val="18"/>
          <w:color w:val="auto"/>
        </w:rPr>
        <w:t>This letter agreement and Exhibit A</w:t>
      </w:r>
    </w:p>
    <w:p>
      <w:pPr>
        <w:spacing w:after="0" w:line="27" w:lineRule="exact"/>
        <w:rPr>
          <w:sz w:val="20"/>
          <w:szCs w:val="20"/>
          <w:color w:val="auto"/>
        </w:rPr>
      </w:pPr>
    </w:p>
    <w:p>
      <w:pPr>
        <w:ind w:left="40" w:right="20"/>
        <w:spacing w:after="0" w:line="269" w:lineRule="auto"/>
        <w:rPr>
          <w:sz w:val="20"/>
          <w:szCs w:val="20"/>
          <w:color w:val="auto"/>
        </w:rPr>
      </w:pPr>
      <w:r>
        <w:rPr>
          <w:rFonts w:ascii="Arial" w:cs="Arial" w:eastAsia="Arial" w:hAnsi="Arial"/>
          <w:sz w:val="18"/>
          <w:szCs w:val="18"/>
          <w:color w:val="auto"/>
        </w:rPr>
        <w:t>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 Francisco, California, in connection with any Dispute or any claim related to any Dispute.</w:t>
      </w:r>
    </w:p>
    <w:p>
      <w:pPr>
        <w:spacing w:after="0" w:line="210"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As required by law, your employment with the Company is contingent upon your providing legal proof of your identity and authorization to work in the United States. This offer is contingent upon our receipt of a satisfactory investigation report of your background.</w:t>
      </w:r>
    </w:p>
    <w:p>
      <w:pPr>
        <w:sectPr>
          <w:pgSz w:w="11900" w:h="16838" w:orient="portrait"/>
          <w:cols w:equalWidth="0" w:num="1">
            <w:col w:w="10800"/>
          </w:cols>
          <w:pgMar w:left="860" w:top="382" w:right="239"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color w:val="auto"/>
        </w:rPr>
        <w:t>David Anderson</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October 12, 2010</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68" w:lineRule="exact"/>
        <w:rPr>
          <w:sz w:val="20"/>
          <w:szCs w:val="20"/>
          <w:color w:val="auto"/>
        </w:rPr>
      </w:pPr>
    </w:p>
    <w:p>
      <w:pPr>
        <w:ind w:firstLine="675"/>
        <w:spacing w:after="0" w:line="309" w:lineRule="auto"/>
        <w:rPr>
          <w:sz w:val="20"/>
          <w:szCs w:val="20"/>
          <w:color w:val="auto"/>
        </w:rPr>
      </w:pPr>
      <w:r>
        <w:rPr>
          <w:rFonts w:ascii="Arial" w:cs="Arial" w:eastAsia="Arial" w:hAnsi="Arial"/>
          <w:sz w:val="18"/>
          <w:szCs w:val="18"/>
          <w:color w:val="auto"/>
        </w:rPr>
        <w:t>You may indicate your agreement with these terms and accept this offer by signing and dating both the enclosed duplicate original of this letter agreement and the enclosed Proprietary Information and Inventions Agreement and returning them to me.</w:t>
      </w:r>
    </w:p>
    <w:p>
      <w:pPr>
        <w:spacing w:after="0" w:line="25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offer shall remain in effect through 5:00pm, October 22, 2010, after which time it shall become void.</w:t>
      </w:r>
    </w:p>
    <w:p>
      <w:pPr>
        <w:spacing w:after="0" w:line="30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Very truly yours,</w:t>
      </w:r>
    </w:p>
    <w:p>
      <w:pPr>
        <w:spacing w:after="0" w:line="30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RPX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194945</wp:posOffset>
            </wp:positionV>
            <wp:extent cx="134620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62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Adam C Spiegel</w:t>
      </w:r>
    </w:p>
    <w:p>
      <w:pPr>
        <w:spacing w:after="0" w:line="30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3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have read and accept this employment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177800</wp:posOffset>
            </wp:positionV>
            <wp:extent cx="2375535" cy="660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7553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40"/>
        <w:spacing w:after="0"/>
        <w:tabs>
          <w:tab w:leader="none" w:pos="1020" w:val="left"/>
        </w:tabs>
        <w:rPr>
          <w:sz w:val="20"/>
          <w:szCs w:val="20"/>
          <w:color w:val="auto"/>
        </w:rPr>
      </w:pPr>
      <w:r>
        <w:rPr>
          <w:rFonts w:ascii="Arial" w:cs="Arial" w:eastAsia="Arial" w:hAnsi="Arial"/>
          <w:sz w:val="18"/>
          <w:szCs w:val="18"/>
          <w:color w:val="auto"/>
        </w:rPr>
        <w:t>Dated:</w:t>
        <w:tab/>
        <w:t>October 19, 2010</w:t>
      </w: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Attachment</w:t>
      </w:r>
    </w:p>
    <w:p>
      <w:pPr>
        <w:spacing w:after="0" w:line="9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Exhibit A: Proprietary Information and Inventions Agreement</w:t>
      </w:r>
    </w:p>
    <w:p>
      <w:pPr>
        <w:sectPr>
          <w:pgSz w:w="11900" w:h="16838" w:orient="portrait"/>
          <w:cols w:equalWidth="0" w:num="1">
            <w:col w:w="10860"/>
          </w:cols>
          <w:pgMar w:left="800" w:top="382"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color w:val="auto"/>
        </w:rPr>
        <w:t>ADDENDUM TO OFFER LETTER</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and between RPX Corporation (the “Company”) and David Anderson</w:t>
      </w:r>
    </w:p>
    <w:p>
      <w:pPr>
        <w:spacing w:after="0" w:line="279"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As the Chief Financial Officer of the Company, Mr. Anderson receives an annual base salary of $310,000 with eligibility for a discretionary bonus of up to 60% of base salary under the Company’s 2017 Bonus Plan.</w:t>
      </w:r>
    </w:p>
    <w:p>
      <w:pPr>
        <w:sectPr>
          <w:pgSz w:w="11900" w:h="16838" w:orient="portrait"/>
          <w:cols w:equalWidth="0" w:num="1">
            <w:col w:w="11420"/>
          </w:cols>
          <w:pgMar w:left="240" w:top="868"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E. Roberts, certify that:</w:t>
      </w:r>
    </w:p>
    <w:p>
      <w:pPr>
        <w:spacing w:after="0" w:line="90" w:lineRule="exact"/>
        <w:rPr>
          <w:sz w:val="20"/>
          <w:szCs w:val="20"/>
          <w:color w:val="auto"/>
        </w:rPr>
      </w:pPr>
    </w:p>
    <w:p>
      <w:pPr>
        <w:ind w:left="880" w:hanging="46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J. Anderson, certify that:</w:t>
      </w:r>
    </w:p>
    <w:p>
      <w:pPr>
        <w:spacing w:after="0" w:line="90" w:lineRule="exact"/>
        <w:rPr>
          <w:sz w:val="20"/>
          <w:szCs w:val="20"/>
          <w:color w:val="auto"/>
        </w:rPr>
      </w:pPr>
    </w:p>
    <w:p>
      <w:pPr>
        <w:ind w:left="880" w:hanging="46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880" w:right="80" w:hanging="467"/>
        <w:spacing w:after="0" w:line="264"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80" w:hanging="428"/>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20" w:hanging="428"/>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428"/>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28"/>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40" w:hanging="467"/>
        <w:spacing w:after="0" w:line="334" w:lineRule="auto"/>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28"/>
        <w:spacing w:after="0" w:line="334" w:lineRule="auto"/>
        <w:tabs>
          <w:tab w:leader="none" w:pos="13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28"/>
        <w:spacing w:after="0" w:line="277"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Anderson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June 30, 2017 of RPX Corporation, (the “Company”) as filed with the Securities and Exchange Commission on the date hereof (the “Report”), I, Martin E. Roberts, Chief Executive Officer of the Company, certify, pursuant to 18 U.S.C. Section 1350, as adopted pursuant to Section 906 of the Sarbanes-Oxley Act of 2002, that:</w:t>
      </w:r>
    </w:p>
    <w:p>
      <w:pPr>
        <w:spacing w:after="0" w:line="46" w:lineRule="exact"/>
        <w:rPr>
          <w:sz w:val="20"/>
          <w:szCs w:val="20"/>
          <w:color w:val="auto"/>
        </w:rPr>
      </w:pPr>
    </w:p>
    <w:p>
      <w:pPr>
        <w:ind w:left="880" w:hanging="46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MARTIN 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Martin E. Roberts</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connection with the Quarterly Report on Form 10-Q for the fiscal quarter ended June 30, 2017 of RPX Corporation, (the “Company”) as filed with the Securities and Exchange Commission on the date hereof (the “Report”), I, David J. Anderson, Senior Vice President &amp; Chief Financial Officer of the Company, certify, pursuant to 18 U.S.C. Section 1350, as adopted pursuant to Section 906 of the Sarbanes-Oxley Act of 2002, that:</w:t>
      </w:r>
    </w:p>
    <w:p>
      <w:pPr>
        <w:spacing w:after="0" w:line="30" w:lineRule="exact"/>
        <w:rPr>
          <w:sz w:val="20"/>
          <w:szCs w:val="20"/>
          <w:color w:val="auto"/>
        </w:rPr>
      </w:pPr>
    </w:p>
    <w:p>
      <w:pPr>
        <w:ind w:left="880" w:hanging="46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80" w:hanging="467"/>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3, 2017</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DAVID J.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David J. Anderson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&amp;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x"/>
      <w:numFmt w:val="bullet"/>
      <w:start w:val="1"/>
    </w:lvl>
  </w:abstractNum>
  <w:abstractNum w:abstractNumId="2">
    <w:nsid w:val="436C6125"/>
    <w:multiLevelType w:val="hybridMultilevel"/>
    <w:lvl w:ilvl="0">
      <w:lvlJc w:val="left"/>
      <w:lvlText w:val="o"/>
      <w:numFmt w:val="bullet"/>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1."/>
      <w:numFmt w:val="decimal"/>
      <w:start w:val="4"/>
    </w:lvl>
  </w:abstractNum>
  <w:abstractNum w:abstractNumId="7">
    <w:nsid w:val="2D1D5AE9"/>
    <w:multiLevelType w:val="hybridMultilevel"/>
    <w:lvl w:ilvl="0">
      <w:lvlJc w:val="left"/>
      <w:lvlText w:val="%1."/>
      <w:numFmt w:val="decimal"/>
      <w:start w:val="5"/>
    </w:lvl>
  </w:abstractNum>
  <w:abstractNum w:abstractNumId="8">
    <w:nsid w:val="6763845E"/>
    <w:multiLevelType w:val="hybridMultilevel"/>
    <w:lvl w:ilvl="0">
      <w:lvlJc w:val="left"/>
      <w:lvlText w:val="%1."/>
      <w:numFmt w:val="decimal"/>
      <w:start w:val="6"/>
    </w:lvl>
  </w:abstractNum>
  <w:abstractNum w:abstractNumId="9">
    <w:nsid w:val="75A2A8D4"/>
    <w:multiLevelType w:val="hybridMultilevel"/>
    <w:lvl w:ilvl="0">
      <w:lvlJc w:val="left"/>
      <w:lvlText w:val="%1."/>
      <w:numFmt w:val="decimal"/>
      <w:start w:val="7"/>
    </w:lvl>
  </w:abstractNum>
  <w:abstractNum w:abstractNumId="10">
    <w:nsid w:val="8EDBDAB"/>
    <w:multiLevelType w:val="hybridMultilevel"/>
    <w:lvl w:ilvl="0">
      <w:lvlJc w:val="left"/>
      <w:lvlText w:val="%1."/>
      <w:numFmt w:val="decimal"/>
      <w:start w:val="9"/>
    </w:lvl>
  </w:abstractNum>
  <w:abstractNum w:abstractNumId="11">
    <w:nsid w:val="79838CB2"/>
    <w:multiLevelType w:val="hybridMultilevel"/>
    <w:lvl w:ilvl="0">
      <w:lvlJc w:val="left"/>
      <w:lvlText w:val="%1."/>
      <w:numFmt w:val="decimal"/>
      <w:start w:val="10"/>
    </w:lvl>
  </w:abstractNum>
  <w:abstractNum w:abstractNumId="12">
    <w:nsid w:val="4353D0CD"/>
    <w:multiLevelType w:val="hybridMultilevel"/>
    <w:lvl w:ilvl="0">
      <w:lvlJc w:val="left"/>
      <w:lvlText w:val="%1."/>
      <w:numFmt w:val="decimal"/>
      <w:start w:val="11"/>
    </w:lvl>
  </w:abstractNum>
  <w:abstractNum w:abstractNumId="13">
    <w:nsid w:val="B03E0C6"/>
    <w:multiLevelType w:val="hybridMultilevel"/>
    <w:lvl w:ilvl="0">
      <w:lvlJc w:val="left"/>
      <w:lvlText w:val="%1."/>
      <w:numFmt w:val="decimal"/>
      <w:start w:val="12"/>
    </w:lvl>
  </w:abstractNum>
  <w:abstractNum w:abstractNumId="14">
    <w:nsid w:val="189A769B"/>
    <w:multiLevelType w:val="hybridMultilevel"/>
    <w:lvl w:ilvl="0">
      <w:lvlJc w:val="left"/>
      <w:lvlText w:val="%1."/>
      <w:numFmt w:val="decimal"/>
      <w:start w:val="13"/>
    </w:lvl>
  </w:abstractNum>
  <w:abstractNum w:abstractNumId="15">
    <w:nsid w:val="54E49EB4"/>
    <w:multiLevelType w:val="hybridMultilevel"/>
    <w:lvl w:ilvl="0">
      <w:lvlJc w:val="left"/>
      <w:lvlText w:val="%1."/>
      <w:numFmt w:val="decimal"/>
      <w:start w:val="14"/>
    </w:lvl>
  </w:abstractNum>
  <w:abstractNum w:abstractNumId="16">
    <w:nsid w:val="71F32454"/>
    <w:multiLevelType w:val="hybridMultilevel"/>
    <w:lvl w:ilvl="0">
      <w:lvlJc w:val="left"/>
      <w:lvlText w:val="%1."/>
      <w:numFmt w:val="decimal"/>
      <w:start w:val="15"/>
    </w:lvl>
  </w:abstractNum>
  <w:abstractNum w:abstractNumId="17">
    <w:nsid w:val="2CA88611"/>
    <w:multiLevelType w:val="hybridMultilevel"/>
    <w:lvl w:ilvl="0">
      <w:lvlJc w:val="left"/>
      <w:lvlText w:val="%1."/>
      <w:numFmt w:val="decimal"/>
      <w:start w:val="16"/>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28">
    <w:nsid w:val="3006C83E"/>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1"/>
    </w:lvl>
  </w:abstractNum>
  <w:abstractNum w:abstractNumId="29">
    <w:nsid w:val="614FD4A1"/>
    <w:multiLevelType w:val="hybridMultilevel"/>
    <w:lvl w:ilvl="0">
      <w:lvlJc w:val="left"/>
      <w:lvlText w:val="%1."/>
      <w:numFmt w:val="decimal"/>
      <w:start w:val="2"/>
    </w:lvl>
  </w:abstractNum>
  <w:abstractNum w:abstractNumId="30">
    <w:nsid w:val="419AC241"/>
    <w:multiLevelType w:val="hybridMultilevel"/>
    <w:lvl w:ilvl="0">
      <w:lvlJc w:val="left"/>
      <w:lvlText w:val="%1."/>
      <w:numFmt w:val="upperLetter"/>
      <w:start w:val="3"/>
    </w:lvl>
    <w:lvl w:ilvl="1">
      <w:lvlJc w:val="left"/>
      <w:lvlText w:val="%2."/>
      <w:numFmt w:val="decimal"/>
      <w:start w:val="1"/>
    </w:lvl>
  </w:abstractNum>
  <w:abstractNum w:abstractNumId="31">
    <w:nsid w:val="5577F8E1"/>
    <w:multiLevelType w:val="hybridMultilevel"/>
    <w:lvl w:ilvl="0">
      <w:lvlJc w:val="left"/>
      <w:lvlText w:val="%1."/>
      <w:numFmt w:val="lowerLetter"/>
      <w:start w:val="12"/>
    </w:lvl>
  </w:abstractNum>
  <w:abstractNum w:abstractNumId="32">
    <w:nsid w:val="440BADFC"/>
    <w:multiLevelType w:val="hybridMultilevel"/>
    <w:lvl w:ilvl="0">
      <w:lvlJc w:val="left"/>
      <w:lvlText w:val="%1."/>
      <w:numFmt w:val="decimal"/>
      <w:start w:val="2"/>
    </w:lvl>
  </w:abstractNum>
  <w:abstractNum w:abstractNumId="33">
    <w:nsid w:val="5072367"/>
    <w:multiLevelType w:val="hybridMultilevel"/>
    <w:lvl w:ilvl="0">
      <w:lvlJc w:val="left"/>
      <w:lvlText w:val="%1."/>
      <w:numFmt w:val="decimal"/>
      <w:start w:val="8"/>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4" Type="http://schemas.openxmlformats.org/officeDocument/2006/relationships/hyperlink" Target="http://www.sec.gov/Archives/edgar/data/1509432/000119312511012087/ds1.htm" TargetMode="External"/><Relationship Id="rId15" Type="http://schemas.openxmlformats.org/officeDocument/2006/relationships/hyperlink" Target="http://www.sec.gov/Archives/edgar/data/1509432/000119312511101007/ds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2019-12-29T05:14:17Z</dcterms:created>
  <dcterms:modified xsi:type="dcterms:W3CDTF">2019-12-29T05:14:17Z</dcterms:modified>
</cp:coreProperties>
</file>