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80"/>
          </w:cols>
          <w:pgMar w:left="240" w:top="233" w:right="27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8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80"/>
          </w:cols>
          <w:pgMar w:left="240" w:top="233" w:right="2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3" w:lineRule="exact"/>
        <w:rPr>
          <w:sz w:val="24"/>
          <w:szCs w:val="24"/>
          <w:color w:val="auto"/>
        </w:rPr>
      </w:pPr>
    </w:p>
    <w:p>
      <w:pPr>
        <w:sectPr>
          <w:pgSz w:w="11900" w:h="16838" w:orient="portrait"/>
          <w:cols w:equalWidth="0" w:num="4">
            <w:col w:w="2080" w:space="720"/>
            <w:col w:w="3600" w:space="720"/>
            <w:col w:w="3260" w:space="720"/>
            <w:col w:w="280"/>
          </w:cols>
          <w:pgMar w:left="240" w:top="233"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2080" w:space="720"/>
            <w:col w:w="140" w:space="40"/>
            <w:col w:w="3420" w:space="720"/>
            <w:col w:w="3260" w:space="720"/>
            <w:col w:w="280"/>
          </w:cols>
          <w:pgMar w:left="240" w:top="233" w:right="279" w:bottom="1440" w:gutter="0" w:footer="0" w:header="0"/>
          <w:type w:val="continuous"/>
        </w:sect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59" w:lineRule="exact"/>
        <w:rPr>
          <w:sz w:val="24"/>
          <w:szCs w:val="24"/>
          <w:color w:val="auto"/>
        </w:rPr>
      </w:pPr>
    </w:p>
    <w:p>
      <w:pPr>
        <w:sectPr>
          <w:pgSz w:w="11900" w:h="16838" w:orient="portrait"/>
          <w:cols w:equalWidth="0" w:num="2">
            <w:col w:w="806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54,386,672 shares of the registrant’s common stock issued and outstanding as of October 29, 2015.</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Nine Months Ended September 30, 2015 and 2014 (unaudited)</w:t>
              </w:r>
            </w:hyperlink>
          </w:p>
        </w:tc>
        <w:tc>
          <w:tcPr>
            <w:tcW w:w="1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for the Three and Nine Months Ended September 30, 2015 and 2014</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100" w:type="dxa"/>
            <w:vAlign w:val="bottom"/>
          </w:tcPr>
          <w:p>
            <w:pPr>
              <w:spacing w:after="0"/>
              <w:rPr>
                <w:sz w:val="17"/>
                <w:szCs w:val="17"/>
                <w:color w:val="auto"/>
              </w:rPr>
            </w:pPr>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2015 and 2014 (unaudited)</w:t>
              </w:r>
            </w:hyperlink>
          </w:p>
        </w:tc>
        <w:tc>
          <w:tcPr>
            <w:tcW w:w="86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7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rPr>
              <w:t>PART I. FINANCIAL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7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5"/>
              </w:rPr>
              <w:t>RPX Corporation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7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7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7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1"/>
              </w:rPr>
              <w:t>(unaudited)</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263,453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239,514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24,793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350,776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242,178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236,349</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669,228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642,064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gridSpan w:val="3"/>
            <w:vMerge w:val="continue"/>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4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112,087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133,316</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payment obligations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148,448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157,019</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10)</w:t>
            </w:r>
          </w:p>
        </w:tc>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326,280</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183,396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158,868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524,158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485,045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669,228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642,064</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90,906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48,035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33,895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54,800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55,703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55,029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55,547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7,834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Unrealized holding losses on available-for-sale securities arising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during the period, net of tax</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7,765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29,992</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80" w:type="dxa"/>
            <w:vAlign w:val="bottom"/>
            <w:gridSpan w:val="4"/>
          </w:tcPr>
          <w:p>
            <w:pPr>
              <w:jc w:val="right"/>
              <w:ind w:right="175"/>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31"/>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33,895</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30,092</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107,026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89,700</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13,353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(2,394)</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sale of patent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(707)</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4,838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5,031</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(1,797)</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Fair value adjustments on deferred payment obligations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17,227</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(9,790)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(8,833)</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1,507</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(25,023)</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138,532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117,920</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(205,393)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(176,209)</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146,225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(2,286)</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Decrease in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property and equipment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(1,084)</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Acquisitions of patent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(103,958)</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sale of patent assets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1,086</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 of 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(110,331)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(136,159)</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Repayments of principal on deferred payment obligations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 and other common stock issuances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4,646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2,864</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(3,848)</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1,404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2,394</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Repurchase of 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(used in) provided by financing activities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1,410</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(16,829)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78,019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100,155</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104,568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83,326</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patent assets purchased and accrued but not paid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11,700</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 in fixed assets purchased and accrued but not paid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other assets purchased and accrued but not paid</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Unpaid cash consideration for business 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Nonmonetary exchange for investments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9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96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occasionally enters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a portion of the underwriting risk on insurance policies that the Company issues on behalf of a Lloyd’s of London underwriting syndicate. The Company began placing new policies under the reinsurance model in May 2014. As of, and for the nine months ended September 30, 2015, the effect of the insurance policies that the Company has issued or assumed through its reinsurance business was not material to the Company’s results of operations, financial condition or cash flows.</w:t>
      </w:r>
    </w:p>
    <w:p>
      <w:pPr>
        <w:spacing w:after="0" w:line="15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The accompanying condensed consolidated balance sheet as of September 30, 2015, the condensed consolidated statements of operations and the condensed consolidated statements of comprehensive income for the three and nine months ended September 30, 2015 and 2014 and the condensed consolidated statements of cash flows for the nine months ended September 30, 2015 and 2014, are unaudited. The condensed consolidated balance sheet as of December 31, 2014 was derived from the audited consolidated financial statements which are included in the Company’s Form 10-K for the fiscal year ended December 31, 2014, which was filed with the U.S. Securities and Exchange Commission (“SEC”) on March 2, 2015. The unaudited condensed consolidated financial statements should be read in conjunction with the audited financial statements and accompanying notes included in the Company’s Annual Report on Form 10-K for the year ended December 31, 2014.</w:t>
      </w:r>
    </w:p>
    <w:p>
      <w:pPr>
        <w:spacing w:after="0" w:line="17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and nine months ended September 30, 2015 are not necessarily indicative of the results that may be expected for any subsequent interim period or for the year ending December 31, 2015.</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 xml:space="preserve">In September 2015, the Financial Accounting Standards Board ("FASB") issued ASU 2015-16, </w:t>
      </w:r>
      <w:r>
        <w:rPr>
          <w:rFonts w:ascii="Arial" w:cs="Arial" w:eastAsia="Arial" w:hAnsi="Arial"/>
          <w:sz w:val="18"/>
          <w:szCs w:val="18"/>
          <w:i w:val="1"/>
          <w:iCs w:val="1"/>
          <w:color w:val="auto"/>
        </w:rPr>
        <w:t>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Adjustments </w:t>
      </w:r>
      <w:r>
        <w:rPr>
          <w:rFonts w:ascii="Arial" w:cs="Arial" w:eastAsia="Arial" w:hAnsi="Arial"/>
          <w:sz w:val="18"/>
          <w:szCs w:val="18"/>
          <w:color w:val="auto"/>
        </w:rPr>
        <w:t>guidance to simplify the accounting for adjustments made during the measurement period to provisional amounts recognized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This guidance is effective for fiscal years and interim periods beginning after December 15, 2015, and requires prospective application. Early adoption is permitted. The Company expects to adopt this guidance when effective, and does not expect this guidance to have a significant impact on its consolidated financial statements.</w:t>
      </w:r>
    </w:p>
    <w:p>
      <w:pPr>
        <w:spacing w:after="0" w:line="25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2017 and early adoption is permitted for annual and interim periods beginning after December 15, 2016. The Company is currently evaluating the impact of the adoption of ASU 2014-09 on its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There have been no material changes to the Company’s significant accounting policies during the nine months ended September 30, 2015,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March 2, 2015.</w:t>
      </w:r>
    </w:p>
    <w:p>
      <w:pPr>
        <w:spacing w:after="0" w:line="12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unused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200" w:type="dxa"/>
            <w:vAlign w:val="bottom"/>
          </w:tcPr>
          <w:p>
            <w:pPr>
              <w:spacing w:after="0"/>
              <w:rPr>
                <w:sz w:val="19"/>
                <w:szCs w:val="19"/>
                <w:color w:val="auto"/>
              </w:rPr>
            </w:pPr>
          </w:p>
        </w:tc>
        <w:tc>
          <w:tcPr>
            <w:tcW w:w="1300" w:type="dxa"/>
            <w:vAlign w:val="bottom"/>
            <w:vMerge w:val="restart"/>
          </w:tcPr>
          <w:p>
            <w:pPr>
              <w:jc w:val="right"/>
              <w:ind w:right="32"/>
              <w:spacing w:after="0"/>
              <w:rPr>
                <w:sz w:val="20"/>
                <w:szCs w:val="20"/>
                <w:color w:val="auto"/>
              </w:rPr>
            </w:pPr>
            <w:r>
              <w:rPr>
                <w:rFonts w:ascii="Arial" w:cs="Arial" w:eastAsia="Arial" w:hAnsi="Arial"/>
                <w:sz w:val="18"/>
                <w:szCs w:val="18"/>
                <w:color w:val="auto"/>
              </w:rPr>
              <w:t>54,800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53,773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54,491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53,263</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54,800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54,491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53,263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Dilutive effect of stock options and restricted stock units using the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treasury-stock method</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9"/>
        </w:trPr>
        <w:tc>
          <w:tcPr>
            <w:tcW w:w="5160" w:type="dxa"/>
            <w:vAlign w:val="bottom"/>
          </w:tcPr>
          <w:p>
            <w:pPr>
              <w:ind w:left="280"/>
              <w:spacing w:after="0"/>
              <w:rPr>
                <w:sz w:val="20"/>
                <w:szCs w:val="20"/>
                <w:color w:val="auto"/>
              </w:rPr>
            </w:pPr>
            <w:r>
              <w:rPr>
                <w:rFonts w:ascii="Arial" w:cs="Arial" w:eastAsia="Arial" w:hAnsi="Arial"/>
                <w:sz w:val="18"/>
                <w:szCs w:val="18"/>
                <w:color w:val="auto"/>
                <w:w w:val="90"/>
              </w:rPr>
              <w:t>Weighted-average shares used in computing diluted net income per</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55,703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55,029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55,547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30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749</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851"/>
        </w:trPr>
        <w:tc>
          <w:tcPr>
            <w:tcW w:w="6160" w:type="dxa"/>
            <w:vAlign w:val="bottom"/>
            <w:gridSpan w:val="2"/>
          </w:tcPr>
          <w:p>
            <w:pPr>
              <w:jc w:val="right"/>
              <w:ind w:right="319"/>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0"/>
              </w:rPr>
              <w:t>September 30, 2015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100" w:type="dxa"/>
            <w:vAlign w:val="bottom"/>
            <w:gridSpan w:val="5"/>
          </w:tcPr>
          <w:p>
            <w:pPr>
              <w:ind w:left="5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20"/>
                <w:szCs w:val="20"/>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40,196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40,196</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12,237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27,959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128,722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128,776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128,776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49,892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49,892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280"/>
              <w:spacing w:after="0"/>
              <w:rPr>
                <w:sz w:val="20"/>
                <w:szCs w:val="20"/>
                <w:color w:val="auto"/>
              </w:rPr>
            </w:pPr>
            <w:r>
              <w:rPr>
                <w:rFonts w:ascii="Arial" w:cs="Arial" w:eastAsia="Arial" w:hAnsi="Arial"/>
                <w:sz w:val="16"/>
                <w:szCs w:val="16"/>
                <w:color w:val="auto"/>
              </w:rPr>
              <w:t>Deferred payment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4,355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1"/>
              </w:rPr>
              <w:t>December 31, 2014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100" w:type="dxa"/>
            <w:vAlign w:val="bottom"/>
            <w:gridSpan w:val="5"/>
          </w:tcPr>
          <w:p>
            <w:pPr>
              <w:ind w:left="5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20"/>
                <w:szCs w:val="20"/>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48,095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48,062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48,062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239,514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Company's financial assets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other income, net in the Company’s condensed consolidated statements of operations and have not been material for all periods presented.</w:t>
      </w:r>
    </w:p>
    <w:p>
      <w:pPr>
        <w:spacing w:after="0" w:line="18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As of September 30, 2015 and December 31, 2014, approximately 81% and 76%, respectively, of our marketable security investments mature within one year and 19% and 24%, respectively, mature within one to five years. As of September 30, 2015, no individual securities incurred continuous unrealized losses for greater than 12 months.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color w:val="auto"/>
        </w:rPr>
        <w:t>As of September 30, 2015 and December 31, 2014, the Company had short-term cost method investments of $3.7 million and nil, respectively. As of September 30, 2015 and December 31, 2014, the Company had short-term investments classified as held-to-maturity of $5.0 million and nil, respectively. Cost method and held-to-maturity investments are recorded at amortized cost in short-term investments in the Company's condensed consolidated balance sheets.</w:t>
      </w:r>
    </w:p>
    <w:p>
      <w:pPr>
        <w:spacing w:after="0" w:line="187" w:lineRule="exact"/>
        <w:rPr>
          <w:sz w:val="20"/>
          <w:szCs w:val="20"/>
          <w:color w:val="auto"/>
        </w:rPr>
      </w:pPr>
    </w:p>
    <w:p>
      <w:pPr>
        <w:ind w:right="180" w:firstLine="446"/>
        <w:spacing w:after="0" w:line="342" w:lineRule="auto"/>
        <w:rPr>
          <w:sz w:val="20"/>
          <w:szCs w:val="20"/>
          <w:color w:val="auto"/>
        </w:rPr>
      </w:pPr>
      <w:r>
        <w:rPr>
          <w:rFonts w:ascii="Arial" w:cs="Arial" w:eastAsia="Arial" w:hAnsi="Arial"/>
          <w:sz w:val="16"/>
          <w:szCs w:val="16"/>
          <w:color w:val="auto"/>
        </w:rPr>
        <w:t>In connection with the Rockstar Transaction (see Note 10, "Commitments and Contingencies"), the Company received funding of $6.3 million from a syndicate participant. At September 30, 2015, the fair value of the loan from the syndicate participant was $3.0 million and was categorized as Level 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jc w:val="both"/>
        <w:ind w:right="340" w:firstLine="446"/>
        <w:spacing w:after="0" w:line="264" w:lineRule="auto"/>
        <w:rPr>
          <w:sz w:val="20"/>
          <w:szCs w:val="20"/>
          <w:color w:val="auto"/>
        </w:rPr>
      </w:pPr>
      <w:r>
        <w:rPr>
          <w:rFonts w:ascii="Arial" w:cs="Arial" w:eastAsia="Arial" w:hAnsi="Arial"/>
          <w:sz w:val="18"/>
          <w:szCs w:val="18"/>
          <w:color w:val="auto"/>
        </w:rPr>
        <w:t>Level 3 financial liabilities consist of repayment obligations to a third party for which determination of fair value requires significant judgment and estimation. Changes in fair value measurement categorized within Level 3 of the fair value hierarchy are analyzed each period for changes in estimates or assumptions and recorded as the Company deems appropriate.</w:t>
      </w:r>
    </w:p>
    <w:p>
      <w:pPr>
        <w:spacing w:after="0" w:line="181"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Company uses the Black-Scholes option valuation model to value these deferred payment obligations at inception and subsequent valuation dates. This model incorporates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is determined by the estimated settlement date of the liability. Changes in the fair value are recorded in other income, net in the Company's condensed consolidated statements of operations. As of September 30, 2015, there were no transfers in or out of Level 3 from other levels of the fair value hierarchy.</w:t>
      </w:r>
    </w:p>
    <w:p>
      <w:pPr>
        <w:spacing w:after="0" w:line="14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665,290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775,441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(533,263)</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236,349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242,178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September 30, 2015, the estimated economic useful lives of the Company’s patent assets generally ranged from 24 to 60 months. As of September 30, 2015, the weighted-average estimated economic useful life at the time of acquisition of all patents acquired since the Company’s inception was 44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w w:val="98"/>
              </w:rPr>
              <w:t>As of September 30, 2015,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36,271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119,252</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62,886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16,457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444</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242,178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Amortization expense was $36.2 million and $29.5 million for the three months ended September 30, 2015 and 2014, respectively, and $104.4 million and $87.2 million for the nine months ended September 30, 2015 and 2014, respectively.</w:t>
      </w:r>
    </w:p>
    <w:p>
      <w:pPr>
        <w:spacing w:after="0" w:line="170"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On December 22, 2014, the Company and RPX Clearinghouse LLC (a wholly-owned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patent assets owned or controlled by the Sellers (the “Rockstar Transaction”), as well as other ancillary agreements, including but not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limited to an Escrow Agreement by and among the Sellers, Citibank, N.A., acting as escrow agent, RPX Clearinghouse LLC and the Company (the “Escrow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Upon the closing of the Rockstar Transaction, syndicate participants received non-exclusive licenses to the patent assets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Rockstar Transaction, and RPX Clearinghouse made the patent assets available for license to all other interested companies under fair, reasonable, and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discriminatory terms. On December 26, 2014, upon the execution of the Escrow Agreement and the Agreement, RPX Clearinghouse LLC paid the Sellers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a non-refundable deposit. The third-party funding commitments, as described below, were derived pursuant with the Escrow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remaining closing conditions under the Asset Purchase Agreement were met on January 28, 2015 on which date the Rockstar Transaction was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consummated and the Sellers received an additional payment of $875.0 million from escrow.</w:t>
      </w:r>
    </w:p>
    <w:p>
      <w:pPr>
        <w:spacing w:after="0" w:line="2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RPX Clearinghouse LLC received funding commitments for the Rockstar Transaction from a syndicate of more than 30 companies. The Company evaluated the contributions from syndicate members to determine whether they should be recorded on a gross or net basis. As a result, the Company accounted for these third-party funding commitments on a net basis as it acted as an agent to acquire patent rights from the Sellers on behalf of the syndicate who paid for such rights separately from a subscription agreement. The Company contributed approximately $29.0 million which was recorded as a patent asset upon closing of the Rockstar Transaction and is amortized over its estimated economic useful life of 60 months.</w:t>
      </w:r>
    </w:p>
    <w:p>
      <w:pPr>
        <w:spacing w:after="0" w:line="12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5,358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1,221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(5,212)</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Depreciation and amortization expense was $0.4 million and $0.5 million for the three months ended September 30, 2015 and 2014, respectively, and $1.3 million and $1.5 million for the nine months ended September 30, 2015 and 2014, respectively. Stock-based compensation capitalized as part of the cost of internal-use software was $0.1 million and nil for the three months ended September 30, 2015 and 2014, respectively, and $0.1 million for each nine month period ended September 30, 2015 and 2014.</w:t>
      </w:r>
    </w:p>
    <w:p>
      <w:pPr>
        <w:spacing w:after="0" w:line="14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2014</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6"/>
                <w:szCs w:val="16"/>
                <w:b w:val="1"/>
                <w:bCs w:val="1"/>
                <w:color w:val="auto"/>
                <w:w w:val="97"/>
              </w:rPr>
              <w:t>Net Carrying</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1,562</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80"/>
        </w:trPr>
        <w:tc>
          <w:tcPr>
            <w:tcW w:w="9920" w:type="dxa"/>
            <w:vAlign w:val="bottom"/>
            <w:gridSpan w:val="2"/>
          </w:tcPr>
          <w:p>
            <w:pPr>
              <w:ind w:left="460"/>
              <w:spacing w:after="0"/>
              <w:rPr>
                <w:sz w:val="20"/>
                <w:szCs w:val="20"/>
                <w:color w:val="auto"/>
              </w:rPr>
            </w:pPr>
            <w:r>
              <w:rPr>
                <w:rFonts w:ascii="Arial" w:cs="Arial" w:eastAsia="Arial" w:hAnsi="Arial"/>
                <w:sz w:val="18"/>
                <w:szCs w:val="18"/>
                <w:color w:val="auto"/>
                <w:w w:val="98"/>
              </w:rPr>
              <w:t>As of September 30, 2015, the Company expects amortization expense in future periods to be as follows (in thousands):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1,288</w:t>
            </w:r>
          </w:p>
        </w:tc>
      </w:tr>
      <w:tr>
        <w:trPr>
          <w:trHeight w:val="27"/>
        </w:trPr>
        <w:tc>
          <w:tcPr>
            <w:tcW w:w="12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r>
      <w:tr>
        <w:trPr>
          <w:trHeight w:val="257"/>
        </w:trPr>
        <w:tc>
          <w:tcPr>
            <w:tcW w:w="9920" w:type="dxa"/>
            <w:vAlign w:val="bottom"/>
            <w:gridSpan w:val="2"/>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2,232</w:t>
            </w:r>
          </w:p>
        </w:tc>
      </w:tr>
      <w:tr>
        <w:trPr>
          <w:trHeight w:val="20"/>
        </w:trPr>
        <w:tc>
          <w:tcPr>
            <w:tcW w:w="12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Amortization expense was $0.4 million and $0.5 million for the three months ended September 30, 2015 and 2014, respectively, and $1.3 million and $1.1 million for the nine months ended September 30, 2015 and 2014, respectively.</w:t>
      </w:r>
    </w:p>
    <w:p>
      <w:pPr>
        <w:spacing w:after="0" w:line="12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 xml:space="preserve">The Company reviews goodwill for impairment at least annually on September 30 or more frequently if events or changes in circumstances indicate that the carrying value of goodwill may not be recoverable. The Company performed the two-step goodwill impairment test for its single reporting unit under ASU No. 2011-08, </w:t>
      </w:r>
      <w:r>
        <w:rPr>
          <w:rFonts w:ascii="Arial" w:cs="Arial" w:eastAsia="Arial" w:hAnsi="Arial"/>
          <w:sz w:val="16"/>
          <w:szCs w:val="16"/>
          <w:i w:val="1"/>
          <w:iCs w:val="1"/>
          <w:color w:val="auto"/>
        </w:rPr>
        <w:t>Goodwill and Other (Topic 350): Testing Goodwill for Impairment,</w:t>
      </w:r>
      <w:r>
        <w:rPr>
          <w:rFonts w:ascii="Arial" w:cs="Arial" w:eastAsia="Arial" w:hAnsi="Arial"/>
          <w:sz w:val="16"/>
          <w:szCs w:val="16"/>
          <w:color w:val="auto"/>
        </w:rPr>
        <w:t xml:space="preserve"> issued by the FASB. The first step, identifying a potential impairment, compares the fair value of the reporting unit with its carrying amount. If the carrying amount exceeds its fair value, the second step will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 As of September 30, 2015, the date of the Company's 2015 assessment, no impairment of goodwill has been identified.</w:t>
      </w:r>
    </w:p>
    <w:p>
      <w:pPr>
        <w:spacing w:after="0" w:line="12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4,987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14,257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97" w:lineRule="auto"/>
        <w:tabs>
          <w:tab w:leader="none" w:pos="5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The Company generally does not enter into long-term minimum purchase commitments. Its principal long-term commitments consist of obligations under operating leases for office space. There were no substantial changes to the Company’s contractual obligations or commitments during the nine months ended September 30, 2015 as compared to those presented under the heading “Commitments and Contingencies” in Note 12 of the Notes to Consolidated Financial Statements in Part II, Item 8 of the Company’s Annual Report on Form 10-K filed with the SEC on March 2, 2015.</w:t>
      </w:r>
    </w:p>
    <w:p>
      <w:pPr>
        <w:spacing w:after="0" w:line="154"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Rent expense related to non-cancelable operating leases was $0.9 million for each three month period ended September 30, 2015 and 2014, net of sublease income of $0.2 million each period. Rent expense related to non-cancelable operating leases was $2.6 million and $2.7 million for the nine months ended September 30, 2015 and 2014, respectively, net of sublease income of $0.5 million and $0.4 million,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23" w:lineRule="exact"/>
        <w:rPr>
          <w:sz w:val="20"/>
          <w:szCs w:val="20"/>
          <w:color w:val="auto"/>
        </w:rPr>
      </w:pPr>
    </w:p>
    <w:p>
      <w:pPr>
        <w:ind w:right="140" w:firstLine="486"/>
        <w:spacing w:after="0" w:line="295" w:lineRule="auto"/>
        <w:rPr>
          <w:sz w:val="20"/>
          <w:szCs w:val="20"/>
          <w:color w:val="auto"/>
        </w:rPr>
      </w:pPr>
      <w:r>
        <w:rPr>
          <w:rFonts w:ascii="Arial" w:cs="Arial" w:eastAsia="Arial" w:hAnsi="Arial"/>
          <w:sz w:val="16"/>
          <w:szCs w:val="16"/>
          <w:color w:val="auto"/>
        </w:rPr>
        <w:t>In connection with the Rockstar Transaction (see Note 5, "Patent Assets, Net"), the Company acquired certain common stock, convertible preferred stock, and redeemable convertible preferred stock investments held by the Sellers. To fund the acquisition of these securities, the Company received funding of $6.3 million from a syndicate participant and seller financing of $5.9 million. These balances were considered loans in the Company's condensed consolidated balance sheets and were recorded as deferred payment obligations under current liabilities as they are expected to be repaid within 12 months.</w:t>
      </w:r>
    </w:p>
    <w:p>
      <w:pPr>
        <w:spacing w:after="0" w:line="1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loan received from the syndicate participant bears no interest. The terms of the obligation require repayment up to the $6.3 million received only to the extent proceeds are received from the sale of the common and convertible preferred stock securities, which resulted in a difference between the funding received and the fair value of the loan. The Company elected to carry this loan at fair value and has categorized it as a Level 3 instrument due to the significance of unobservable inputs developed using company-specific information to estimate the loan’s fair value. Changes in fair value are reported in other income, net in the Company's condensed consolidated statements of operations. During the nine months ended September 30, 2015, the fair value of this loan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decreased from $4.4 million to $3.0 million, resulting in a gain of $1.4 million recognized in other income, net in the condensed consolidated statements of operations.</w:t>
      </w:r>
    </w:p>
    <w:p>
      <w:pPr>
        <w:spacing w:after="0" w:line="170"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loan received from the Sellers is carried at cost, bears no interest, and is repayable upon redemption or conversion of the redeemable convertible preferred stock. During the nine months ended September 30, 2015, the Company repaid $0.9 million of the seller financing. At September 30, 2015, the loan was recorded at $5.0 million.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September 30, 2015 or December 31, 2014.</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subsequently continued the stay until July 2015. The stay expired on July 31, 2015 and on October 19, 2015, the Court set a tentative trial date of January 6, 2017. We are not currently able to determine whether there is a reasonable possibility that a loss has been incurred, nor can we estimate the potential loss or range of the potential loss that may result from this litigation.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September 30, 2015 or December 31, 2014.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by NPEs. As of September 30, 2015, the Company had a total of 77 active policies and had recorded a reserve of $0.6 million for known and incurred but not reported claims that represents estimated claim costs and related expenses.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regularly reviews its loss reserves using a variety of actuarial techniques and updates them as its loss experience develops.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Arial" w:cs="Arial" w:eastAsia="Arial" w:hAnsi="Arial"/>
                <w:sz w:val="16"/>
                <w:szCs w:val="16"/>
                <w:b w:val="1"/>
                <w:bCs w:val="1"/>
                <w:color w:val="auto"/>
              </w:rPr>
              <w:t>Options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Shares Available</w:t>
            </w: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Aggregate</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for Grant</w:t>
            </w: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Exercise Price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2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2014</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16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withheld related to net-share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 of restricted stock units</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 September 30, 2015</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9,001</w:t>
            </w:r>
          </w:p>
        </w:tc>
      </w:tr>
      <w:tr>
        <w:trPr>
          <w:trHeight w:val="25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 September 30, 2015</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7,163</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8"/>
                <w:szCs w:val="18"/>
                <w:color w:val="auto"/>
              </w:rPr>
              <w:t>Vested and expected to vest - September 30, 2015</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8,865</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March 2015, the Company reserved an additional 1,000,000 shares of its common stock for future issuance under the 2011 Plan.</w:t>
      </w:r>
    </w:p>
    <w:p>
      <w:pPr>
        <w:spacing w:after="0" w:line="14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aggregate intrinsic value of stock options exercised during the three months ended September 30, 2015 and 2014 was $0.6 million and $1.1 million, respectively, and $6.4 million for stock options exercised during each of the nine month periods ended September 30, 2015 and 2014. The total grant date fair value of stock options vested during the three months ended September 30, 2015 and 2014 was $0.8 million and $1.4 million, respectively, and $2.6 million and $4.9 million for stock options vested during the nine months ended September 30, 2015 and 2014, respectively.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summary of RSU activity, which includes performance-based restricted stock units (“PBRSUs”), is as follows (in thousands, except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2014</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September 30, 2015</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37,724</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486"/>
        <w:spacing w:after="0" w:line="342" w:lineRule="auto"/>
        <w:rPr>
          <w:sz w:val="20"/>
          <w:szCs w:val="20"/>
          <w:color w:val="auto"/>
        </w:rPr>
      </w:pPr>
      <w:r>
        <w:rPr>
          <w:rFonts w:ascii="Arial" w:cs="Arial" w:eastAsia="Arial" w:hAnsi="Arial"/>
          <w:sz w:val="16"/>
          <w:szCs w:val="16"/>
          <w:color w:val="auto"/>
        </w:rPr>
        <w:t>The total grant date fair value of RSUs vested during the three months ended September 30, 2015 and 2014 was $3.7 million and $3.0 million, respectively, and $10.8 million and $11.0 million for RSUs vested during the nine months ended September 30, 2015 and 2014, respectively.</w:t>
      </w:r>
    </w:p>
    <w:p>
      <w:pPr>
        <w:spacing w:after="0" w:line="12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nine months ended September 30, 2015, the Company withheld issuing 249,801 shares of its common stock based on the value of the RSUs on their vesting dates as determined by the Company’s closing common stock price. Total payments to taxing authorities for employees’ minimum tax obligations were $3.7 million for the nine months ended September 30, 2015,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PBRSUs granted during the nine months ended September 30, 2015 contain both service and performance conditions that affect the quantity of awards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will vest. PBRSU's granted during the nine months ended September 30, 2014 contain both service and market conditions that affect the quantity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awards that will vest. During each three month period ended September 30, 2015 and 2014, the Company granted nil PBRSUs.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and 2014, the Company granted 54,375 and 200,000 PBRSUs, respectively. The Company estimates the grant date fair value of PBRSUs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include performance conditions by reference to the fair value of the underlying shares on the date of grant. The Company estimates the grant date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PBRSUs which include market conditions using the Monte Carlo simulation model which are only applicable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The weighted-average assumptions used to estimate the fair value of PBRSUs with market conditions and the resulting fair values are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336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60" w:type="dxa"/>
            <w:vAlign w:val="bottom"/>
          </w:tcPr>
          <w:p>
            <w:pPr>
              <w:ind w:left="6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652"/>
              <w:spacing w:after="0"/>
              <w:rPr>
                <w:sz w:val="20"/>
                <w:szCs w:val="20"/>
                <w:color w:val="auto"/>
              </w:rPr>
            </w:pPr>
            <w:r>
              <w:rPr>
                <w:rFonts w:ascii="Arial" w:cs="Arial" w:eastAsia="Arial" w:hAnsi="Arial"/>
                <w:sz w:val="16"/>
                <w:szCs w:val="16"/>
                <w:b w:val="1"/>
                <w:bCs w:val="1"/>
                <w:color w:val="auto"/>
              </w:rPr>
              <w:t>2014</w:t>
            </w: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6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1.11%</w:t>
            </w:r>
          </w:p>
        </w:tc>
      </w:tr>
      <w:tr>
        <w:trPr>
          <w:trHeight w:val="27"/>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6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7.47</w:t>
            </w:r>
          </w:p>
        </w:tc>
      </w:tr>
    </w:tbl>
    <w:p>
      <w:pPr>
        <w:spacing w:after="0" w:line="22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Stock-based compensation expense related to stock options granted to employees and directors was $0.7 million and $1.3 million for the three months ended September 30, 2015 and 2014, respectively, and $2.2 million and $4.3 million for the nine months ended September 30, 2015 and 2014, respectively. Stock-based compensation expense related to RSUs granted to employees and directors was $3.7 million and $3.0 million for the three months ended September 30, 2015 and 2014, respectively, and $10.5 million and $8.6 million for the nine months ended September 30, 2015 and 2014, respectively. Stock-based compensation expense related to PBRSUs granted to employees was $0.2 million for each three month period ended September 30, 2015 and 2014, and $0.5 million and $0.6 million for the nine months ended September 30, 2015 and 2014, respectively.</w:t>
      </w:r>
    </w:p>
    <w:p>
      <w:pPr>
        <w:spacing w:after="0" w:line="17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As of September 30, 2015, there was $1.8 million and $33.2 million of unrecognized compensation cost related to stock options and RSUs, including PBRSUs, respectively, which is expected to be recognized over a weighted-average period of 0.8 years and 2.6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As of September 30, 2015, the Company repurchased $9.4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are reflected as a reduction to common stock and retained earnings in the Company's condensed consolidated balance sheet during the period presented as follows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Arial" w:cs="Arial" w:eastAsia="Arial" w:hAnsi="Arial"/>
                <w:sz w:val="16"/>
                <w:szCs w:val="16"/>
                <w:b w:val="1"/>
                <w:bCs w:val="1"/>
                <w:color w:val="auto"/>
              </w:rPr>
              <w:t>Value of Shares</w:t>
            </w:r>
          </w:p>
        </w:tc>
      </w:tr>
      <w:tr>
        <w:trPr>
          <w:trHeight w:val="210"/>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Arial" w:cs="Arial" w:eastAsia="Arial" w:hAnsi="Arial"/>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shares repurchased as of January 1, 2015</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Repurchase of shares of common stock</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9,367</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shares repurchased as of September 30, 2015</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9,367</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960" w:type="dxa"/>
            <w:vAlign w:val="bottom"/>
          </w:tcPr>
          <w:p>
            <w:pPr>
              <w:jc w:val="right"/>
              <w:ind w:right="14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38% and 37% for the three months ended September 30, 2015 and 2014, respectively and 38% and 37% for the nine months ended September 30, 2015 and 2014, respectively.</w:t>
      </w:r>
    </w:p>
    <w:p>
      <w:pPr>
        <w:spacing w:after="0" w:line="14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Company’s 2010 tax year is currently under examination by the State of California Franchise Tax Board. The Company does not expect a material impact on its consolidated financial statements as a result of this examination. The 2012 through 2014 tax periods remain open to examination by the Internal Revenue Service and the 2010 through 2013 tax periods remain open to examination by most state tax authorities. For the Company's foreign jurisdictions, the 2009 through 2014 tax years remain open to examination by their respective tax authorities.</w:t>
      </w:r>
    </w:p>
    <w:p>
      <w:pPr>
        <w:spacing w:after="0" w:line="12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During the three months ended September 30, 2015 and 2014, three and five members, respectively, of the Company’s Board of Directors also served on the boards of directors of RPX clients. During each of the nine months ended September 30, 2015 and 2014, five members of the Company's Board of Directors also served on the boards of directors of RPX clients. The Company recognized subscription revenue from these clients in the amount of $2.3 million and $2.2 million for the three months ended September 30, 2015 and 2014, respectively, and $6.9 million and $6.5 million for the nine months ended September 30, 2015 and 2014, respectively. The Company recognized selling, general, and administrative expenses from products and services provided by these clients of $0.1 million for each three month period ended September 30, 2015 and 2014 and $0.2 million for each nine month period ended September 30, 2015 and 2014. As of September 30, 2015 and December 31, 2014, there were $0.1 million of receivables due from these clients. These transactions with related-parties were conducted on terms equivalent to those prevailing in arm's length transactions.</w:t>
      </w:r>
    </w:p>
    <w:p>
      <w:pPr>
        <w:spacing w:after="0" w:line="12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gridSpan w:val="9"/>
          </w:tcPr>
          <w:p>
            <w:pPr>
              <w:jc w:val="right"/>
              <w:ind w:right="300"/>
              <w:spacing w:after="0"/>
              <w:rPr>
                <w:sz w:val="20"/>
                <w:szCs w:val="20"/>
                <w:color w:val="auto"/>
              </w:rPr>
            </w:pPr>
            <w:r>
              <w:rPr>
                <w:rFonts w:ascii="Arial" w:cs="Arial" w:eastAsia="Arial" w:hAnsi="Arial"/>
                <w:sz w:val="16"/>
                <w:szCs w:val="16"/>
                <w:b w:val="1"/>
                <w:bCs w:val="1"/>
                <w:color w:val="auto"/>
              </w:rPr>
              <w:t>Three Months Ended September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9"/>
          </w:tcPr>
          <w:p>
            <w:pPr>
              <w:jc w:val="right"/>
              <w:ind w:right="340"/>
              <w:spacing w:after="0"/>
              <w:rPr>
                <w:sz w:val="20"/>
                <w:szCs w:val="20"/>
                <w:color w:val="auto"/>
              </w:rPr>
            </w:pPr>
            <w:r>
              <w:rPr>
                <w:rFonts w:ascii="Arial" w:cs="Arial" w:eastAsia="Arial" w:hAnsi="Arial"/>
                <w:sz w:val="16"/>
                <w:szCs w:val="16"/>
                <w:b w:val="1"/>
                <w:bCs w:val="1"/>
                <w:color w:val="auto"/>
              </w:rPr>
              <w:t>Nine Months Ended September 30,</w:t>
            </w:r>
          </w:p>
        </w:tc>
        <w:tc>
          <w:tcPr>
            <w:tcW w:w="7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20"/>
                <w:szCs w:val="20"/>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Korea</w:t>
            </w: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8,835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68,212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65,407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219,050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46"/>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March 2, 2015.</w:t>
      </w:r>
    </w:p>
    <w:p>
      <w:pPr>
        <w:spacing w:after="0" w:line="18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March 2, 2015.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38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2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months ended September 30, 2015, our revenue grew to $219.1 million from $191.6 million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Our client count increased by 41 clients during the nine months ended September 30, 2015, bringing our total client network to 245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At September 30, 2015, we had deferred revenue of $117.4 million.</w:t>
      </w:r>
    </w:p>
    <w:p>
      <w:pPr>
        <w:spacing w:after="0" w:line="21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nine months ended September 30, 2015, we completed 67 acquisitions of patent assets and our gross and net acquisition spend totaled $981.7 million and $110.3 million, respectively. From our inception through September 30, 2015, we have completed 294 acquisitions of patent assets with gross and net acquisition spend of $1,896.6 million and $779.6 million, respectively.</w:t>
      </w:r>
    </w:p>
    <w:p>
      <w:pPr>
        <w:spacing w:after="0" w:line="178"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to better manage and mitigate the risk of NPE patent litigation. In connection with an evolution in the way that we sell insurance policies, during March 2014 we formed a reinsurance company to assume a portion of the underwriting risk on insurance policies that the we issue on behalf of a Lloyd’s of London underwriting syndicate. We began issuing new policies under the reinsurance model in May 2014. As of September 30, 2015, we had a total of 77 active insurance policies. The effect of the insurance policies that we have issued or assumed through our reinsurance business was not material to our results of operations or financial condition for the three and nine months ended September 30, 2015 or 2014.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Subscription revenue includes membership subscription services, premiums earned from insurance policies, and management fees.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Additionally,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policies in the future, for the three and nine months ended September 30, 2015 and 2014, insurance premium revenue was not material to our results of operations.</w:t>
      </w:r>
    </w:p>
    <w:p>
      <w:pPr>
        <w:spacing w:after="0" w:line="18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recognize revenue from the sale of licenses and advisory fee income in connection with syndicated acquisitions, which we collectively refer to as fee-related revenue.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Cost of revenue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began to include premiums ceded to reinsurers and loss reserves. We began to issue new policies under the reinsurance model in May 2014 and under this model we do not cede premiums. Our cost of revenue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44 months. We expect our cost of revenue to increase in the future as we add additional patent assets to our existing portfolio to support our existing and future clients and as our insurance business grows.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Other income, net primarily consists of interest income earned on our cash, cash equivalents and short-term investments and changes in fair value of our deferred payment obligations.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 likely than not that our deferred tax assets will be fully realized. Accordingly, we have not applied a valuation allowance against our net deferred tax assets.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estimates during the nine months ended September 30, 2015, as compared to the critical accounting policies and estimates presented under the heading “Critical Accounting Policies and Estimates” in Part II, Item 7 of the Company’s Annual Report on Form 10-K filed with the SEC on March 2,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4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Simplifying the Accounting for Measurement-Period Adjustments</w:t>
      </w:r>
      <w:r>
        <w:rPr>
          <w:rFonts w:ascii="Arial" w:cs="Arial" w:eastAsia="Arial" w:hAnsi="Arial"/>
          <w:sz w:val="16"/>
          <w:szCs w:val="16"/>
          <w:color w:val="auto"/>
        </w:rPr>
        <w:t xml:space="preserve"> guidance to simplify the accounting for adjustments made during the measurement period to provisional amounts recognized in a business combination. This guidance is effective for fiscal years and interim periods beginning after December 15, 2015, and requires prospective application. Early adoption is permitted. The Company expects to adopt this guidance when effective, and does not expect this guidance to have a significant impact on its consolidated financial statements.</w:t>
      </w:r>
    </w:p>
    <w:p>
      <w:pPr>
        <w:spacing w:after="0" w:line="22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will supersede most existing revenue recognition guidance in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2017 and early adoption is permitted for annual and interim periods beginning after December 15, 2016. The Company is currently evaluating the impact of the adoption of ASU 2014-09 on its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37,639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90,906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17,943</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33,895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30,092</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324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5560"/>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2014</w:t>
            </w:r>
          </w:p>
        </w:tc>
      </w:tr>
      <w:tr>
        <w:trPr>
          <w:trHeight w:val="33"/>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47</w:t>
            </w: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Gain on sale of patent assets, net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Our revenue for the three months ended September 30, 2015 was $68.2 million compared to $65.4 million during the same period a year prior, an increase of $2.8 million, or 4%. Subscription revenue, which includes membership subscription services, premiums earned from insurance policies, and management fees, for the three months ended September 30, 2015 was $68.2 million compared to $62.7 million for the three months ended September 30, 2014. The increase in subscription revenue was primarily attributable to an increase in membership fees and insurance premiums of $5.4 million from new clients who joined our network subsequent to September 30, 2014 and $0.1 million from clients who joined our network prior to September 30, 2014. As of September 30, 2015, we had a total client network of 245 companies as compared to 195 as of September 30, 2014. Revenue for the three months ended September 30, 2015 and 2014 included fee-related revenue of nil and $2.7 million, respectively.</w:t>
      </w:r>
    </w:p>
    <w:p>
      <w:pPr>
        <w:spacing w:after="0" w:line="167" w:lineRule="exact"/>
        <w:rPr>
          <w:sz w:val="20"/>
          <w:szCs w:val="20"/>
          <w:color w:val="auto"/>
        </w:rPr>
      </w:pPr>
    </w:p>
    <w:p>
      <w:pPr>
        <w:jc w:val="both"/>
        <w:ind w:right="180" w:firstLine="486"/>
        <w:spacing w:after="0" w:line="285" w:lineRule="auto"/>
        <w:rPr>
          <w:sz w:val="20"/>
          <w:szCs w:val="20"/>
          <w:color w:val="auto"/>
        </w:rPr>
      </w:pPr>
      <w:r>
        <w:rPr>
          <w:rFonts w:ascii="Arial" w:cs="Arial" w:eastAsia="Arial" w:hAnsi="Arial"/>
          <w:sz w:val="16"/>
          <w:szCs w:val="16"/>
          <w:color w:val="auto"/>
        </w:rPr>
        <w:t>Our revenue for the nine months ended September 30, 2015 was $219.1 million compared to $191.6 million during the same period a year prior, an increase of $27.5 million, or 14%. Subscription revenue, which includes membership subscription services, premiums earned from insurance policies, and management fees, for the nine months ended September 30, 2015 was $202.0 million compared to $187.8 million for the nine months ended September 30, 2014. The increase in subscription revenue was primarily attributable to an increase in membership fees and insurance premiums of $11.9 million from new clients who joined our network subsequent to September 30, 2014 and $2.3 million from clients who joined our network prior to September 30, 2014.</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 for the nine months ended September 30, 2015 and 2014 included fee-related revenue of $17.1 million and $3.8 million, respectively. This increase in fee-related revenue was primarily attributable to the success fee earned in relation to a particularly large syndicated acquisition as well as the sale of perpetual licenses to this portfolio.</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cost of revenue for the three months ended September 30, 2015 was $37.6 million compared to $30.4 million during the same period a year prior, an increase of $7.2 million, or 24%. The increase was primarily attributable to a $6.7 million increase in patent amortization expense as a result of an increase in our patent assets and shorter than historical amortization periods for certain patent assets acquired subsequent to September 30, 2014. Patent assets acquired during the three months ended September 30, 2015 had a weighted-average amortization period of 29 months compared with the historical weighted-average since our inception of 44 months. This increase is also attributable to a $0.6 million increase in expenses incurred to conduct inter partes reviews and prior art searches and a $0.3 million increase in expenses incurred to maintain and prosecute patents and patent applications included in our portfolio, partially offset by $0.4 million decrease in costs related to our insurance business.</w:t>
      </w:r>
    </w:p>
    <w:p>
      <w:pPr>
        <w:spacing w:after="0" w:line="17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cost of revenue for the nine months ended September 30, 2015 was $109.4 million compared to $90.9 million during the same period a year prior, an increase of $18.5 million, or 20%. The increase was primarily attributable to a $17.2 million increase in patent amortization expense as a result of an increase in our patent assets, and shorter than historical amortization periods for certain patent assets acquired subsequent to September 30, 2014. Patent assets acquired during the nine months ended September 30, 2015 had a weighted-average amortization period of 36 months compared with the historical weighted-average since our inception of 44 months. This increase is also attributable to a $1.4 million increase in expenses incurred to maintain and prosecute patents and patent applications included in our portfolio and a $0.9 million increase in expenses incurred to conduct inter partes reviews and prior art searches offset by $1.0 million decrease in costs related to our insurance business.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selling, general and administrative expenses for the three months ended September 30, 2015 were $18.8 million compared to $17.8 million during the same period a year prior, an increase of $1.0 million, or 6%. The increase was primarily due to a $0.6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million increase in personnel-related costs primarily attributable to increasing our headcount to 154 employees as of September 30, 2015 as we continued to expand the parts of our organization that support our clients.</w:t>
      </w:r>
    </w:p>
    <w:p>
      <w:pPr>
        <w:spacing w:after="0" w:line="17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selling, general and administrative expenses for the nine months ended September 30, 2015 were $57.2 million compared to $53.6 million during the same period a year prior, an increase of $3.6 million, or 7%. The increase was primarily due to a $2.5 million increase in personnel-related costs primarily attributable to increasing our headcount to 154 employees as of September 30, 2015. The increase was also attributable to a $0.7 million increase in general corporate and facilities related expenses and a $0.4 million increase in professional service fees.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Our other income, net for the three months ended September 30, 2015 was $0.9 million compared to $0.1 million during the same period a year prior, an increase of $0.8 million. The increase was primarily due to a $0.6 million fair value adjustment on our deferred payment obligations.</w:t>
      </w:r>
    </w:p>
    <w:p>
      <w:pPr>
        <w:spacing w:after="0" w:line="147"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Our other income, net for the nine months ended September 30, 2015 was $1.9 million compared to $0.3 million during the same period a year prior, an increase of $1.6 million. The increase was primarily due to $1.3 million of fair value adjustments on our deferred payment obligations.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Our provision for income taxes was $4.8 million and $6.4 million for the three months ended September 30, 2015 and 2014, respectively, and $21.1 million and $17.9 million for the nine months ended September 30, 2015 and 2014, respectively. Our effective tax rate, including the impact of discrete benefit items, was 38% and 37% for the three months ended September 30, 2015 and 2014, respectively, and 38% and 37% for the nine months ended September 30, 2015 and 2014,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We have financed substantially all of our operations and patent asset acquisitions through subscription and other fees collected from our clients, patent-seller financing, and the sale of equity securities. As of September 30, 2015, we had $104.6 million of cash and cash equivalents and $263.5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(136,159)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26,549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Cash provided by operating activities for the nine months ended September 30, 2015 was $138.5 million, consisting of adjustments for non-cash items of $121.3 million, changes in working capital and non-current assets and liabilities of $16.7 million and net income of $33.9 million. Non-cash adjustments to net income primarily consisted of $107.0 million of depreciation and amortization, $13.1 million of stock-based compensation, and $4.8 million of amortization of premium on investments, offset by a reduction of $1.4 million due to excess tax benefit from stock-based compensation, $1.3 million of fair value adjustments on our deferred payment obligations, a $0.6 million gain on the sale of patent assets, and a $0.4 million net increase in our deferred taxes. The change in working capital and non-current assets and liabilities resulted primarily from a a $18.9 million decrease in deferred revenue, a $9.8 million increase in prepaid expenses and other assets and a $2.8 million decrease in our accrued and other liabilities offset by a $14.1 million decrease in accounts receivable and a $0.7 million increase in accounts payable. The decrease in accounts receivable was due to $206.5 million in cash collections partially offset by billings to new and existing clients of $192.4 million. The decrease in deferred revenue was due to revenue recognized during the period of $202.0 million partially offset by $183.1 million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billings to new and existing clients. The amount of deferred revenue in any given period varies with the addition of new clients, the mix of payment terms that we offer and the timing of invoicing existing clients.</w:t>
      </w:r>
    </w:p>
    <w:p>
      <w:pPr>
        <w:spacing w:after="0" w:line="170"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Cash provided by operating activities for the nine months ended September 30, 2014 was $117.9 million, consisting of adjustments for non-cash items of $102.7 million, changes in working capital and non-current assets and liabilities of $14.9 million and net income of $30.1 million. Non-cash adjustments to net income primarily consisted of $89.7 million of depreciation and amortization, $13.4 million of stock-based compensation, $5.0 million of amortization of premium on investments, a reduction of $2.4 million due to excess tax benefit from stock-based compensation and a $1.8 million net decrease in our deferred tax liabilities. The change in working capital and non-current assets and liabilities resulted primarily from a $17.2 million decrease in accounts receivable, partially offset by a $25.0 million decrease in deferred revenue, an $8.8 million increase in prepaid expenses and other assets and a $1.5 million increase in our accrued and other liabilities. The decrease in accounts receivable was due to $183.1 million in cash collections, partially offset by billings to new and existing clients of $165.9 million. The decrease in deferred revenue was due to revenue and other adjustments recognized during the period of $188.1 million, partially offset by $163.1 million in billings to new and existing clients. The amount of deferred revenue in any given period varies with the addition of new clients, the mix of payment terms that we offer and the timing of invoicing existing clients.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Cash used in investing activities for the nine months ended September 30, 2015 was $110.3 million, of which $84.1 million was used to acquire patent assets, $22.7 million represented net purchases of short-term investments, $2.5 million was used for an acquisition of other assets, $1.6 million was used to acquire property and equipment, and $0.4 million was used for the final payment of the acquisition of DCML Services Corporation, partially offset by $0.7 million in proceeds from the sale of patent assets and $0.3 million decrease in restricted cash.</w:t>
      </w:r>
    </w:p>
    <w:p>
      <w:pPr>
        <w:spacing w:after="0" w:line="187" w:lineRule="exact"/>
        <w:rPr>
          <w:sz w:val="20"/>
          <w:szCs w:val="20"/>
          <w:color w:val="auto"/>
        </w:rPr>
      </w:pPr>
    </w:p>
    <w:p>
      <w:pPr>
        <w:ind w:right="340" w:firstLine="486"/>
        <w:spacing w:after="0" w:line="302" w:lineRule="auto"/>
        <w:rPr>
          <w:sz w:val="20"/>
          <w:szCs w:val="20"/>
          <w:color w:val="auto"/>
        </w:rPr>
      </w:pPr>
      <w:r>
        <w:rPr>
          <w:rFonts w:ascii="Arial" w:cs="Arial" w:eastAsia="Arial" w:hAnsi="Arial"/>
          <w:sz w:val="16"/>
          <w:szCs w:val="16"/>
          <w:color w:val="auto"/>
        </w:rPr>
        <w:t>Cash used in investing activities for the nine months ended September 30, 2014 was $136.2 million, of which $104.0 million was used to acquire patent assets, $30.0 million represented net purchases of short-term marketable securities, $2.3 million was used in the acquisition of DCML Services Corporation, and $1.1 million was used to acquire property and equipment. This decrease was partially offset by $1.1 million in proceeds from the sale of patent assets. We expect our cash used in investing activities to increase in the future as we acquire additional patent assets.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Cash used in financing activities for the nine months ended September 30, 2015 was $1.7 million, of which $9.4 million was used to repurchase our common stock under our share repurchase program, $3.7 million used in taxes paid related to net-share settlements of restricted stock units, and $0.9 million used for repayments of principal on deferred payment obligations, partially offset by $6.3 million of proceeds from deferred payment obligations, $4.6 million of proceeds from the exercise of stock options and other common stock issuances and $1.4 million excess tax benefit from stock-based compensation.</w:t>
      </w:r>
    </w:p>
    <w:p>
      <w:pPr>
        <w:spacing w:after="0" w:line="154"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Cash provided by financing activities for the nine months ended September 30, 2014 was $1.4 million, of which $2.9 million was the result of proceeds from the exercise of stock options and other common stock issuances and $2.4 million was due to excess tax benefit from stock-based compensation. This increase was partially offset by $3.8 million in taxes paid related to net-share settlements of 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77" w:lineRule="exact"/>
        <w:rPr>
          <w:sz w:val="20"/>
          <w:szCs w:val="20"/>
          <w:color w:val="auto"/>
        </w:rPr>
      </w:pPr>
    </w:p>
    <w:p>
      <w:pPr>
        <w:ind w:right="660" w:firstLine="486"/>
        <w:spacing w:after="0" w:line="291" w:lineRule="auto"/>
        <w:rPr>
          <w:sz w:val="20"/>
          <w:szCs w:val="20"/>
          <w:color w:val="auto"/>
        </w:rPr>
      </w:pPr>
      <w:r>
        <w:rPr>
          <w:rFonts w:ascii="Arial" w:cs="Arial" w:eastAsia="Arial" w:hAnsi="Arial"/>
          <w:sz w:val="16"/>
          <w:szCs w:val="16"/>
          <w:color w:val="auto"/>
        </w:rPr>
        <w:t>We generally do not enter into long-term minimum purchase commitments. Our principal long-term commitments consist of obligations under operating leases for office space. There were no substantial changes to our contractual obligations and commitments during the nine months</w:t>
      </w:r>
    </w:p>
    <w:p>
      <w:pPr>
        <w:ind w:right="20"/>
        <w:spacing w:after="0" w:line="254" w:lineRule="auto"/>
        <w:rPr>
          <w:sz w:val="20"/>
          <w:szCs w:val="20"/>
          <w:color w:val="auto"/>
        </w:rPr>
      </w:pPr>
      <w:r>
        <w:rPr>
          <w:rFonts w:ascii="Arial" w:cs="Arial" w:eastAsia="Arial" w:hAnsi="Arial"/>
          <w:sz w:val="18"/>
          <w:szCs w:val="18"/>
          <w:color w:val="auto"/>
        </w:rPr>
        <w:t>ended September 30, 2015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March 2, 2015.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February 2015, our Board of Directors authorized the repurchase of up to $75.0 million of our outstanding shares of common stock.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open market repurchases will be made in accordance with Exchange Act Rule 10b-18, which sets certain restrictions on the method, timing, price and volume of open market stock repurchases. As of September 30, 2015, we had repurchased an aggregate of 656 thousand shares of common stock in the open market for $9.4 million under the share repurchase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At September 30, 2015,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international offices are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$368.0 million as of September 30, 2015.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As of September 30, 2015, our short-term investments of $263.5 million were primarily invested in municipal and corporate bonds maturing between 90 days and 12 months, U.S. government and agency securities, commercial paper, and equity securities. As of September 30, 2015,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September 30, 2015, we had not recorded an impairment related to our investments in the condensed consolidated statement of operations.</w:t>
      </w:r>
    </w:p>
    <w:p>
      <w:pPr>
        <w:spacing w:after="0" w:line="17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If overall interest rates had changed by 10% during the nine months ended September 30, 2015,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nine months ended September 30, 2015. There can be no assurance that future inflation will not have an adverse impact on our consolidated results of operations or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2015, our Chief Executive Officer and Chief Financial Officer concluded that, as of such date, the Company’s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2015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10,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right="18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100" w:hanging="326"/>
        <w:spacing w:after="0" w:line="325"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78"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If the market for our solution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September 30, 2015 was 2.5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33"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22"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otherwise offer growth opportunities. For example, in June 2014 we acquired DCML Services Corporation, a provider of data, intelligence and consulting on NPEs.</w:t>
      </w:r>
    </w:p>
    <w:p>
      <w:pPr>
        <w:spacing w:after="0" w:line="170"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22"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March 2014 we formed a reinsurance company to bear some underwriting risk on insurance policies that the Company issues on behalf of a Lloyd’s of London underwriting syndicate. We began placing new policies under the reinsurance model in May 2014.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58"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with our involvement in litigation could have an adverse effect on our business, prospects, financial condition, operating results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nine months ended September 30, 2015, our 10 highest revenue-generating clients accounted for approximately 30%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solution or fees payable under our subscription agreements, which could adversely affect our financial condition and operating results.</w:t>
      </w:r>
    </w:p>
    <w:p>
      <w:pPr>
        <w:spacing w:after="0" w:line="1"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 w:lineRule="exact"/>
        <w:rPr>
          <w:sz w:val="20"/>
          <w:szCs w:val="20"/>
          <w:color w:val="auto"/>
        </w:rPr>
      </w:pPr>
    </w:p>
    <w:p>
      <w:pPr>
        <w:ind w:right="40" w:firstLine="270"/>
        <w:spacing w:after="0" w:line="285"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73"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NPE insurance product.</w:t>
      </w:r>
    </w:p>
    <w:p>
      <w:pPr>
        <w:spacing w:after="0" w:line="77"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6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jc w:val="both"/>
        <w:ind w:right="180" w:firstLine="446"/>
        <w:spacing w:after="0" w:line="264" w:lineRule="auto"/>
        <w:rPr>
          <w:sz w:val="20"/>
          <w:szCs w:val="20"/>
          <w:color w:val="auto"/>
        </w:rPr>
      </w:pPr>
      <w:r>
        <w:rPr>
          <w:rFonts w:ascii="Arial" w:cs="Arial" w:eastAsia="Arial" w:hAnsi="Arial"/>
          <w:sz w:val="18"/>
          <w:szCs w:val="18"/>
          <w:color w:val="auto"/>
        </w:rPr>
        <w:t>As of September 30, 2015, some of our existing stockholders have demand and piggyback rights to require us to register with the SEC approximately 1,250,000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In February 2015, our board of directors approved a share repurchase program of up to $75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September 30, 2015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July 31, 2015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18,708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18,708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71,169,706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31, 2015</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68,723,800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September 30, 2015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227,208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227,208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65,632,387</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60" w:firstLine="8"/>
        <w:spacing w:after="0" w:line="271" w:lineRule="auto"/>
        <w:tabs>
          <w:tab w:leader="none" w:pos="19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As of September 30, 2015, the Company repurchased $9.4 million of the outstanding common stock. Under the program, shares may be repurchased in privately negotiated and/or open market transactions, including under plans complying with Rule 10b5-1 under the Securities Exchange Act of 1934, as amended (the “Exchange Act”). The Company’s share repurchase program does not obligate it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-708025</wp:posOffset>
            </wp:positionV>
            <wp:extent cx="1003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-708025</wp:posOffset>
            </wp:positionV>
            <wp:extent cx="1020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6200" w:space="120"/>
            <w:col w:w="510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700" w:type="dxa"/>
            <w:vAlign w:val="bottom"/>
            <w:gridSpan w:val="3"/>
          </w:tcPr>
          <w:p>
            <w:pPr>
              <w:ind w:left="1620"/>
              <w:spacing w:after="0"/>
              <w:rPr>
                <w:sz w:val="20"/>
                <w:szCs w:val="20"/>
                <w:color w:val="auto"/>
              </w:rPr>
            </w:pPr>
            <w:r>
              <w:rPr>
                <w:rFonts w:ascii="Arial" w:cs="Arial" w:eastAsia="Arial" w:hAnsi="Arial"/>
                <w:sz w:val="18"/>
                <w:szCs w:val="18"/>
                <w:color w:val="auto"/>
              </w:rPr>
              <w:t>RPX CORPORATION</w:t>
            </w:r>
          </w:p>
        </w:tc>
      </w:tr>
      <w:tr>
        <w:trPr>
          <w:trHeight w:val="270"/>
        </w:trPr>
        <w:tc>
          <w:tcPr>
            <w:tcW w:w="3500" w:type="dxa"/>
            <w:vAlign w:val="bottom"/>
          </w:tcPr>
          <w:p>
            <w:pPr>
              <w:spacing w:after="0"/>
              <w:rPr>
                <w:sz w:val="23"/>
                <w:szCs w:val="23"/>
                <w:color w:val="auto"/>
              </w:rPr>
            </w:pP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(Registrant)</w:t>
            </w:r>
          </w:p>
        </w:tc>
        <w:tc>
          <w:tcPr>
            <w:tcW w:w="4060" w:type="dxa"/>
            <w:vAlign w:val="bottom"/>
          </w:tcPr>
          <w:p>
            <w:pPr>
              <w:spacing w:after="0"/>
              <w:rPr>
                <w:sz w:val="23"/>
                <w:szCs w:val="23"/>
                <w:color w:val="auto"/>
              </w:rPr>
            </w:pP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November 2, 2015</w:t>
            </w: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JOHN A. AMSTER</w:t>
            </w:r>
          </w:p>
        </w:tc>
      </w:tr>
      <w:tr>
        <w:trPr>
          <w:trHeight w:val="27"/>
        </w:trPr>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John A. Amster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500" w:type="dxa"/>
            <w:vAlign w:val="bottom"/>
          </w:tcPr>
          <w:p>
            <w:pPr>
              <w:spacing w:after="0"/>
              <w:rPr>
                <w:sz w:val="20"/>
                <w:szCs w:val="20"/>
                <w:color w:val="auto"/>
              </w:rPr>
            </w:pPr>
            <w:r>
              <w:rPr>
                <w:rFonts w:ascii="Arial" w:cs="Arial" w:eastAsia="Arial" w:hAnsi="Arial"/>
                <w:sz w:val="18"/>
                <w:szCs w:val="18"/>
                <w:color w:val="auto"/>
              </w:rPr>
              <w:t>Date:  November 2, 2015</w:t>
            </w:r>
          </w:p>
        </w:tc>
        <w:tc>
          <w:tcPr>
            <w:tcW w:w="26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ROBERT H. HEATH</w:t>
            </w:r>
          </w:p>
        </w:tc>
      </w:tr>
      <w:tr>
        <w:trPr>
          <w:trHeight w:val="27"/>
        </w:trPr>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Robert H. Heath</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w w:val="99"/>
              </w:rPr>
              <w:t>Senior Vice President and Chief Financial Officer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500" w:type="dxa"/>
            <w:vAlign w:val="bottom"/>
          </w:tcPr>
          <w:p>
            <w:pPr>
              <w:spacing w:after="0"/>
              <w:rPr>
                <w:sz w:val="24"/>
                <w:szCs w:val="24"/>
                <w:color w:val="auto"/>
              </w:rPr>
            </w:pPr>
          </w:p>
        </w:tc>
        <w:tc>
          <w:tcPr>
            <w:tcW w:w="2640" w:type="dxa"/>
            <w:vAlign w:val="bottom"/>
            <w:gridSpan w:val="2"/>
          </w:tcPr>
          <w:p>
            <w:pPr>
              <w:ind w:left="2080"/>
              <w:spacing w:after="0"/>
              <w:rPr>
                <w:sz w:val="20"/>
                <w:szCs w:val="20"/>
                <w:color w:val="auto"/>
              </w:rPr>
            </w:pPr>
            <w:r>
              <w:rPr>
                <w:rFonts w:ascii="Arial" w:cs="Arial" w:eastAsia="Arial" w:hAnsi="Arial"/>
                <w:sz w:val="18"/>
                <w:szCs w:val="18"/>
                <w:color w:val="auto"/>
              </w:rPr>
              <w:t>37</w:t>
            </w:r>
          </w:p>
        </w:tc>
        <w:tc>
          <w:tcPr>
            <w:tcW w:w="406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 Heath,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September 30, 2015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September 30, 2015 of RPX Corporation, (the “Company”) as filed with the Securities and Exchange Commission on the date hereof (the “Report”), I, Robert H.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1."/>
      <w:numFmt w:val="decimal"/>
      <w:start w:val="13"/>
    </w:lvl>
  </w:abstractNum>
  <w:abstractNum w:abstractNumId="14">
    <w:nsid w:val="333AB105"/>
    <w:multiLevelType w:val="hybridMultilevel"/>
    <w:lvl w:ilvl="0">
      <w:lvlJc w:val="left"/>
      <w:lvlText w:val="%1."/>
      <w:numFmt w:val="decimal"/>
      <w:start w:val="14"/>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2019-12-29T15:22:25Z</dcterms:created>
  <dcterms:modified xsi:type="dcterms:W3CDTF">2019-12-29T15:22:25Z</dcterms:modified>
</cp:coreProperties>
</file>