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001-35146</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1380"/>
          </w:cols>
          <w:pgMar w:left="240" w:top="233" w:right="279" w:bottom="1440" w:gutter="0" w:footer="0" w:header="0"/>
        </w:sectPr>
      </w:pPr>
    </w:p>
    <w:p>
      <w:pPr>
        <w:spacing w:after="0" w:line="1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82" w:lineRule="exact"/>
        <w:rPr>
          <w:sz w:val="24"/>
          <w:szCs w:val="24"/>
          <w:color w:val="auto"/>
        </w:rPr>
      </w:pPr>
    </w:p>
    <w:p>
      <w:pPr>
        <w:sectPr>
          <w:pgSz w:w="11900" w:h="16838" w:orient="portrait"/>
          <w:cols w:equalWidth="0" w:num="2">
            <w:col w:w="7280" w:space="720"/>
            <w:col w:w="33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80"/>
          </w:cols>
          <w:pgMar w:left="240" w:top="233" w:right="279" w:bottom="1440" w:gutter="0" w:footer="0" w:header="0"/>
          <w:type w:val="continuous"/>
        </w:sectPr>
      </w:pP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6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3" w:lineRule="exact"/>
        <w:rPr>
          <w:sz w:val="24"/>
          <w:szCs w:val="24"/>
          <w:color w:val="auto"/>
        </w:rPr>
      </w:pPr>
    </w:p>
    <w:p>
      <w:pPr>
        <w:sectPr>
          <w:pgSz w:w="11900" w:h="16838" w:orient="portrait"/>
          <w:cols w:equalWidth="0" w:num="4">
            <w:col w:w="2080" w:space="720"/>
            <w:col w:w="3600" w:space="720"/>
            <w:col w:w="3260" w:space="720"/>
            <w:col w:w="280"/>
          </w:cols>
          <w:pgMar w:left="240" w:top="233"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3420" w:space="720"/>
            <w:col w:w="3260" w:space="720"/>
            <w:col w:w="280"/>
          </w:cols>
          <w:pgMar w:left="240" w:top="233" w:right="279" w:bottom="1440" w:gutter="0" w:footer="0" w:header="0"/>
          <w:type w:val="continuous"/>
        </w:sect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59" w:lineRule="exact"/>
        <w:rPr>
          <w:sz w:val="24"/>
          <w:szCs w:val="24"/>
          <w:color w:val="auto"/>
        </w:rPr>
      </w:pPr>
    </w:p>
    <w:p>
      <w:pPr>
        <w:sectPr>
          <w:pgSz w:w="11900" w:h="16838" w:orient="portrait"/>
          <w:cols w:equalWidth="0" w:num="2">
            <w:col w:w="806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51,368,138 shares of the registrant’s common stock issued and outstanding as of April 29, 2016.</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December 31,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2016 and 2015 (unaudited)</w:t>
              </w:r>
            </w:hyperlink>
          </w:p>
        </w:tc>
        <w:tc>
          <w:tcPr>
            <w:tcW w:w="114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2016 and 2015 (unaudited)</w:t>
              </w:r>
            </w:hyperlink>
          </w:p>
        </w:tc>
        <w:tc>
          <w:tcPr>
            <w:tcW w:w="2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2016 and 2015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10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46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PART I. FINANCIAL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95"/>
              </w:rPr>
              <w:t>RPX Corporation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88"/>
              </w:rPr>
              <w:t>(in thousands)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91"/>
              </w:rPr>
              <w:t>(unaudited)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94,983</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231,015</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13,905</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12,643</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353,247</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254,560</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4,733</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166,825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19,978</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Deferred tax assets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6,896</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16,619</w:t>
            </w:r>
          </w:p>
        </w:tc>
      </w:tr>
      <w:tr>
        <w:trPr>
          <w:trHeight w:val="297"/>
        </w:trPr>
        <w:tc>
          <w:tcPr>
            <w:tcW w:w="394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4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769,776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r>
        <w:trPr>
          <w:trHeight w:val="237"/>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14,842</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110,921</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Deferred payment obligations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2,383</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129,572</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4,731</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93,435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7,779</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268,170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142,082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348,271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344,610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172,115</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w w:val="96"/>
              </w:rPr>
              <w:t>Accumulated other comprehensive income (loss)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516,479</w:t>
            </w:r>
          </w:p>
        </w:tc>
      </w:tr>
      <w:tr>
        <w:trPr>
          <w:trHeight w:val="250"/>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4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769,776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8890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-130175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83,287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34,759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11,159</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18,031</w:t>
            </w:r>
          </w:p>
        </w:tc>
      </w:tr>
      <w:tr>
        <w:trPr>
          <w:trHeight w:val="311"/>
        </w:trPr>
        <w:tc>
          <w:tcPr>
            <w:tcW w:w="8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in computing 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30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54,175</w:t>
            </w:r>
          </w:p>
        </w:tc>
      </w:tr>
      <w:tr>
        <w:trPr>
          <w:trHeight w:val="251"/>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55,197</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3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holding gains on available-for-sale securities arising during the period, net of tax</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18,115</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4"/>
          </w:tcPr>
          <w:p>
            <w:pPr>
              <w:jc w:val="right"/>
              <w:ind w:right="275"/>
              <w:spacing w:after="0"/>
              <w:rPr>
                <w:sz w:val="20"/>
                <w:szCs w:val="20"/>
                <w:color w:val="auto"/>
              </w:rPr>
            </w:pPr>
            <w:r>
              <w:rPr>
                <w:rFonts w:ascii="Arial" w:cs="Arial" w:eastAsia="Arial" w:hAnsi="Arial"/>
                <w:sz w:val="17"/>
                <w:szCs w:val="17"/>
                <w:b w:val="1"/>
                <w:bCs w:val="1"/>
                <w:color w:val="auto"/>
                <w:w w:val="97"/>
              </w:rPr>
              <w:t>Three Months Ended March 31,</w:t>
            </w:r>
          </w:p>
        </w:tc>
      </w:tr>
      <w:tr>
        <w:trPr>
          <w:trHeight w:val="31"/>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2015</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4,237</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18,031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44,555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34,011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3,881</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(316)</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1,435</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Deferred taxes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(738)</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foreign currency gain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9,442</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4,508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(5,323)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1,348</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(6,802)</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22,102</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55,129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77,071</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(57,663)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44,559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Sales of investments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145,925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Increase in restricted cash</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Acquisitions of patent assets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(16,048)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(28,636)</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(42,488)</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deferred payment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issuance of term debt</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100,000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671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316</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 of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Repurchase of common stock</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6,256</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40,839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94,983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78,019</w:t>
            </w:r>
          </w:p>
        </w:tc>
      </w:tr>
      <w:tr>
        <w:trPr>
          <w:trHeight w:val="31"/>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157,713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118,858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Change in patent assets purchased and accrued but not paid</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Unpaid cash consideration for business acquisition</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Nonmonetary exchange for investments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5,935</w:t>
            </w:r>
          </w:p>
        </w:tc>
      </w:tr>
    </w:tbl>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9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96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occasionally enters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some instances, the Company accepts a payment from a client to finance part or all of an acquisition involving patent assets that may cost more than the Company is prepared to spend with its own capital resources or that are relevant only to a very small number of clients. In these instances, the Company facilitates syndicated transactions that include contributions from participating clients in addition to their annual subscription fees.</w:t>
      </w:r>
    </w:p>
    <w:p>
      <w:pPr>
        <w:spacing w:after="0" w:line="178"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addition to the Company’s core solution, in August 2012, the Company began underwriting patent infringement liability insurance policies to insure against certain costs of litigation. In March 2014, the Company formed a reinsurance company to assume a portion of the underwriting risk on insurance policies that the Company issues on behalf of a Lloyd’s of London underwriting syndicate. The Company began placing new policies under the reinsurance model in May 2014. As of and for the three months ended March 31, 2016, the effect of the insurance policies that the Company has issued or assumed through its reinsurance business was not material to the Company’s results of operations, financial condition or cash flows.</w:t>
      </w:r>
    </w:p>
    <w:p>
      <w:pPr>
        <w:spacing w:after="0" w:line="17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January 2016 the Company acquired Inventus Solutions, Inc. ("Inventus") and through its wholly-owned subsidiary Inventus, the Company began offering its discovery services solution which provides technology-enabled services to assist leading law firms and corporate legal departments manage costs and risks related to the litigation discovery process. The Company's discovery services solution includes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7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accompanying condensed consolidated balance sheet as of March 31, 2016, the condensed consolidated statements of operations, the condensed consolidated statements of comprehensive income, and the condensed consolidated statements of cash flows for the three months ended March 31, 2016 and 2015, are unaudited. The condensed consolidated balance sheet as of December 31, 2015 was derived from the audited consolidated financial statements which are included in the Company’s Annual Report on Form 10-K for the fiscal year ended December 31, 2015, which was filed with the U.S. Securities and Exchange Commission (“SEC”) on February 26, 2016. The unaudited condensed consolidated financial statements should be read in conjunction with the audited financial statements and accompanying notes included in the Company’s Annual Report on Form 10-K for the year ended December 31, 2015.</w:t>
      </w:r>
    </w:p>
    <w:p>
      <w:pPr>
        <w:spacing w:after="0" w:line="16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months ended March 31, 2016 are not necessarily indicative of the results that may be expected for any subsequent interim period or for the year ending December 31, 2016.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Other than revenue recognition for the Company's discovery services solution disclosed below, there have been no material changes to the Company’s significant accounting policies during the three months ended March 31,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 xml:space="preserve">The Company recognizes revenue from its discovery services solution in accordance with Accounting Standards Codification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Under ASC 605, revenue is recognized when persuasive evidence of an arrangement exists, the related services are provided,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fixed or determinable, and collectability is reasonably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Company's significant sources of revenue from its discovery services solution:</w:t>
      </w:r>
    </w:p>
    <w:p>
      <w:pPr>
        <w:spacing w:after="0" w:line="225" w:lineRule="exact"/>
        <w:rPr>
          <w:sz w:val="20"/>
          <w:szCs w:val="20"/>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hosting fees based on data stored and number of users;</w:t>
      </w:r>
    </w:p>
    <w:p>
      <w:pPr>
        <w:spacing w:after="0" w:line="23" w:lineRule="exact"/>
        <w:rPr>
          <w:rFonts w:ascii="Arial" w:cs="Arial" w:eastAsia="Arial" w:hAnsi="Arial"/>
          <w:sz w:val="18"/>
          <w:szCs w:val="18"/>
          <w:color w:val="auto"/>
        </w:rPr>
      </w:pPr>
    </w:p>
    <w:p>
      <w:pPr>
        <w:ind w:left="1540" w:hanging="249"/>
        <w:spacing w:after="0" w:line="250"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for month-to-month delivery of services, such as data processing (conversion of data into organized, searchable electronic database), project management and data collection services;</w:t>
      </w: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document review services which assist clients in the manual review of data responsive to a legal matter; and</w:t>
      </w:r>
    </w:p>
    <w:p>
      <w:pPr>
        <w:spacing w:after="0" w:line="9" w:lineRule="exact"/>
        <w:rPr>
          <w:rFonts w:ascii="Arial" w:cs="Arial" w:eastAsia="Arial" w:hAnsi="Arial"/>
          <w:sz w:val="18"/>
          <w:szCs w:val="18"/>
          <w:color w:val="auto"/>
        </w:rPr>
      </w:pPr>
    </w:p>
    <w:p>
      <w:pPr>
        <w:ind w:left="1540" w:hanging="2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printing and binding services (paper-based services).</w:t>
      </w:r>
    </w:p>
    <w:p>
      <w:pPr>
        <w:spacing w:after="0" w:line="21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Company enters into agreements pursuant to which the Company offers various discovery services. Clients are generally billed monthly based on contractual unit prices and volumes for services delivered. The agreements are typically for an indefinite period of time, however, they are cancelable at will by either party. The Company is entitled to all fees incurred for services performed. The majority of the Company's discovery services revenue comes from two types of billing arrangements: usage based and fixed fee.</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Usage-based arrangements require the client to pay based upon predetermined unit prices and volumes for data hosing, data processing and paper-based services. Project management and review hours are billed based upon the number of hours worked by certain client service processionals at agreed upon rates.</w:t>
      </w:r>
    </w:p>
    <w:p>
      <w:pPr>
        <w:spacing w:after="0" w:line="18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In fixed-fee billing arrangements, the Company agrees to a pre-established monthly fee over a specified term in exchange for various services. The fees are not tied to the attainment of any contractually defined objectives and the monthly fee is nonrefundable.</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Based on an evaluation of the discovery services delivered to each client, the Company has determined that each deliverable has stand-alone value to the client as each of the Company’s discovery services can be sold on a stand-alone basis by the Company and the discovery services are available from other vendors. Additionally, discovery services do not carry a significant degree of risk or unique acceptance criteria that would require a dependency on the performance of future services. The Company recognizes revenue from these arrangements based on contractually stated prices. The Company allocates revenue to the various units of accounting in its arrangements based on the best estimate of selling price for each unit of accounting, which are consistent with the stated prices in those arrangements.</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discovery services arrangements do not include any substantive general rights of return or other contingencies.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("ASU 2016-09"). This ASU affects entities that issue share-based payment awards to their employees. ASU</w:t>
      </w:r>
      <w:r>
        <w:rPr>
          <w:rFonts w:ascii="Arial" w:cs="Arial" w:eastAsia="Arial" w:hAnsi="Arial"/>
          <w:sz w:val="17"/>
          <w:szCs w:val="17"/>
          <w:i w:val="1"/>
          <w:iCs w:val="1"/>
          <w:color w:val="auto"/>
        </w:rPr>
        <w:t xml:space="preserve"> </w:t>
      </w:r>
      <w:r>
        <w:rPr>
          <w:rFonts w:ascii="Arial" w:cs="Arial" w:eastAsia="Arial" w:hAnsi="Arial"/>
          <w:sz w:val="17"/>
          <w:szCs w:val="17"/>
          <w:color w:val="auto"/>
        </w:rPr>
        <w:t>2016-09 is designed to simplify several aspects of accounting for share-based payment award transactions that include the income tax consequences, classification of awards as either equity or liabilities, classification on the statement of cash flows, and forfeiture rate calculations. ASU 2016-09 will become effective for annual and interim periods beginning after December 15, 2016 and early adoption is permitted in any interim or annual period. The Company is currently evaluating the impact of this guidance on its condensed consolidated financial statements.</w:t>
      </w:r>
    </w:p>
    <w:p>
      <w:pPr>
        <w:spacing w:after="0" w:line="17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 xml:space="preserve">In March 2016, the FASB issued ASU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which clarifies the implementation guidance for gross versus net considerations in Topic 606. In April 2016,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issued ASU No. 2016-10, </w:t>
      </w:r>
      <w:r>
        <w:rPr>
          <w:rFonts w:ascii="Arial" w:cs="Arial" w:eastAsia="Arial" w:hAnsi="Arial"/>
          <w:sz w:val="16"/>
          <w:szCs w:val="16"/>
          <w:i w:val="1"/>
          <w:iCs w:val="1"/>
          <w:color w:val="auto"/>
        </w:rPr>
        <w:t>Revenue from Contracts with Customers (Topic 606) – Identifying Performance Obligations and Licensing</w:t>
      </w:r>
      <w:r>
        <w:rPr>
          <w:rFonts w:ascii="Arial" w:cs="Arial" w:eastAsia="Arial" w:hAnsi="Arial"/>
          <w:sz w:val="16"/>
          <w:szCs w:val="16"/>
          <w:color w:val="auto"/>
        </w:rPr>
        <w:t>, which amends the guidance in ASU 2014-09 related to identifying performance obligations and accounting for licenses of intellectual property. These ASUs will be effective for annual and interim periods beginning after December 15, 2017 and early adoption is permitted for annual and interim periods beginning after December 15, 2016. The Company is currently evaluating the impact of this guidance on its condensed consolidated financial statements.</w:t>
      </w:r>
    </w:p>
    <w:p>
      <w:pPr>
        <w:spacing w:after="0" w:line="16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put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The new standard is effective for interim and annual periods beginning after December 15, 2018 and early adoption is permitted. The Company is currently evaluating the impact of this guidance on its condensed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420" w:firstLine="486"/>
        <w:spacing w:after="0" w:line="30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which amends guidance related to certain aspects of the recognition, measurement, presentation,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financial instruments. This update is effective for fiscal years beginning after December 15, 2018, and interim periods in those years. Early adoption is permitted. The Company is currently evaluating the impact of this guidance on its condensed consolidated financial statements.</w:t>
      </w:r>
    </w:p>
    <w:p>
      <w:pPr>
        <w:spacing w:after="0" w:line="22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2017 and early adoption is permitted for annual and interim periods beginning after December 15, 2016. The Company is currently evaluating the impact of this guidance on its condensed consolidated financial statements.</w:t>
      </w:r>
    </w:p>
    <w:p>
      <w:pPr>
        <w:spacing w:after="0" w:line="13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shares used in computing basic net income per share</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52,063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54,175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basic net income per share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restricted stock units using the treasury-stock method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Weighted-average shares used in computing diluted net income per share</w:t>
            </w: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52,616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55,197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28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922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r>
      <w:tr>
        <w:trPr>
          <w:trHeight w:val="851"/>
        </w:trPr>
        <w:tc>
          <w:tcPr>
            <w:tcW w:w="8340" w:type="dxa"/>
            <w:vAlign w:val="bottom"/>
          </w:tcPr>
          <w:p>
            <w:pPr>
              <w:jc w:val="right"/>
              <w:ind w:right="2492"/>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4"/>
              </w:rPr>
              <w:t>March 31, 2016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41,348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80"/>
              <w:spacing w:after="0"/>
              <w:rPr>
                <w:sz w:val="20"/>
                <w:szCs w:val="20"/>
                <w:color w:val="auto"/>
              </w:rPr>
            </w:pPr>
            <w:r>
              <w:rPr>
                <w:rFonts w:ascii="Arial" w:cs="Arial" w:eastAsia="Arial" w:hAnsi="Arial"/>
                <w:sz w:val="16"/>
                <w:szCs w:val="16"/>
                <w:color w:val="auto"/>
              </w:rPr>
              <w:t>Deferred payment obligation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left="659"/>
              <w:spacing w:after="0"/>
              <w:rPr>
                <w:sz w:val="20"/>
                <w:szCs w:val="20"/>
                <w:color w:val="auto"/>
              </w:rPr>
            </w:pPr>
            <w:r>
              <w:rPr>
                <w:rFonts w:ascii="Arial" w:cs="Arial" w:eastAsia="Arial" w:hAnsi="Arial"/>
                <w:sz w:val="16"/>
                <w:szCs w:val="16"/>
                <w:b w:val="1"/>
                <w:bCs w:val="1"/>
                <w:color w:val="auto"/>
                <w:w w:val="91"/>
              </w:rPr>
              <w:t>December 31, 2015</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54,663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61,559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230,696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230,445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230,322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payment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The Company's financial assets are generally classified as available-for-sale. Available-for-sale securities are reported at fair value, with unrealized gains and losses, net of tax, included as a separate component of stockholders’ equity within accumulated other comprehensive income (loss). Realized gains and losses on these securities are included in other income, net in the Company’s condensed consolidated statements of operations and have not been material for all periods presented.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As of March 31, 2016 and December 31, 2015, approximately 73% and 87%, respectively, of the Company's marketable security investments mature within one year and 27% and 13%, respectively, mature within one to five years. As of March 31, 2016, no individual securities incurred continuous unrealized losses for greater than 12 months.</w:t>
      </w:r>
    </w:p>
    <w:p>
      <w:pPr>
        <w:spacing w:after="0" w:line="18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As of March 31, 2016 and December 31, 2015, the Company had short-term cost method investments of $0.6 million which are recorded at amortized cost in short-term investments in the Company's condensed consolidated balance sheets.</w:t>
      </w:r>
    </w:p>
    <w:p>
      <w:pPr>
        <w:spacing w:after="0" w:line="170"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In connection with the Rockstar Transaction (see Note 12, "Commitments and Contingencies"), the Company received funding of $6.3 million from a syndicate participant. At March 31, 2016, the fair value of the loan from the syndicate participant was $0.5 million and was categorized as Level 3 and recorded as a deferred payment obligation in the Company's condensed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Level 3 Valuation Techniques</w:t>
      </w:r>
    </w:p>
    <w:p>
      <w:pPr>
        <w:spacing w:after="0" w:line="63"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Level 3 financial liabilities consist of a repayment obligation to a third party for which determination of fair value requires significant judgment and estimation. Balances categorized within Level 3 of the fair value hierarchy are analyzed each period for changes in estimates or assumptions and recorded as the Company deems appropriate.</w:t>
      </w:r>
    </w:p>
    <w:p>
      <w:pPr>
        <w:spacing w:after="0" w:line="181"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uses the Black-Scholes option valuation model to estimate the fair value of the deferred payment obligation entered into in the Rockstar Transaction. This model incorporates assumptions about details such as the value of underlying securities, expected terms, maturity, risk-free interest rates, as well as volatility. A significant change in volatility and expected term could result in a significant change in fair value. The risk-free interest rate was based on the implied yield currently available on U.S. Treasury zero coupon issues with an equivalent remaining term at the measurement date. The expected volatility was calculated using the standard deviation of the underlying security's weekly returns over the estimated period of time to take to settle the liability. The expected term of the liability is determined by the estimated settlement date of the liability. Changes in the fair value are recorded in other income, net in the Company's condensed consolidated statements of operations. As of March 31, 2016, there were no transfers in or out of Level 3 from other levels of the fair value hierarchy.</w:t>
      </w:r>
    </w:p>
    <w:p>
      <w:pPr>
        <w:spacing w:after="0" w:line="14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824,258</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837,621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(569,698)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(608,596)</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254,560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229,025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March 31, 2016, the estimated economic useful lives of the Company’s patent assets generally ranged from 24 to 60 months. As of March 31, 2016, the weighted-average estimated economic useful life at the time of acquisition of all patent assets acquired since the Company’s inception was 43 months.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March 31, 2016,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81,209</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14,668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r>
      <w:tr>
        <w:trPr>
          <w:trHeight w:val="257"/>
        </w:trPr>
        <w:tc>
          <w:tcPr>
            <w:tcW w:w="9940" w:type="dxa"/>
            <w:vAlign w:val="bottom"/>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229,025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Amortization expense related to the Company's patent assets was $41.8 million and $33.1 million for the three months ended March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1,799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11,658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Depreciation and amortization expense related to the Company's property and equipment was $0.6 million and $0.5 million for the three months ended March 31, 2016 and 2015, respectively.</w:t>
      </w:r>
    </w:p>
    <w:p>
      <w:pPr>
        <w:spacing w:after="0" w:line="12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Solutions, Inc. ("Inventus"), to expand into the litigation discovery management services market. The final purchase price for Inventus was approximately $232 million, net of working capital adjustments, which the Company paid during the three months ended March 31, 2016. The following table summarizes the cash paid and the preliminary estimated fair values of the assets and the liabilities assumed (in thousands) and the estimated useful lives of the acquired identifiable intangible assets: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Preliminary Estimated</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Estimated useful life</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9 - 10 years</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 term assets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The Company’s purchase price allocation for its acquisition of Inventus is preliminary and subject to revision as additional information about fair value of assets and liabilities becomes available. Additional information that existed as of the acquisition date but at that time was unknown to the Company may become known to the Company during the remainder of the measurement period, a period not to exceed 12 months from the acquisition date.</w:t>
      </w:r>
    </w:p>
    <w:p>
      <w:pPr>
        <w:spacing w:after="0" w:line="147"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management market and is not expected to be deductible for tax purposes. For the three months ended March 31, 2016, the Company recorded acquisition-related costs of $1.2 million which were expensed as incurred and included in selling, general and administrative expenses in the Company's condensed consolidated statements of operations. The Company has included the financial results of Inventus in its condensed consolidated financial statements from the acquisition date which includes $10.6 million of revenue and $0.6 million of operating income attributable to Inventus in the Company's condensed consolidated statement of operations for the three months ended March 31, 2016.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446"/>
        <w:spacing w:after="0" w:line="284" w:lineRule="auto"/>
        <w:rPr>
          <w:sz w:val="20"/>
          <w:szCs w:val="20"/>
          <w:color w:val="auto"/>
        </w:rPr>
      </w:pPr>
      <w:r>
        <w:rPr>
          <w:rFonts w:ascii="Arial" w:cs="Arial" w:eastAsia="Arial" w:hAnsi="Arial"/>
          <w:sz w:val="16"/>
          <w:szCs w:val="16"/>
          <w:color w:val="auto"/>
        </w:rPr>
        <w:t>The unaudited pro forma financial information in the table below summarizes the combined results of operations for the Company and Inventus as though the companies had been combined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 based Unified OS Limited and certain of its affiliates as well as certain assets of Kooby LLP ("Unified"). The following unaudited pro forma financial information is for information purposes only and is not necessarily indicative of the results of operations that would have been achieved if the acquisition had taken place as of January 1,</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2015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82,675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95,551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3,290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net income per share</w:t>
            </w: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Patent Risk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Discovery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Management</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Goodwill from business acquisition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145,984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Balance as of March 31, 2016</w:t>
            </w:r>
          </w:p>
        </w:tc>
        <w:tc>
          <w:tcPr>
            <w:tcW w:w="3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19,978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146,847</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166,825</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40"/>
              <w:spacing w:after="0"/>
              <w:rPr>
                <w:sz w:val="20"/>
                <w:szCs w:val="20"/>
                <w:color w:val="auto"/>
              </w:rPr>
            </w:pPr>
            <w:r>
              <w:rPr>
                <w:rFonts w:ascii="Arial" w:cs="Arial" w:eastAsia="Arial" w:hAnsi="Arial"/>
                <w:sz w:val="16"/>
                <w:szCs w:val="16"/>
                <w:b w:val="1"/>
                <w:bCs w:val="1"/>
                <w:color w:val="auto"/>
                <w:w w:val="98"/>
              </w:rPr>
              <w:t>December 31, 2015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average Life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5"/>
              </w:rPr>
              <w:t>Accumulated</w:t>
            </w:r>
          </w:p>
        </w:tc>
        <w:tc>
          <w:tcPr>
            <w:tcW w:w="10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7"/>
              </w:rPr>
              <w:t>(years)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8"/>
              </w:rPr>
              <w:t>Amortization</w:t>
            </w:r>
          </w:p>
        </w:tc>
        <w:tc>
          <w:tcPr>
            <w:tcW w:w="16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Covenant not to compete</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data and models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59,244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900" w:type="dxa"/>
            <w:vAlign w:val="bottom"/>
            <w:gridSpan w:val="15"/>
          </w:tcPr>
          <w:p>
            <w:pPr>
              <w:ind w:left="480"/>
              <w:spacing w:after="0"/>
              <w:rPr>
                <w:sz w:val="20"/>
                <w:szCs w:val="20"/>
                <w:color w:val="auto"/>
              </w:rPr>
            </w:pPr>
            <w:r>
              <w:rPr>
                <w:rFonts w:ascii="Arial" w:cs="Arial" w:eastAsia="Arial" w:hAnsi="Arial"/>
                <w:sz w:val="18"/>
                <w:szCs w:val="18"/>
                <w:color w:val="auto"/>
                <w:w w:val="91"/>
              </w:rPr>
              <w:t>As of March 31, 2016, the Company expects amortization expense in future periods to be as follows (in thousands):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 (remainder)</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2017</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2019</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estimated future amortization expense</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67,466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Amortization expense related to the Company's intangible assets was $2.2 million and $0.4 million for the three months ended March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3,737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14,842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1" w:lineRule="exact"/>
        <w:rPr>
          <w:sz w:val="20"/>
          <w:szCs w:val="20"/>
          <w:color w:val="auto"/>
        </w:rPr>
      </w:pPr>
    </w:p>
    <w:p>
      <w:pPr>
        <w:ind w:right="200" w:firstLine="486"/>
        <w:spacing w:after="0" w:line="288" w:lineRule="auto"/>
        <w:rPr>
          <w:sz w:val="20"/>
          <w:szCs w:val="20"/>
          <w:color w:val="auto"/>
        </w:rPr>
      </w:pPr>
      <w:r>
        <w:rPr>
          <w:rFonts w:ascii="Arial" w:cs="Arial" w:eastAsia="Arial" w:hAnsi="Arial"/>
          <w:sz w:val="16"/>
          <w:szCs w:val="16"/>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March 31, 2016. The Term Facility bears interest which is payable quarterly in arrears at the Company's option equal to either a base rate plus a margin ranging from</w:t>
      </w:r>
    </w:p>
    <w:p>
      <w:pPr>
        <w:ind w:right="80"/>
        <w:spacing w:after="0" w:line="252" w:lineRule="auto"/>
        <w:rPr>
          <w:sz w:val="20"/>
          <w:szCs w:val="20"/>
          <w:color w:val="auto"/>
        </w:rPr>
      </w:pPr>
      <w:r>
        <w:rPr>
          <w:rFonts w:ascii="Arial" w:cs="Arial" w:eastAsia="Arial" w:hAnsi="Arial"/>
          <w:sz w:val="18"/>
          <w:szCs w:val="18"/>
          <w:color w:val="auto"/>
        </w:rPr>
        <w:t>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three months ended March 31, 2016 at an average interest rate of 2.94% during the period which approximates fair value. The Revolving Credit Facility bears a commitment fee on undrawn balances of 0.35% to 0.45% per annum, also based upon the Company's debt to consolidated EBITDA ratio, which are expensed as incurred. The Credit Agreement contains certain financial covenants requiring the Company to maintain certain leverage and fixed charge ratios. The Credit Agreement also includes limitations on the Company's debt incurrence, dividend payments, and disposal activities.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500"/>
              <w:spacing w:after="0"/>
              <w:rPr>
                <w:sz w:val="20"/>
                <w:szCs w:val="20"/>
                <w:color w:val="auto"/>
              </w:rPr>
            </w:pPr>
            <w:r>
              <w:rPr>
                <w:rFonts w:ascii="Arial" w:cs="Arial" w:eastAsia="Arial" w:hAnsi="Arial"/>
                <w:sz w:val="18"/>
                <w:szCs w:val="18"/>
                <w:color w:val="auto"/>
              </w:rPr>
              <w:t>The Term Facility requires repayments of principal in accordance with the following schedule (in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6"/>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3,750</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9,375</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18,125</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Long-term debt, gross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9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98,034</w:t>
            </w:r>
          </w:p>
        </w:tc>
      </w:tr>
      <w:tr>
        <w:trPr>
          <w:trHeight w:val="311"/>
        </w:trPr>
        <w:tc>
          <w:tcPr>
            <w:tcW w:w="10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93,435</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98,034</w:t>
            </w: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right="8380" w:hanging="492"/>
        <w:spacing w:after="0" w:line="33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ind w:right="120" w:firstLine="486"/>
        <w:spacing w:after="0" w:line="257" w:lineRule="auto"/>
        <w:rPr>
          <w:sz w:val="20"/>
          <w:szCs w:val="20"/>
          <w:color w:val="auto"/>
        </w:rPr>
      </w:pPr>
      <w:r>
        <w:rPr>
          <w:rFonts w:ascii="Arial" w:cs="Arial" w:eastAsia="Arial" w:hAnsi="Arial"/>
          <w:sz w:val="18"/>
          <w:szCs w:val="18"/>
          <w:color w:val="auto"/>
        </w:rPr>
        <w:t>The Company generally does not enter into long-term minimum purchase commitments. Its principal long-term commitments consist of obligations under operating leases for office space. Other than certain commitments obtained through the Company's acquisition of Inventus as shown below, there were no substantial changes to the Company’s contractual obligations or commitments during the three months ended March 31, 2016 as compared to those presented under the heading “Commitments and Contingencies” in Note 10 of the Notes to Consolidated Financial Statements in Part II, Item 8 of the Company’s Annual Report on Form 10-K filed with the SEC on February 26, 2016.</w:t>
      </w:r>
    </w:p>
    <w:p>
      <w:pPr>
        <w:spacing w:after="0" w:line="18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Rent expense related to non-cancelable operating leases was $1.2 million and $0.9 million for the three months ended March 31, 2016 and 2015, respectively, net of sublease income of $0.2 million earned during each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aggregate future non-cancelable minimum lease payments from the Company's operating leases acquired through its acquisition of Inventus are as follows as of March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2016</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4,757</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Through its acquisition of Inventus, the Company also acquired a three year contractual commitment totaling $5.3 million related to its third-party discovery service software license, of which $1.8 million remains unpaid and will be paid within twelve months.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Payment Obligations</w:t>
      </w:r>
    </w:p>
    <w:p>
      <w:pPr>
        <w:spacing w:after="0" w:line="7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On December 22, 2014, the Company and RPX Clearinghouse LLC (a wholly-owned subsidiary of the Company) entered into an Asset Purchase Agreement by and among Rockstar Consortium US LP, Rockstar Consortium LLC, Bockstar Technologies LLC, Constellation Technologies LLC, MobileStar Technologies LLC, and NetStar Technologies LLC (the “Sellers”), for the purchase of substantially all of the patent assets owned or controlled by the Sellers (the “Rockstar Transaction”). In connection with the Rockstar Transaction, the Company acquired certain common stock, convertible preferred stock, and redeemable convertible preferred stock investments held by the Sellers. To fund the acquisition of these securities, the Company received funding of $6.3 million from a syndicate participant and seller financing of $5.9 million. The loan from the syndicate participant was settled on April 4, 2016 and the seller financing was settled during the year ended December 31, 2015.</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loan received from the syndicate participant bore no interest. The terms of the obligation required repayment up to the $6.3 million received only to the extent proceeds are received from the sale of the common and convertible preferred stock securities, which resulted in a difference between the funding received and the fair value of the loan. The Company elected to carry this loan at fair value and categorized it as a Level 3 instrument due to the significance of unobservable inputs developed using company-specific information to estimate the loan’s fair value. Changes in fair value are reported in other income, net in the Company's condensed consolidated statements of operations. During the three months ended March 31, 2016, the fair value of this loan decreased from $2.4 million to $0.5 million, resulting in a gain of $1.9 million recognized in other income, net in the condensed consolidated statements of operations.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March 31, 2016 or December 31, 2015.</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18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Company is not currently able to determine whether there is a reasonable possibility that a loss has been incurred, nor can it estimate the potential loss or range of the potential loss that may result from this litigation.</w:t>
      </w:r>
    </w:p>
    <w:p>
      <w:pPr>
        <w:spacing w:after="0" w:line="178" w:lineRule="exact"/>
        <w:rPr>
          <w:sz w:val="20"/>
          <w:szCs w:val="20"/>
          <w:color w:val="auto"/>
        </w:rPr>
      </w:pPr>
    </w:p>
    <w:p>
      <w:pPr>
        <w:ind w:right="340" w:firstLine="486"/>
        <w:spacing w:after="0" w:line="279" w:lineRule="auto"/>
        <w:rPr>
          <w:sz w:val="20"/>
          <w:szCs w:val="20"/>
          <w:color w:val="auto"/>
        </w:rPr>
      </w:pPr>
      <w:r>
        <w:rPr>
          <w:rFonts w:ascii="Arial" w:cs="Arial" w:eastAsia="Arial" w:hAnsi="Arial"/>
          <w:sz w:val="17"/>
          <w:szCs w:val="17"/>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The plaintiff seeks monetary damages and injunctive relief. The Company is not currently able to determine whether there is a reasonable possibility that a loss has been incurred, nor can we estimate the potential loss or range of the potential loss that may result from this litigation.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March 31, 2016 or December 31, 2015.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In August 2012, the Company began offering insurance to cover certain costs of litigation brought against its insured clients. As of March 31, 2016, the Company recorded a reserve of $0.6 million for known and incurred but not reported claims that represents estimated claim costs and related expenses.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regularly reviews its loss reserves using a variety of actuarial techniques and updates them as its loss experience develops.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Shares Available</w:t>
            </w: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Arial" w:cs="Arial" w:eastAsia="Arial" w:hAnsi="Arial"/>
                <w:sz w:val="16"/>
                <w:szCs w:val="16"/>
                <w:b w:val="1"/>
                <w:bCs w:val="1"/>
                <w:color w:val="auto"/>
                <w:w w:val="95"/>
              </w:rPr>
              <w:t>Aggregate</w:t>
            </w:r>
          </w:p>
        </w:tc>
      </w:tr>
      <w:tr>
        <w:trPr>
          <w:trHeight w:val="210"/>
        </w:trPr>
        <w:tc>
          <w:tcPr>
            <w:tcW w:w="46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for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Exercise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2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2015</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16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 withheld related to net-share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 of restricted stock units</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 March 31, 2016</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4,500</w:t>
            </w:r>
          </w:p>
        </w:tc>
      </w:tr>
      <w:tr>
        <w:trPr>
          <w:trHeight w:val="25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March 31, 2016</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4,137</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8"/>
                <w:szCs w:val="18"/>
                <w:color w:val="auto"/>
              </w:rPr>
              <w:t>Vested and expected to vest - March 31, 2016</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4,486</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the first quarter of 2016, the Company reserved an additional 2,000,000 shares of its common stock for future issuance under the 2011 Plan.</w:t>
      </w:r>
    </w:p>
    <w:p>
      <w:pPr>
        <w:spacing w:after="0" w:line="14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The aggregate intrinsic value of stock options exercised during the three months ended March 31, 2016 and 2015 was $0.2 million and $1.6 million, respectively. The total grant date fair value of stock options vested during the three months ended March 31, 2016 and 2015 was $0.6 million and $0.9 million,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2015</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March 31, 2016</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48,250</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total grant date fair value of RSUs vested during the three months ended March 31, 2016 and 2015 was $2.8 million and $2.3 million, respectively.</w:t>
      </w:r>
    </w:p>
    <w:p>
      <w:pPr>
        <w:spacing w:after="0" w:line="24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three months ended March 31, 2016, the Company withheld issuing 102,841 shares of its common stock based on the value of the RSUs on their vesting dates as determined by the Company’s closing common stock price. Total payments to taxing authorities for employees’ minimum tax obligations were $1.0 million for the three months ended March 31, 2016,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Stock-based compensation expense related to stock options granted to employees and directors was $0.5 million and $0.7 million for the three months ended March 31, 2016 and 2015, respectively. Stock-based compensation expense related to RSUs granted to employees and directors was $4.2 million and $3.0 million for the three months ended March 31, 2016 and 2015, respectively. Stock-based compensation expense related to PBRSUs granted to employees was $0.3 million and $0.1 million for the three month periods ended March 31, 2016 and 2015, respectively.</w:t>
      </w:r>
    </w:p>
    <w:p>
      <w:pPr>
        <w:spacing w:after="0" w:line="17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As of March 31, 2016, there was $0.6 million and $47.7 million of unrecognized compensation cost related to stock options and RSUs, including PBRSUs, respectively, which is expected to be recognized over a weighted-average period of 0.4 years and 3.1 years, respectively.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the Company increased its share repurchase program by $25 million, for a total amount authorized of $100 million. As of March 31, 2016, the Company repurchased $50.0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are reflected as a reduction to common stock and retained earnings in the Company's condensed consolidated balance sheet during the period presented as follows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January 1, 2016</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23,853</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March 31, 2016</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50,028</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39% and 38% for the three months ended March 31, 2016 and 2015, respectively.</w:t>
      </w:r>
    </w:p>
    <w:p>
      <w:pPr>
        <w:spacing w:after="0" w:line="18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Company's 2012 through 2015 tax periods are open to examination by the Internal Revenue Service and the 2011 through 2015 tax periods are open to examination by most state tax authorities.</w:t>
      </w:r>
    </w:p>
    <w:p>
      <w:pPr>
        <w:spacing w:after="0" w:line="12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During the three months ended March 31, 2016 and 2015, three and five members, respectively, of the Company’s Board of Directors also served on the boards of directors of RPX clients. The Company recognized subscription revenue from these clients in the amount of $2.4 million for each three month period ended March 31, 2016 and 2015. The Company recognized selling, general, and administrative expenses from products and services provided by these clients of $0.1 million for each three month period ended March 31, 2016 and 2015. As of March 31, 2016 and December 31, 2015, there were $1.7 million and nil receivables, respectively, due from these clients. These transactions with related-parties were conducted on terms equivalent to those prevailing in arm's length transactions.</w:t>
      </w:r>
    </w:p>
    <w:p>
      <w:pPr>
        <w:spacing w:after="0" w:line="149"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Operating segments are components of an enterprise about which separate financial information is available. Operating segments are reported in a manner consistent with the internal reporting provided to the chief operating decision maker, or decision-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Subsequent to the acquisition of Inventus (see Note 7, Business Combinations), the Company's Chief Executive Officer reviews financial information for the legacy RPX business separately from the acquired company. Therefore as of March 31, 2016, the Company has two reportable segments: 1) RPX which generates its revenues primarily from its patent risk management solution and 2) Inventus which generates its revenues primarily from litigation discovery management services. There are no significant internal revenue transactions between these two reportable segments.</w:t>
      </w:r>
    </w:p>
    <w:p>
      <w:pPr>
        <w:spacing w:after="0" w:line="178"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which reflects core operating performance and provides an indicator of the segment's ability to generate cash. The Company defines Adjusted EBITDA as operating income exclusive of stock-based compensation and related employer payroll taxes, depreciation, and amortization.</w:t>
      </w:r>
    </w:p>
    <w:p>
      <w:pPr>
        <w:spacing w:after="0" w:line="15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2016 utilized by the Company's Chief Operating Decision Maker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40" w:type="dxa"/>
            <w:vAlign w:val="bottom"/>
          </w:tcPr>
          <w:p>
            <w:pPr>
              <w:jc w:val="right"/>
              <w:ind w:right="11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42,632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37"/>
        </w:trPr>
        <w:tc>
          <w:tcPr>
            <w:tcW w:w="47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9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42,657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EBTIDA</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52,182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Discovery Services</w:t>
            </w:r>
          </w:p>
        </w:tc>
        <w:tc>
          <w:tcPr>
            <w:tcW w:w="3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Revenue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Adjusted EBTIDA</w:t>
            </w:r>
          </w:p>
        </w:tc>
        <w:tc>
          <w:tcPr>
            <w:tcW w:w="39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311"/>
        </w:trPr>
        <w:tc>
          <w:tcPr>
            <w:tcW w:w="472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79,735</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tcPr>
          <w:p>
            <w:pPr>
              <w:jc w:val="right"/>
              <w:ind w:right="11"/>
              <w:spacing w:after="0"/>
              <w:rPr>
                <w:sz w:val="20"/>
                <w:szCs w:val="20"/>
                <w:color w:val="auto"/>
              </w:rPr>
            </w:pPr>
            <w:r>
              <w:rPr>
                <w:rFonts w:ascii="Arial" w:cs="Arial" w:eastAsia="Arial" w:hAnsi="Arial"/>
                <w:sz w:val="18"/>
                <w:szCs w:val="18"/>
                <w:color w:val="auto"/>
              </w:rPr>
              <w:t>47,666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9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980" w:type="dxa"/>
            <w:vAlign w:val="bottom"/>
            <w:vMerge w:val="restart"/>
          </w:tcPr>
          <w:p>
            <w:pPr>
              <w:jc w:val="right"/>
              <w:ind w:right="281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The Company markets its solutions to companies around the world. Revenue is generally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8"/>
          </w:tcPr>
          <w:p>
            <w:pPr>
              <w:jc w:val="right"/>
              <w:ind w:right="460"/>
              <w:spacing w:after="0"/>
              <w:rPr>
                <w:sz w:val="20"/>
                <w:szCs w:val="20"/>
                <w:color w:val="auto"/>
              </w:rPr>
            </w:pPr>
            <w:r>
              <w:rPr>
                <w:rFonts w:ascii="Arial" w:cs="Arial" w:eastAsia="Arial" w:hAnsi="Arial"/>
                <w:sz w:val="16"/>
                <w:szCs w:val="16"/>
                <w:b w:val="1"/>
                <w:bCs w:val="1"/>
                <w:color w:val="auto"/>
                <w:w w:val="95"/>
              </w:rPr>
              <w:t>Three Months Ended March 31,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Japan</w:t>
            </w:r>
          </w:p>
        </w:tc>
        <w:tc>
          <w:tcPr>
            <w:tcW w:w="3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9,332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33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4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79,735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83,287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80" w:type="dxa"/>
            <w:vAlign w:val="bottom"/>
            <w:vMerge w:val="restart"/>
          </w:tcPr>
          <w:p>
            <w:pPr>
              <w:jc w:val="right"/>
              <w:ind w:right="97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26, 2016.</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Solutions, Inc.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February 26, 2016.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Since our founding in 2008, we have been providing a rational alternative to litigation through our patent risk management services. In January 2016 through our acquisition of Inventus, we began offering discovery services to our clients through effective use of the Company's advanced technology solutions.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 Services</w:t>
      </w:r>
    </w:p>
    <w:p>
      <w:pPr>
        <w:spacing w:after="0" w:line="77" w:lineRule="exact"/>
        <w:rPr>
          <w:sz w:val="20"/>
          <w:szCs w:val="20"/>
          <w:color w:val="auto"/>
        </w:rPr>
      </w:pPr>
    </w:p>
    <w:p>
      <w:pPr>
        <w:ind w:right="36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240" w:firstLine="446"/>
        <w:spacing w:after="0" w:line="264" w:lineRule="auto"/>
        <w:rPr>
          <w:sz w:val="20"/>
          <w:szCs w:val="20"/>
          <w:color w:val="auto"/>
        </w:rPr>
      </w:pPr>
      <w:r>
        <w:rPr>
          <w:rFonts w:ascii="Arial" w:cs="Arial" w:eastAsia="Arial" w:hAnsi="Arial"/>
          <w:sz w:val="18"/>
          <w:szCs w:val="18"/>
          <w:color w:val="auto"/>
        </w:rPr>
        <w:t>The core of our patent risk management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patent risk management clients include companies that design, make or sell technology-based products and services as well as companies that use technology in their businesses.</w:t>
      </w:r>
    </w:p>
    <w:p>
      <w:pPr>
        <w:spacing w:after="0" w:line="181"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During the three months ended March 31, 2016 and 2015, revenue from our patent risk management solution was $69.2 million and $83.3 million. Our patent risk management services client count increased by 41 clients during the three months ended March 31, 2016, bringing our total client network to 286 as of March 31, 2016. At March 31, 2016, we had deferred revenue of $140.0 million.</w:t>
      </w:r>
    </w:p>
    <w:p>
      <w:pPr>
        <w:spacing w:after="0" w:line="181" w:lineRule="exact"/>
        <w:rPr>
          <w:sz w:val="20"/>
          <w:szCs w:val="20"/>
          <w:color w:val="auto"/>
        </w:rPr>
      </w:pPr>
    </w:p>
    <w:p>
      <w:pPr>
        <w:ind w:right="10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three months ended March 31, 2016, we completed 23 acquisitions of patent assets and our gross and net patent acquisition spend totaled $16.3 million and $16.2 million, respectively. From our inception through March 31, 2016, we have completed 330 acquisitions of patent assets with gross and net patent acquisition spend of $2.1 billion and $846.2 million, respectively.</w:t>
      </w:r>
    </w:p>
    <w:p>
      <w:pPr>
        <w:spacing w:after="0" w:line="17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Insuring against the costs of patent litigation is a natural extension of our core defensive patent acquisition service. In August 2012, we started to offer patent infringement liability insurance, which is a liability insurance policy for operating companies that covers certain costs associated with patent infringement lawsuits. The insurance product complements our core defensive patent acquisition service, enabling policyholders to better manage and mitigate the risk of patent litigation. In connection with an evolution in the way that we sell insurance policies, during March 2014 we formed a reinsurance company to assume a portion of the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underwriting risk on insurance policies that we issue on behalf of a Lloyd’s of London underwriting syndicate. We began issuing new policies under the reinsurance model in May 2014. As of March 31, 2016, we had a total of 121 active insurance policies. The effect of the insurance policies that we have issued or assumed through our reinsurance business was not material to our results of operations or financial condition for the three months ended March 31, 2016 or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January 2016, through our wholly-owned subsidiary Inventus, we began offering our discovery services solution which provides technology-enabled services to assist leading law firms and corporate legal departments manage costs and risks related to the litigation discovery process. Our more than 1,000 discovery services clients in nearly a dozen countries benefit from our discovery services solution, which includes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88"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discovery services solution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Subscription revenue includes membership subscription services to our patent risk management solution, premiums earned from insurance policies, and management fees.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Additionally,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policies in the future, for the three months ended March 31, 2016 and 2015, insurance premium revenue was not material to our results of operations.</w:t>
      </w:r>
    </w:p>
    <w:p>
      <w:pPr>
        <w:spacing w:after="0" w:line="167"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solution. These services are typically comprised of data collection, hosting and processing, project management, and document review services, and are generally billed in arrears based on the number of users, amount of data stored, and/or number of consulting hours.</w:t>
      </w:r>
    </w:p>
    <w:p>
      <w:pPr>
        <w:spacing w:after="0" w:line="18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recognize revenue from the sale of licenses and advisory fee income in connection with syndicated acquisitions, which we collectively refer to as fee-related revenue. In the future, we may receive other revenue and fee income from newly introduced products and services. While we may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Cost of revenue from our patent risk management solution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solution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solution began to include premiums ceded to reinsurers and loss reserves. We began to issue new policies under the reinsurance model in May 2014 and under this model we do not cede premiums.</w:t>
      </w:r>
    </w:p>
    <w:p>
      <w:pPr>
        <w:spacing w:after="0" w:line="18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cost of revenue for the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43 months. We expect our cost of revenue from our patent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 management solution to increase in the future as we add additional patent assets to our existing portfolio to support our existing and future clients and as our insurance business grows.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Cost of revenue from our discovery services consists primarily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data and software license fees is primarily fixed but can fluctuate based on levels of data hosted and number of users our clients choose to have access to the software.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Other income, net consists of interest income earned on our cash, cash equivalents and short-term investments and interest expenses incurred on our term debt as well as changes in fair value of our deferred payment obligations.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4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Other than revenue recognition for the Company's discovery services solution disclosed below, there have been no material changes to the Company’s significant accounting policies during the three months ended March 31, 2016,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26, 2016.</w:t>
      </w:r>
    </w:p>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We recognize revenue from our discovery services solution in accordance with Accounting Standards Codification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revenue is recognized when persuasive evidence of an arrangement exists, the related services are provided, the price is fixed or determinable, and collectability is reasonably assured. Our revenue recognition policies related to our discovery services are described in more detail in Note 2, "Basis of Presentation and Significant Accounting Policies," in Notes to Condensed Consolidated Financial Statements (unaudited) in Part I, Item 1 of this Quarterly Report on Form 10-Q.</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83,287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34,759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29,069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11,159</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18,031</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 of operations data as a percentage of revenue.</w:t>
      </w:r>
    </w:p>
    <w:p>
      <w:pPr>
        <w:spacing w:after="0" w:line="18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37465</wp:posOffset>
            </wp:positionV>
            <wp:extent cx="2023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8840"/>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r>
      <w:tr>
        <w:trPr>
          <w:trHeight w:val="33"/>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42</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Our revenue for the three months ended March 31, 2016 was $79.7 million compared to $83.3 million during the same period a year prior, a decrease of $3.6 million, or 4%. Subscription revenue, which includes membership subscription services, premiums earned from insurance policies, and management fees, for the three months ended March 31, 2016 was $67.1 million compared to $66.2 million for the three months ended March 31, 2015. The increase in subscription revenue was primarily attributable to an increase in membership fees and insurance premiums of $3.1 million from new clients who joined our network subsequent to March 31, 2015 offset by a decrease of $2.2 million from clients who joined our network prior to March 31, 2015. As of March 31, 2016, we had a total client network of 286 companies as compared to 224 as of March 31, 2015.</w:t>
      </w:r>
    </w:p>
    <w:p>
      <w:pPr>
        <w:spacing w:after="0" w:line="178"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three months ended March 31, 2016 was $10.6 million compared to nil in the same period a year prior as we acquired Inventus in January 2016.</w:t>
      </w:r>
    </w:p>
    <w:p>
      <w:pPr>
        <w:spacing w:after="0" w:line="124"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Revenue for the three months ended March 31, 2016 and 2015 included fee-related revenue of $2.0 million and $17.0 million, respectively. The decrease in fee-related revenue was primarily attributable to the success fee earned in relation to a particularly large syndicated acquisition recognized in the three months ended March 31,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cost of revenue for the three months ended March 31, 2016 was $47.7 million compared to $34.8 million during the same period a year prior, an increase of $12.9 million, or 37%. The increase was primarily attributable to an $8.7 million increase in patent amortization expense as a result of an increase in our patent assets and shorter than historical amortization periods for certain patent assets acquired subsequent to March 31, 2015. Patent assets acquired during the three months ended March 31, 2016 had a weighted-average amortization period of 28 months compared with the historical weighted-average since our inception of 43 months. This increase is also attributable to the cost of revenue for discovery services of $5.0 million associated with Inventus which we acquired in January 2016 and therefore has no comparable cost of revenue for the three months ended March 31, 2015. These increases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partially offset by a $0.5 million decrease in expenses incurred to conduct inter partes reviews and prior art searches and a $0.3 million decrease in costs related to our insurance business.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Our selling, general and administrative expenses for the three months ended March 31, 2016 were $26.9 million compared to $19.5 million during the same period a year prior, an increase of $7.4 million, or 38%. The increase was primarily due to a $3.0 million increase in personnel-related costs primarily attributable to increasing our headcount to over 300 employees as of March 31, 2016, over 150 of which joined RPX due to our acquisition of Inventus in January 2016 and $3.2 million of other selling, general and administrative expenses incurred in relation to our acquisition of Inventus.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7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Our other income, net for the three months ended March 31, 2016 was $1.8 million compared to $0.1 million during the same period a year prior, an increase of $1.7 million. The increase was primarily due to a $1.9 million fair value adjustment on our deferred payment obligations offset by $0.3 million of interest expense incurred on our credit facility entered into in late February 2016.</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Our provision for income taxes was $2.7 million and $11.2 million for the three months ended March 31, 2016 and 2015. Our effective tax rate, including the impact of discrete benefit items, was 39% and 38% for the three months ended March 31, 2016 and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the sale of equity securities, and from borrowing through term loan facilities. As of March 31, 2016, we had $157.7 million of cash and cash equivalents and $46.5 million in short-term investments. On January 22, 2016, we paid consideration of $232 million in cash, net of working capital adjustments, at the closing of the Inventus acquisition. On February 26, 2016, we entered into a credit agreement for a $100 million five-year term facility and a $50 million five-year revolving credit facility. As of March 31, 2016, the revolving credit facility remains entirely undrawn.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may experience an increased level of patent acquisition spending as our business grows. We expect our cash used in investing activities to increase in the future as we acquire additional patent assets. We expect our cash used in financing activities to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(42,488)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62,708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40,839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Cash provided by operating activities for the three months ended March 31, 2016 was $55.1 million, consisting of adjustments for non-cash items of $48.8 million, changes in working capital and non-current assets and liabilities of $2.1 million and net income of $4.2 million. Non-cash adjustments to net income primarily consisted of $44.6 million of depreciation and amortization, $4.9 million of stock-based compensation, $0.7 million net decrease in our deferred taxes excluding those acquired through our acquisition of Inventus in January 2016, and $0.5 million of amortization of premium on investments, partially offset by $1.9 million of fair value adjustments on our deferred payment obligations and an unrealized gain of $0.2 million due to foreign currency fluctuations. The change in working capital and non-current assets and liabilities resulted primarily from a $24.2 million increase in deferred revenue and a $4.5 million decrease in prepaid expenses and other assets partially offset by a $19.3 million increase in accounts receivable, a $7.5 million decrease in our accrued and other liabilities and a $0.1 million decrease in accounts payable.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Cash provided by operating activities for the three months ended March 31, 2015 was $77.1 million, consisting of adjustments for non-cash items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$38.3 million, changes in working capital and non-current assets and liabilities of $20.8 million and net income of $18.0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primarily consisted of $34.0 million of depreciation and amortization, $3.9 million of stock-based compensation, $1.4 million of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on investments, a reduction of $0.3 million due to excess tax benefit from stock-based compensation and a $0.7 million net increase in our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taxes. The change in working capital and non-current assets and liabilities resulted primarily from a $9.4 million decrease in accounts receivable, $22.1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deferred revenue, a $1.3 million increase in accounts payable, partially offset by a $5.3 million increase 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and a $6.8 million decrease in our accrued and other liabilities. The decrease in accounts receivable was due to $104.6 million in cash collections,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billings to new and existing clients of $95.2 million. The increase in deferred revenue was due to revenue recognized during the period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$67.0 million, partially offset by $89.1 million in billings to new and existing clients. The amount of deferred revenue in any given period varies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 of new clients, the mix of payment terms that we offer and the timing of invoicing existing clients.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Cash used in investing activities for the three months ended March 31, 2016 was $65.6 million, of which $228.5 million was used for the acquisition of Inventus, net of cash received, $16.0 million was used to acquire patent assets, $1.0 million was used to acquire property and equipment, and $0.2 million used to increase our restricted cash balances, partially offset by $180.1 million net sales and maturities of short-term investments.</w:t>
      </w:r>
    </w:p>
    <w:p>
      <w:pPr>
        <w:spacing w:after="0" w:line="166"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2015 was $42.5 million, of which $28.6 million was used to acquire patent assets, $13.1 million represented net purchases of short-term marketable securities, increase in restricted cash of $0.2 million, and $0.5 million was used to acquire property and equipment.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Cash used in financing activities for the three months ended March 31, 2016 was $73.2 million, of which $100.0 million represented proceeds from the issuance of long-term debt which was partially offset by $23.9 million used to repurchase our common stock under our share repurchase program, $2.0 million for payments of issuance costs related to our long-term debt, and $1.0 million used in taxes paid related to net-share settlements of restricted stock units.</w:t>
      </w:r>
    </w:p>
    <w:p>
      <w:pPr>
        <w:spacing w:after="0" w:line="25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Cash provided by financing activities for the three months ended March 31, 2015 was $6.3 million, of which $6.3 million was result of proceeds from deferred benefit obligations, $0.7 million was the result of proceeds from the exercise of stock options and other common stock issuances, and $0.3 million was due to excess tax benefit from stock-based compensation. This cash inflow was partially offset by $0.9 million in taxes paid related to net-share settlements of restricted stock units and $0.1 million used to repurchase our common stock under our share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77" w:lineRule="exact"/>
        <w:rPr>
          <w:sz w:val="20"/>
          <w:szCs w:val="20"/>
          <w:color w:val="auto"/>
        </w:rPr>
      </w:pPr>
    </w:p>
    <w:p>
      <w:pPr>
        <w:ind w:right="340" w:firstLine="486"/>
        <w:spacing w:after="0" w:line="293" w:lineRule="auto"/>
        <w:rPr>
          <w:sz w:val="20"/>
          <w:szCs w:val="20"/>
          <w:color w:val="auto"/>
        </w:rPr>
      </w:pPr>
      <w:r>
        <w:rPr>
          <w:rFonts w:ascii="Arial" w:cs="Arial" w:eastAsia="Arial" w:hAnsi="Arial"/>
          <w:sz w:val="16"/>
          <w:szCs w:val="16"/>
          <w:color w:val="auto"/>
        </w:rPr>
        <w:t>We generally do not enter into long-term minimum purchase commitments. Our principal long-term commitments consist of obligations under operating leases for office space. Other than certain commitments obtained through our acquisition of Inventus as shown below, there were no substantial changes to our contractual obligations and commitments during the three months ended March 31, 2016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10 of the Notes to Consolidated Financial Statements in Part II, Item 8 of our Annual Report on Form 10-K filed with the SEC on February 26, 2016.</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aggregate future non-cancelable minimum lease payments from the operating leases acquired through our acquisition of Inventus are as follows as of March 31,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1,148</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non-cancelable minimum operating lease payments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minimum payments to be received from non-cancelable subleases</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non-cancelable minimum operating lease payments,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4,757</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Through our acquisition of Inventus, we also acquired a three year contractual commitment totaling $5.3 million related to its third-party discovery service software license, of which $1.8 million remains unpaid and will be paid within twelve months.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7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On February 26, 2016, we entered into a Credit Agreement (the "Credit Agreement") which provided for a $100 million five-year term facility (the "Term Facility") and a $50 million five-year revolving credit facility (the "Revolving Credit Facility"). Our debt facilities are described in more detail in Note 11, "Debt," in Notes to Condensed Consolidated Financial Statements (unaudited) in Part I, Item 1 of this Quarterly Report on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In March 2016, the Company increased its share repurchase program by $25 million, for a total amount authorized of $100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March 31, 2016, we had repurchased an aggregate of 4.3 million shares of common stock in the open market for $50.0 million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At March 31, 2016,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subscription agreements are denominated in U.S. Dollars and, therefore, our subscription revenue is not currently subject to significant foreign currency risk. Certain of our discovery services fees are denominated in currencies other than the U.S. Dollar, primarily British Pound, and therefore these revenues are exposed to foreign exchange rate fluctuations.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Japanese Yen and European Euro relative to the U.S. Dollar. To date, we have not entered into any foreign currency hedging contracts.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As of March 31, 2016, the Company had an outstanding term facility with a five-year maturity with an aggregate carrying amount of $100 million, which bears interest at the Company's option equal to either a base rate plus a margin ranging from 1.25% to 1.75% per annum or the London interbank offered rate ("LIBOR") plus a margin ranging from 2.25% to 2.75% per annum, based upon the ratio of the Company's debt to consolidated EBITDA ratio. A hypothetical 100 BPS increase or decrease in LIBOR would increase or decrease the interest expense on our term facility by approximately $0.1 million for the three months ended March 31, 2016.</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$204.2 million as of March 31, 2016.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of March 31, 2016, our short-term investments of $46.5 million were primarily invested in municipal and corporate bonds maturing between 90 days and 12 months, U.S. government and agency securities, commercial paper, and equity securities. As of March 31, 2016,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March 31, 2016, we had not recorded any impairment charges related to our investments in the condensed consolidated statement of operations.</w:t>
      </w:r>
    </w:p>
    <w:p>
      <w:pPr>
        <w:spacing w:after="0" w:line="178"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 hypothetical change in our interest rates of 10% during the three months ended March 31, 2016 would not have had a material impact on the fair value of our investments.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140" w:firstLine="48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2016, our Chief Executive Officer and Chief Financial Officer concluded that, as of such date, the Company’s disclosure controls and procedures were effective at the reasonable assurance level.</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2016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100" w:hanging="326"/>
        <w:spacing w:after="0" w:line="29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We acquired our first patent assets in September 2008, sold our first membership in October 2008, and sold our first insurance policy in August 2012. In addition, we acquired Inventus and its litigation discovery management business in January 2016. The litigation discovery management business is a new business for us. Therefore, we have not only a limited operating history, but also a limited track record in executing our business model. Our future success depends on acceptance of our solutions by companies we target to become clients and successfully integrating our acquisition of Inventus.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9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likely harm our operating results. If we introduce a higher rate card in the future, it may be more difficult for us to attract new 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7"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March 31, 2016 was 2.6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6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difficult for us to rapidly increase our revenue through additional sales in any period, as subscription fees from new clients must generally be recognized over the applicable membership term.</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recently acquired Inventus Solutions, Inc.,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9"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client offerings,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right="24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8"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8"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2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9"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360" w:firstLine="446"/>
        <w:spacing w:after="0" w:line="279" w:lineRule="auto"/>
        <w:rPr>
          <w:sz w:val="20"/>
          <w:szCs w:val="20"/>
          <w:color w:val="auto"/>
        </w:rPr>
      </w:pPr>
      <w:r>
        <w:rPr>
          <w:rFonts w:ascii="Arial" w:cs="Arial" w:eastAsia="Arial" w:hAnsi="Arial"/>
          <w:sz w:val="17"/>
          <w:szCs w:val="17"/>
          <w:color w:val="auto"/>
        </w:rPr>
        <w:t>We expect to face more direct competition in the future in both our patent risk management business and litigation discovery management business from other established and emerging companies. In addition, as a relatively new company in the patent risk management market and litigation discovery management market, we have limited insight into trends that may develop and affect our businesses. As a result, we may make errors in predicting and reacting to relevant business trends, making us unable to compete effectively against others.</w:t>
      </w:r>
    </w:p>
    <w:p>
      <w:pPr>
        <w:spacing w:after="0" w:line="171"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management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7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8" w:lineRule="exact"/>
        <w:rPr>
          <w:sz w:val="20"/>
          <w:szCs w:val="20"/>
          <w:color w:val="auto"/>
        </w:rPr>
      </w:pPr>
    </w:p>
    <w:p>
      <w:pPr>
        <w:ind w:right="100" w:firstLine="446"/>
        <w:spacing w:after="0" w:line="291"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8"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in June 2014 we acquired DCML Services Corporation, a provider of data, intelligence and consulting on NPEs.</w:t>
      </w:r>
    </w:p>
    <w:p>
      <w:pPr>
        <w:spacing w:after="0" w:line="187"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The development and implementation of new solutions, particularly our litigation discovery management solution,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8"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We expect to increase future expenditures to develop and expand our business, including making substantial expenditures to develop new solutions. For example, in March 2014 we formed a reinsurance company to bear some underwriting risk on insurance policies that we issue on behalf of a Lloyd’s of London underwriting syndicate. We began placing new policies under the reinsurance model in May 2014. In January 2016 we acquired Inventus Solutions, Inc. and expanded our business into the litigation discovery management market, which is a new business for us.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65"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49"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operation of an insurance business will expose us to additional laws and regulations. Compliance with such laws and regulations may be costly, which could affect our results of operations.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8" w:lineRule="exact"/>
        <w:rPr>
          <w:sz w:val="20"/>
          <w:szCs w:val="20"/>
          <w:color w:val="auto"/>
        </w:rPr>
      </w:pPr>
    </w:p>
    <w:p>
      <w:pPr>
        <w:ind w:right="22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7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63"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three months ended March 31, 2016, our 10 highest revenue-generating clients accounted for approximately 27%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During the audit of the financial statements of our recently-acquired subsidiary Inventus Solutions, Inc. for the year ended December 31, 2015, we concluded the subsidiary's controls were not effectively designed and did not operate at the appropriate level of precision to record the valuation of deferred tax assets in the appropriate period, resulting in the restatement of Inventus's consolidated financial statements for the year ended December 31, 2014. Inventus’s management concluded that this control deficiency constituted a material weakness as of December 31, 2015. If we are unable to effectively remediate control deficiencies which are identified or are otherwise unable to maintain adequate internal controls over Inventus’s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solution or fees payable under our subscription agreements, which could adversely affect our financial condition and operating results.</w:t>
      </w:r>
    </w:p>
    <w:p>
      <w:pPr>
        <w:spacing w:after="0" w:line="8"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69"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7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On February 26, 2016, we entered into a Credit Agreement (the "Credit Agreement") which provided for a $100 million five-year term facility (the "Term Facility") and a $50 million five-year revolving credit facility (the "Revolving Credit Facility"). As of March 31, 2016, the total balance outstanding on the Term Facility is $100 million, and the Revolving Credit Facility remains undrawn.</w:t>
      </w:r>
    </w:p>
    <w:p>
      <w:pPr>
        <w:spacing w:after="0" w:line="33"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methods, estimates and judgments. In addition, actual results may differ from these estimates under different assumptions or conditions. Changes in those methods, estimates and judgments could significantly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7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As of January 1, 2015, we had secured quota share reinsurance from third party reinsurers for 42% of the risk underwritten through our risk retention group and 40% of the risk underwritten for our insurance company business partner.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stockholders or others.</w:t>
      </w:r>
    </w:p>
    <w:p>
      <w:pPr>
        <w:spacing w:after="0" w:line="77" w:lineRule="exact"/>
        <w:rPr>
          <w:sz w:val="20"/>
          <w:szCs w:val="20"/>
          <w:color w:val="auto"/>
        </w:rPr>
      </w:pPr>
    </w:p>
    <w:p>
      <w:pPr>
        <w:ind w:right="80" w:firstLine="446"/>
        <w:spacing w:after="0" w:line="288" w:lineRule="auto"/>
        <w:rPr>
          <w:sz w:val="20"/>
          <w:szCs w:val="20"/>
          <w:color w:val="auto"/>
        </w:rPr>
      </w:pPr>
      <w:r>
        <w:rPr>
          <w:rFonts w:ascii="Arial" w:cs="Arial" w:eastAsia="Arial" w:hAnsi="Arial"/>
          <w:sz w:val="16"/>
          <w:szCs w:val="16"/>
          <w:color w:val="auto"/>
        </w:rPr>
        <w:t>In March 2016, Mangrove Partners Master Fund, Ltd. (“Mangrove Partners”) sent a letter to our Board of Directors and nominated three candidates for election to our Board of Directors at our 2016 Annual Meeting of Stockholders. Mangrove Partners or other stockholders may from time to time attempt to effect changes, engage in proxy solicitations or advance stockholder proposals. Responding to proxy contests, litigation and other actions by activist stockholders can generally be costly and time-consuming, disrupting our operations and diverting the attention of our Board of Directors and management from the pursuit of business strategies and executing our strategic plan. Stockholder campaigns could result in corporate governance changes that could adversely affect our results of operations and financial condition. Perceived uncertainties as to our future direction as a result of stockholder activism, potential changes to the composition of the Board of Directors, or other developments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because of any such issues, then our business, operating results, and financial condition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6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18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As of March 31, 2016, some of our existing stockholders have demand and piggyback rights to require us to register with the SEC approximately 1,240,000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February 2015, our Board of Directors approved a share repurchase program of up to $75 million. In March 2016, our Board of Directors further increased the amount authorized to repurchase to $100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March 31, 2016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January 31,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1,265,543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1,265,543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60,293,245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29, 2016</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51,971,553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31, 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188,177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188,177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49,971,188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2,259,029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160" w:firstLine="8"/>
        <w:spacing w:after="0" w:line="273"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On February 10, 2015, the Company announced that its Board of Directors has authorized a share repurchase program under which the Company is authorized to repurchase up to $75.0 million of its outstanding common stock with no expiration date from the date of authorization. In March 2016, the Company further increased its amount authorized to repurchase to $100 million. As of March 31, 2016, the Company repurchased $50.0 million of the outstanding common stock. Under the program, shares may be repurchased in privately negotiated and/or open market transactions, including under plans complying with Rule 10b5-1 under the Securities Exchange Act of 1934, as amended (the “Exchange Act”). The Company’s share repurchase program does not obligate it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-845820</wp:posOffset>
            </wp:positionV>
            <wp:extent cx="1003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-845820</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5"/>
              </w:rPr>
              <w:t>Employment Offer Letter by and between the Registrant and Trevor Campion, dated</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as of January 21, 2016</w:t>
            </w:r>
          </w:p>
        </w:tc>
        <w:tc>
          <w:tcPr>
            <w:tcW w:w="0" w:type="dxa"/>
            <w:vAlign w:val="bottom"/>
          </w:tcPr>
          <w:p>
            <w:pPr>
              <w:spacing w:after="0"/>
              <w:rPr>
                <w:sz w:val="1"/>
                <w:szCs w:val="1"/>
                <w:color w:val="auto"/>
              </w:rPr>
            </w:pPr>
          </w:p>
        </w:tc>
      </w:tr>
      <w:tr>
        <w:trPr>
          <w:trHeight w:val="324"/>
        </w:trPr>
        <w:tc>
          <w:tcPr>
            <w:tcW w:w="104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Agreement and Plan of Merger entered into on December 13, 2015</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6"/>
              </w:rPr>
              <w:t>Credit Agreement, dated as of February 26, 2016, by and among RPX Corporation,</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w w:val="97"/>
              </w:rPr>
              <w:t>JPMorgan Chase Bank, N.A., as administrative agent and collateral agent, and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lenders party thereto.</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ind w:left="20"/>
              <w:spacing w:after="0"/>
              <w:rPr>
                <w:sz w:val="20"/>
                <w:szCs w:val="20"/>
                <w:color w:val="auto"/>
              </w:rPr>
            </w:pPr>
            <w:r>
              <w:rPr>
                <w:rFonts w:ascii="Arial" w:cs="Arial" w:eastAsia="Arial" w:hAnsi="Arial"/>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540"/>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1/28/2016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tcPr>
          <w:p>
            <w:pPr>
              <w:ind w:left="20"/>
              <w:spacing w:after="0"/>
              <w:rPr>
                <w:sz w:val="20"/>
                <w:szCs w:val="20"/>
                <w:color w:val="auto"/>
              </w:rPr>
            </w:pPr>
            <w:r>
              <w:rPr>
                <w:rFonts w:ascii="Arial" w:cs="Arial" w:eastAsia="Arial" w:hAnsi="Arial"/>
                <w:sz w:val="14"/>
                <w:szCs w:val="14"/>
                <w:color w:val="auto"/>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3/1/2016</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200" w:space="120"/>
            <w:col w:w="510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920" w:type="dxa"/>
            <w:vAlign w:val="bottom"/>
            <w:gridSpan w:val="3"/>
          </w:tcPr>
          <w:p>
            <w:pPr>
              <w:ind w:left="1840"/>
              <w:spacing w:after="0"/>
              <w:rPr>
                <w:sz w:val="20"/>
                <w:szCs w:val="20"/>
                <w:color w:val="auto"/>
              </w:rPr>
            </w:pPr>
            <w:r>
              <w:rPr>
                <w:rFonts w:ascii="Arial" w:cs="Arial" w:eastAsia="Arial" w:hAnsi="Arial"/>
                <w:sz w:val="18"/>
                <w:szCs w:val="18"/>
                <w:color w:val="auto"/>
              </w:rPr>
              <w:t>RPX CORPORATION</w:t>
            </w:r>
          </w:p>
        </w:tc>
      </w:tr>
      <w:tr>
        <w:trPr>
          <w:trHeight w:val="270"/>
        </w:trPr>
        <w:tc>
          <w:tcPr>
            <w:tcW w:w="3280" w:type="dxa"/>
            <w:vAlign w:val="bottom"/>
          </w:tcPr>
          <w:p>
            <w:pPr>
              <w:spacing w:after="0"/>
              <w:rPr>
                <w:sz w:val="23"/>
                <w:szCs w:val="23"/>
                <w:color w:val="auto"/>
              </w:rPr>
            </w:pP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c>
          <w:tcPr>
            <w:tcW w:w="4060" w:type="dxa"/>
            <w:vAlign w:val="bottom"/>
          </w:tcPr>
          <w:p>
            <w:pPr>
              <w:spacing w:after="0"/>
              <w:rPr>
                <w:sz w:val="23"/>
                <w:szCs w:val="23"/>
                <w:color w:val="auto"/>
              </w:rPr>
            </w:pPr>
          </w:p>
        </w:tc>
      </w:tr>
      <w:tr>
        <w:trPr>
          <w:trHeight w:val="594"/>
        </w:trPr>
        <w:tc>
          <w:tcPr>
            <w:tcW w:w="3280" w:type="dxa"/>
            <w:vAlign w:val="bottom"/>
          </w:tcPr>
          <w:p>
            <w:pPr>
              <w:spacing w:after="0"/>
              <w:rPr>
                <w:sz w:val="20"/>
                <w:szCs w:val="20"/>
                <w:color w:val="auto"/>
              </w:rPr>
            </w:pPr>
            <w:r>
              <w:rPr>
                <w:rFonts w:ascii="Arial" w:cs="Arial" w:eastAsia="Arial" w:hAnsi="Arial"/>
                <w:sz w:val="18"/>
                <w:szCs w:val="18"/>
                <w:color w:val="auto"/>
              </w:rPr>
              <w:t>Date:  May 9, 2016</w:t>
            </w: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JOHN A. AMSTER</w:t>
            </w:r>
          </w:p>
        </w:tc>
      </w:tr>
      <w:tr>
        <w:trPr>
          <w:trHeight w:val="27"/>
        </w:trPr>
        <w:tc>
          <w:tcPr>
            <w:tcW w:w="3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John A. Amster</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280" w:type="dxa"/>
            <w:vAlign w:val="bottom"/>
          </w:tcPr>
          <w:p>
            <w:pPr>
              <w:spacing w:after="0"/>
              <w:rPr>
                <w:sz w:val="20"/>
                <w:szCs w:val="20"/>
                <w:color w:val="auto"/>
              </w:rPr>
            </w:pPr>
            <w:r>
              <w:rPr>
                <w:rFonts w:ascii="Arial" w:cs="Arial" w:eastAsia="Arial" w:hAnsi="Arial"/>
                <w:sz w:val="18"/>
                <w:szCs w:val="18"/>
                <w:color w:val="auto"/>
              </w:rPr>
              <w:t>Date:  May 9, 2016</w:t>
            </w:r>
          </w:p>
        </w:tc>
        <w:tc>
          <w:tcPr>
            <w:tcW w:w="286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060" w:type="dxa"/>
            <w:vAlign w:val="bottom"/>
          </w:tcPr>
          <w:p>
            <w:pPr>
              <w:ind w:left="140"/>
              <w:spacing w:after="0"/>
              <w:rPr>
                <w:sz w:val="20"/>
                <w:szCs w:val="20"/>
                <w:color w:val="auto"/>
              </w:rPr>
            </w:pPr>
            <w:r>
              <w:rPr>
                <w:rFonts w:ascii="Arial" w:cs="Arial" w:eastAsia="Arial" w:hAnsi="Arial"/>
                <w:sz w:val="18"/>
                <w:szCs w:val="18"/>
                <w:color w:val="auto"/>
              </w:rPr>
              <w:t>/s/ ROBERT H. HEATH</w:t>
            </w:r>
          </w:p>
        </w:tc>
      </w:tr>
      <w:tr>
        <w:trPr>
          <w:trHeight w:val="27"/>
        </w:trPr>
        <w:tc>
          <w:tcPr>
            <w:tcW w:w="3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Robert H. Heath</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70"/>
        </w:trPr>
        <w:tc>
          <w:tcPr>
            <w:tcW w:w="328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280" w:type="dxa"/>
            <w:vAlign w:val="bottom"/>
          </w:tcPr>
          <w:p>
            <w:pPr>
              <w:spacing w:after="0"/>
              <w:rPr>
                <w:sz w:val="24"/>
                <w:szCs w:val="24"/>
                <w:color w:val="auto"/>
              </w:rPr>
            </w:pPr>
          </w:p>
        </w:tc>
        <w:tc>
          <w:tcPr>
            <w:tcW w:w="2860" w:type="dxa"/>
            <w:vAlign w:val="bottom"/>
            <w:gridSpan w:val="2"/>
          </w:tcPr>
          <w:p>
            <w:pPr>
              <w:ind w:left="2300"/>
              <w:spacing w:after="0"/>
              <w:rPr>
                <w:sz w:val="20"/>
                <w:szCs w:val="20"/>
                <w:color w:val="auto"/>
              </w:rPr>
            </w:pPr>
            <w:r>
              <w:rPr>
                <w:rFonts w:ascii="Arial" w:cs="Arial" w:eastAsia="Arial" w:hAnsi="Arial"/>
                <w:sz w:val="18"/>
                <w:szCs w:val="18"/>
                <w:color w:val="auto"/>
              </w:rPr>
              <w:t>43</w:t>
            </w:r>
          </w:p>
        </w:tc>
        <w:tc>
          <w:tcPr>
            <w:tcW w:w="406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45" w:name="page46"/>
    <w:bookmarkEnd w:id="45"/>
    <w:p>
      <w:pPr>
        <w:jc w:val="right"/>
        <w:spacing w:after="0"/>
        <w:rPr>
          <w:sz w:val="20"/>
          <w:szCs w:val="20"/>
          <w:color w:val="auto"/>
        </w:rPr>
      </w:pPr>
      <w:r>
        <w:rPr>
          <w:rFonts w:ascii="Arial" w:cs="Arial" w:eastAsia="Arial" w:hAnsi="Arial"/>
          <w:sz w:val="25"/>
          <w:szCs w:val="2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RPX CORPORATION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ONE MARKET PLAZA, STEUART TOWER, SUITE 800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 FRANCISCO, CA 94105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21, 2016</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Trevor Campion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Trevor:</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you are aware, RPX Corporation (the “Company”) is in the process of acquiring Inventus Solutions, Inc. (“Inventus”) pursuant to an Agreement and Plan of Merger (the “Merger Agreement”) between Inventus, the Company and certain other parties (the “Transaction”). The Company is pleased to offer you employment on the following terms, which offer and our agreement to its terms shall be effective upon, and subject to the occurrence of, the closing of the Transaction (the “Closing”):</w:t>
      </w:r>
    </w:p>
    <w:p>
      <w:pPr>
        <w:spacing w:after="0" w:line="177" w:lineRule="exact"/>
        <w:rPr>
          <w:sz w:val="20"/>
          <w:szCs w:val="20"/>
          <w:color w:val="auto"/>
        </w:rPr>
      </w:pPr>
    </w:p>
    <w:p>
      <w:pPr>
        <w:jc w:val="both"/>
        <w:ind w:firstLine="656"/>
        <w:spacing w:after="0" w:line="247" w:lineRule="auto"/>
        <w:tabs>
          <w:tab w:leader="none" w:pos="1459"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Position</w:t>
      </w:r>
      <w:r>
        <w:rPr>
          <w:rFonts w:ascii="Arial" w:cs="Arial" w:eastAsia="Arial" w:hAnsi="Arial"/>
          <w:sz w:val="22"/>
          <w:szCs w:val="22"/>
          <w:color w:val="auto"/>
        </w:rPr>
        <w:t>. Your title will be Chief Executive Officer of the Company’s wholly-owned subsidiary Inventus, you will</w:t>
      </w:r>
      <w:r>
        <w:rPr>
          <w:rFonts w:ascii="Arial" w:cs="Arial" w:eastAsia="Arial" w:hAnsi="Arial"/>
          <w:sz w:val="22"/>
          <w:szCs w:val="22"/>
          <w:b w:val="1"/>
          <w:bCs w:val="1"/>
          <w:color w:val="auto"/>
        </w:rPr>
        <w:t xml:space="preserve"> </w:t>
      </w:r>
      <w:r>
        <w:rPr>
          <w:rFonts w:ascii="Arial" w:cs="Arial" w:eastAsia="Arial" w:hAnsi="Arial"/>
          <w:sz w:val="22"/>
          <w:szCs w:val="22"/>
          <w:color w:val="auto"/>
        </w:rPr>
        <w:t>have such duties and responsibilities as are commensurate and consistent with such role as Chief Executive Officer, you will report to John Amster, President &amp; Chief Executive Officer, and be part of the Company’s executive management team. This is a full-time, exempt position. Notwithstanding the foregoing, you may engage in charitable and educational activities, serve on corporate and non-profit boards, and manage your personal and family investments, in each case subject to the Company’s Code of Business Conduct and so long as such activities do not materially interfere with your obligations to the Company. Your primary place of business will be Chicago, Illinois.</w:t>
      </w:r>
    </w:p>
    <w:p>
      <w:pPr>
        <w:spacing w:after="0" w:line="189" w:lineRule="exact"/>
        <w:rPr>
          <w:rFonts w:ascii="Arial" w:cs="Arial" w:eastAsia="Arial" w:hAnsi="Arial"/>
          <w:sz w:val="22"/>
          <w:szCs w:val="22"/>
          <w:color w:val="auto"/>
        </w:rPr>
      </w:pPr>
    </w:p>
    <w:p>
      <w:pPr>
        <w:jc w:val="both"/>
        <w:ind w:firstLine="656"/>
        <w:spacing w:after="0" w:line="268" w:lineRule="auto"/>
        <w:tabs>
          <w:tab w:leader="none" w:pos="1152"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Cash Compensation</w:t>
      </w:r>
      <w:r>
        <w:rPr>
          <w:rFonts w:ascii="Arial" w:cs="Arial" w:eastAsia="Arial" w:hAnsi="Arial"/>
          <w:sz w:val="21"/>
          <w:szCs w:val="21"/>
          <w:color w:val="auto"/>
        </w:rPr>
        <w:t>. The Company will pay you a starting salary at the rate of $500,000 per year, payable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Inventus’s standard payroll schedule. Your base salary, bonus opportunity and equity compensation level will be reviewed on an annual basis by the Compensation Committee of the Company’s Board of Directors (the “Compensation Committee”) and may be increased (but not decreased) from time to time, in the discretion of the Compensation Committee. References herein to “base salary” shall mean the base salary as increased.</w:t>
      </w:r>
    </w:p>
    <w:p>
      <w:pPr>
        <w:spacing w:after="0" w:line="164" w:lineRule="exact"/>
        <w:rPr>
          <w:rFonts w:ascii="Arial" w:cs="Arial" w:eastAsia="Arial" w:hAnsi="Arial"/>
          <w:sz w:val="21"/>
          <w:szCs w:val="21"/>
          <w:color w:val="auto"/>
        </w:rPr>
      </w:pPr>
    </w:p>
    <w:p>
      <w:pPr>
        <w:jc w:val="both"/>
        <w:ind w:firstLine="656"/>
        <w:spacing w:after="0" w:line="253" w:lineRule="auto"/>
        <w:tabs>
          <w:tab w:leader="none" w:pos="1058"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Annual Bonus Opportunity</w:t>
      </w:r>
      <w:r>
        <w:rPr>
          <w:rFonts w:ascii="Arial" w:cs="Arial" w:eastAsia="Arial" w:hAnsi="Arial"/>
          <w:sz w:val="22"/>
          <w:szCs w:val="22"/>
          <w:color w:val="auto"/>
        </w:rPr>
        <w:t>. You will also be eligible to receive an annual cash bonus payment each calendar year.</w:t>
      </w:r>
      <w:r>
        <w:rPr>
          <w:rFonts w:ascii="Arial" w:cs="Arial" w:eastAsia="Arial" w:hAnsi="Arial"/>
          <w:sz w:val="22"/>
          <w:szCs w:val="22"/>
          <w:b w:val="1"/>
          <w:bCs w:val="1"/>
          <w:color w:val="auto"/>
        </w:rPr>
        <w:t xml:space="preserve"> </w:t>
      </w:r>
      <w:r>
        <w:rPr>
          <w:rFonts w:ascii="Arial" w:cs="Arial" w:eastAsia="Arial" w:hAnsi="Arial"/>
          <w:sz w:val="22"/>
          <w:szCs w:val="22"/>
          <w:color w:val="auto"/>
        </w:rPr>
        <w:t>Your annual bonus target will be 100% of your base salary. Annual bonuses are discretionary, although the Compensation Committee will consider both achievements of the Company, the business unit, and individual performance in determining bonus amount, in a manner consistent with other senior executives of the Company. The bonus in respect of a particular year will be paid after the end of the year</w:t>
      </w:r>
    </w:p>
    <w:p>
      <w:pPr>
        <w:sectPr>
          <w:pgSz w:w="11900" w:h="16838" w:orient="portrait"/>
          <w:cols w:equalWidth="0" w:num="1">
            <w:col w:w="11420"/>
          </w:cols>
          <w:pgMar w:left="240" w:top="616" w:right="2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and after the Board of Directors approves our year-end financial statements when bonuses are paid to other senior executives of the Company. Except as provided below, no bonus payment will be paid unless you are an employee of the Company (or its subsidiaries) on the last day of the bonus year. Please note that your eligibility for an annual bonus does not constitute a contract of employment or alter the “at will” status of your employment.</w:t>
      </w:r>
    </w:p>
    <w:p>
      <w:pPr>
        <w:spacing w:after="0" w:line="182" w:lineRule="exact"/>
        <w:rPr>
          <w:sz w:val="20"/>
          <w:szCs w:val="20"/>
          <w:color w:val="auto"/>
        </w:rPr>
      </w:pPr>
    </w:p>
    <w:p>
      <w:pPr>
        <w:jc w:val="both"/>
        <w:ind w:firstLine="656"/>
        <w:spacing w:after="0" w:line="277" w:lineRule="auto"/>
        <w:tabs>
          <w:tab w:leader="none" w:pos="1031"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 xml:space="preserve">Additional Incentive Compensation. </w:t>
      </w:r>
      <w:r>
        <w:rPr>
          <w:rFonts w:ascii="Arial" w:cs="Arial" w:eastAsia="Arial" w:hAnsi="Arial"/>
          <w:sz w:val="20"/>
          <w:szCs w:val="20"/>
          <w:color w:val="auto"/>
        </w:rPr>
        <w:t>You will receive a cash payment in the amount of up to $1,500,000 if Inventus</w:t>
      </w:r>
      <w:r>
        <w:rPr>
          <w:rFonts w:ascii="Arial" w:cs="Arial" w:eastAsia="Arial" w:hAnsi="Arial"/>
          <w:sz w:val="20"/>
          <w:szCs w:val="20"/>
          <w:b w:val="1"/>
          <w:bCs w:val="1"/>
          <w:color w:val="auto"/>
        </w:rPr>
        <w:t xml:space="preserve"> </w:t>
      </w:r>
      <w:r>
        <w:rPr>
          <w:rFonts w:ascii="Arial" w:cs="Arial" w:eastAsia="Arial" w:hAnsi="Arial"/>
          <w:sz w:val="20"/>
          <w:szCs w:val="20"/>
          <w:color w:val="auto"/>
        </w:rPr>
        <w:t>meets or exceeds certain performance targets for fiscal years 2016 and 2017 to be approved by the Compensation Committee based on recommendations from Mr. Amster in consultation with you. The additional incentive compensation will be paid at the same time annual bonuses are paid for 2017 provided you are an employee of the Company on the last day of 2017. In the event that the Company terminates your employment without Cause or if you incur a Resignation for Good Reason, or if you die or have a Disability, provided you have executed and you have not timely revoked a Release of Claims (as defined in Section 10(b)), the unpaid additional incentive compensation will be immediately vested and paid in full, in cash, within fifteen (15) days following such termination (or if later, within fifteen (15) days following the effective date of such Release of Claims but in no event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year following such event).</w:t>
      </w:r>
    </w:p>
    <w:p>
      <w:pPr>
        <w:spacing w:after="0" w:line="70" w:lineRule="exact"/>
        <w:rPr>
          <w:rFonts w:ascii="Arial" w:cs="Arial" w:eastAsia="Arial" w:hAnsi="Arial"/>
          <w:sz w:val="20"/>
          <w:szCs w:val="20"/>
          <w:color w:val="auto"/>
        </w:rPr>
      </w:pPr>
    </w:p>
    <w:p>
      <w:pPr>
        <w:jc w:val="both"/>
        <w:ind w:firstLine="656"/>
        <w:spacing w:after="0" w:line="265" w:lineRule="auto"/>
        <w:tabs>
          <w:tab w:leader="none" w:pos="1017" w:val="left"/>
        </w:tabs>
        <w:numPr>
          <w:ilvl w:val="0"/>
          <w:numId w:val="29"/>
        </w:numPr>
        <w:rPr>
          <w:rFonts w:ascii="Arial" w:cs="Arial" w:eastAsia="Arial" w:hAnsi="Arial"/>
          <w:sz w:val="21"/>
          <w:szCs w:val="21"/>
          <w:color w:val="auto"/>
        </w:rPr>
      </w:pPr>
      <w:r>
        <w:rPr>
          <w:rFonts w:ascii="Arial" w:cs="Arial" w:eastAsia="Arial" w:hAnsi="Arial"/>
          <w:sz w:val="21"/>
          <w:szCs w:val="21"/>
          <w:b w:val="1"/>
          <w:bCs w:val="1"/>
          <w:color w:val="auto"/>
        </w:rPr>
        <w:t>Equity Compensation</w:t>
      </w:r>
      <w:r>
        <w:rPr>
          <w:rFonts w:ascii="Arial" w:cs="Arial" w:eastAsia="Arial" w:hAnsi="Arial"/>
          <w:sz w:val="21"/>
          <w:szCs w:val="21"/>
          <w:color w:val="auto"/>
        </w:rPr>
        <w:t>. We will recommend to the Compensation Committee at the first meeting thereof following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 that you receive, and you will receive, a grant of 350,000 restricted stock units (the “RSUs”). This grant is subject to approval by the Compensation Committee or Board and will vest 25% upon the first quarterly vesting date following the completion of your first year of employment, with the remaining 75% vesting in equal quarterly installments over the next three years of employment. For administrative reasons, vesting of the RSUs will occur only on the Company’s established quarterly vesting dates rather than on the anniversary of your vesting commencement date.</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addition, we will recommend to the Compensation Committee at the first meeting thereof following the Transaction that you receive, and you will receive, a grant of 100,000 restricted stock units (the “Additional RSUs”). This grant is subject to approval by the Compensation Committee or Board and will vest 33.3% upon the first quarterly vesting date following the completion of your second year of employment, with the remaining 66.7% vesting in equal quarterly installments over the next two years of employment. For administrative reasons, vesting of the RSUs will occur only on the Company’s established quarterly vesting dates rather than on the anniversary of your vesting commencement date.</w:t>
      </w:r>
    </w:p>
    <w:p>
      <w:pPr>
        <w:spacing w:after="0" w:line="22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RSUs and Additional RSUs (and any equity compensation afforded hereafter) will have such terms as are consistent with other senior executives of the Company, including, as applicable, dividend equivalents and share withholding.</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before the one year anniversary of the date of Closing (a) the Company is subject to a Change in Control, (b) the Inventus business is sold or otherwise disposed (whether by merger or otherwise) or (c) you are subject to an Involuntary Termination and you have</w:t>
      </w:r>
    </w:p>
    <w:p>
      <w:pPr>
        <w:sectPr>
          <w:pgSz w:w="11900" w:h="16838" w:orient="portrait"/>
          <w:cols w:equalWidth="0" w:num="1">
            <w:col w:w="11420"/>
          </w:cols>
          <w:pgMar w:left="240" w:top="631" w:right="2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21"/>
          <w:szCs w:val="21"/>
          <w:color w:val="auto"/>
        </w:rPr>
        <w:t>executed and you have not timely revoked a Release of Claims (as defined in Section 10(b)), then your vested percentage of your RSUs and Additional RSUs will be 40%. Without limiting the foregoing, if the Company is subject to a Change in Control or the Inventus business is sold or otherwise disposed (whether by merger or otherwise) before your employment terminates and you are subject to an Involuntary Termination in connection with or within twelve months after the Change in Control or sale or disposition of the Inventus business, then you will become vested in all of the then-unvested RSUs and Additional RSUs. Further, if you die or if the Company terminates your employment because of your Disability, in either case prior to the Cliff Vesting Date, then you will vest in the first 25% of the RSUs and Additional RSUs.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“Involuntary Termination” shall mean (i) a Separation as a result of the termination of your employment by the Company for reasons other than Cause or death or Disability; or (ii) your Resignation for Good Reason.</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“Resignation for Good Reason” shall mean a Separation as a result of your voluntary resignation within 12 months after one of the following conditions has come into existence (or if later, your actual knowledge of such condition) without your consent: (i)</w:t>
      </w:r>
    </w:p>
    <w:p>
      <w:pPr>
        <w:spacing w:after="0" w:line="1" w:lineRule="exact"/>
        <w:rPr>
          <w:sz w:val="20"/>
          <w:szCs w:val="20"/>
          <w:color w:val="auto"/>
        </w:rPr>
      </w:pPr>
    </w:p>
    <w:p>
      <w:pPr>
        <w:jc w:val="both"/>
        <w:ind w:firstLine="8"/>
        <w:spacing w:after="0" w:line="287" w:lineRule="auto"/>
        <w:tabs>
          <w:tab w:leader="none" w:pos="39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reduction in your title or position; or (B) a material reduction in your authority or responsibility; (ii) a change in your reporting relationship such that you no longer directly report to the Company’s Chief Executive Officer; (iii) a reduction in your base salary; (iv) a requirement that you relocate your principal place of employment by more than 35 miles; (v) a material breach by the Company or its affiliates of any agreement with you to which it is a party or any obligation it has to you; (vi) the Company’s or its affiliates’ failure to pay amounts or provide benefits to you when due; (vii) a reduction in bonus opportunity or any material employee benefit in a manner inconsistent with other senior executives; or (viii) failure to approve the RSUs or the Additional RSUs. A Resignation for Good Reason will not be deemed to have occurred unless you give the Company written notice of the condition within ninety (90) days after the condition comes into existence (or if later, your actual knowledge of such condition) and the Company fails to remedy the condition within thirty (30) days after receiving your written notice.</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“Cause” shall mean, so long as notice is given within ninety (90) days of the initial occurrence of the grounds purporting to constitute Cause (or if later, within ninety (90) days of the Company’s actual knowledge of such grounds) (i) your intentional and unauthorized use or disclosure of the Company’s confidential information or trade secrets, which use or disclosure causes material harm to the Company; (ii) your material breach of any agreement between you and the Company; (iii) your material failure to comply with the Company’s material written policies or rules that are applicable to you and that have been made available to you;</w:t>
      </w:r>
    </w:p>
    <w:p>
      <w:pPr>
        <w:spacing w:after="0" w:line="4" w:lineRule="exact"/>
        <w:rPr>
          <w:sz w:val="20"/>
          <w:szCs w:val="20"/>
          <w:color w:val="auto"/>
        </w:rPr>
      </w:pPr>
    </w:p>
    <w:p>
      <w:pPr>
        <w:jc w:val="both"/>
        <w:ind w:firstLine="8"/>
        <w:spacing w:after="0" w:line="244" w:lineRule="auto"/>
        <w:tabs>
          <w:tab w:leader="none" w:pos="373" w:val="left"/>
        </w:tabs>
        <w:numPr>
          <w:ilvl w:val="0"/>
          <w:numId w:val="31"/>
        </w:numPr>
        <w:rPr>
          <w:rFonts w:ascii="Arial" w:cs="Arial" w:eastAsia="Arial" w:hAnsi="Arial"/>
          <w:sz w:val="22"/>
          <w:szCs w:val="22"/>
          <w:color w:val="auto"/>
        </w:rPr>
      </w:pPr>
      <w:r>
        <w:rPr>
          <w:rFonts w:ascii="Arial" w:cs="Arial" w:eastAsia="Arial" w:hAnsi="Arial"/>
          <w:sz w:val="22"/>
          <w:szCs w:val="22"/>
          <w:color w:val="auto"/>
        </w:rPr>
        <w:t>your conviction of, or plea of “guilty” or “no contest” to, a felony under the laws of the United States or any State thereof; (v) your gross negligence or willful misconduct relating to the Company that causes harm to the Company; (vi) your continuing failure to substantially perform reasonably assigned duties after receiving written notification of such failure from the Board of Directors (provided that poor results shall not constitute grounds for Cause termination); or (vii) your failure to cooperate in good faith with a governmental</w:t>
      </w:r>
    </w:p>
    <w:p>
      <w:pPr>
        <w:sectPr>
          <w:pgSz w:w="11900" w:h="16838" w:orient="portrait"/>
          <w:cols w:equalWidth="0" w:num="1">
            <w:col w:w="11420"/>
          </w:cols>
          <w:pgMar w:left="240" w:top="631" w:right="2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1"/>
          <w:szCs w:val="21"/>
          <w:color w:val="auto"/>
        </w:rPr>
        <w:t>or internal investigation of the Company or its directors, officers or employees, if the Company has reasonably requested your cooperation. To the extent you commit an act that would constitute Cause pursuant to (ii), (iii), (vi) or (vii), you will be given notice and an opportunity to cure within thirty (30) days of receiving notice and, if you reasonably cure such act as determined by the Audit Committee of the Company’s Board of Directors, it will not constitute Cause. “Change in Control” shall have the meaning assigned to such term in Section 14.6 of the Company’s 2011 Equity Incentive Plan.</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“Disability” shall mean your inability to engage in any substantial gainful activity by reason of any medically determinable physical or mental impairment that results in death or lasts for a continuous period of not less than six months.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“Separation” means a “separation from service,” as defined in the regulations under Section 409A of the Internal Revenue Code of 1986, as amended.</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Both the RSUs and the Additional RSUs will be subject to the terms and conditions applicable to awards granted under the Company’s 2011 Equity Incentive Plan, as described in that Plan and the applicable award agreements.</w:t>
      </w:r>
    </w:p>
    <w:p>
      <w:pPr>
        <w:spacing w:after="0" w:line="146" w:lineRule="exact"/>
        <w:rPr>
          <w:sz w:val="20"/>
          <w:szCs w:val="20"/>
          <w:color w:val="auto"/>
        </w:rPr>
      </w:pPr>
    </w:p>
    <w:p>
      <w:pPr>
        <w:jc w:val="both"/>
        <w:ind w:firstLine="656"/>
        <w:spacing w:after="0" w:line="256" w:lineRule="auto"/>
        <w:tabs>
          <w:tab w:leader="none" w:pos="1031"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Employee Benefits</w:t>
      </w:r>
      <w:r>
        <w:rPr>
          <w:rFonts w:ascii="Arial" w:cs="Arial" w:eastAsia="Arial" w:hAnsi="Arial"/>
          <w:sz w:val="22"/>
          <w:szCs w:val="22"/>
          <w:color w:val="auto"/>
        </w:rPr>
        <w:t>. As a senior executive employee of Inventus, and a senior executive of the Company, you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to participate in a number of Company-sponsored benefits in a manner consistent with eligibility afforded other senior executives of Inventus. In addition, you will be entitled to paid time off in accordance with the Inventus PTO policy, as in effect from time to time.</w:t>
      </w:r>
    </w:p>
    <w:p>
      <w:pPr>
        <w:spacing w:after="0" w:line="176" w:lineRule="exact"/>
        <w:rPr>
          <w:rFonts w:ascii="Arial" w:cs="Arial" w:eastAsia="Arial" w:hAnsi="Arial"/>
          <w:sz w:val="22"/>
          <w:szCs w:val="22"/>
          <w:color w:val="auto"/>
        </w:rPr>
      </w:pPr>
    </w:p>
    <w:p>
      <w:pPr>
        <w:jc w:val="both"/>
        <w:ind w:right="20" w:firstLine="656"/>
        <w:spacing w:after="0" w:line="262" w:lineRule="auto"/>
        <w:tabs>
          <w:tab w:leader="none" w:pos="1139"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Like all Company employees, you will be required,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condition of your employment with the Company, to sign the Company’s standard Proprietary Information and Inventions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70" w:lineRule="exact"/>
        <w:rPr>
          <w:rFonts w:ascii="Arial" w:cs="Arial" w:eastAsia="Arial" w:hAnsi="Arial"/>
          <w:sz w:val="22"/>
          <w:szCs w:val="22"/>
          <w:color w:val="auto"/>
        </w:rPr>
      </w:pPr>
    </w:p>
    <w:p>
      <w:pPr>
        <w:ind w:right="20" w:firstLine="656"/>
        <w:spacing w:after="0" w:line="282" w:lineRule="auto"/>
        <w:tabs>
          <w:tab w:leader="none" w:pos="1058"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Noncompetition Agreement. </w:t>
      </w:r>
      <w:r>
        <w:rPr>
          <w:rFonts w:ascii="Arial" w:cs="Arial" w:eastAsia="Arial" w:hAnsi="Arial"/>
          <w:sz w:val="22"/>
          <w:szCs w:val="22"/>
          <w:color w:val="auto"/>
        </w:rPr>
        <w:t>You will be required, as a condition of your employment with the Company, to sign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Noncompetition Agreement, a copy of which is attached hereto as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48" w:lineRule="exact"/>
        <w:rPr>
          <w:rFonts w:ascii="Arial" w:cs="Arial" w:eastAsia="Arial" w:hAnsi="Arial"/>
          <w:sz w:val="22"/>
          <w:szCs w:val="22"/>
          <w:color w:val="auto"/>
        </w:rPr>
      </w:pPr>
    </w:p>
    <w:p>
      <w:pPr>
        <w:jc w:val="both"/>
        <w:ind w:firstLine="656"/>
        <w:spacing w:after="0" w:line="262" w:lineRule="exact"/>
        <w:tabs>
          <w:tab w:leader="none" w:pos="1098"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Employment Relationship</w:t>
      </w:r>
      <w:r>
        <w:rPr>
          <w:rFonts w:ascii="Arial" w:cs="Arial" w:eastAsia="Arial" w:hAnsi="Arial"/>
          <w:sz w:val="19"/>
          <w:szCs w:val="19"/>
          <w:color w:val="auto"/>
        </w:rPr>
        <w:t>. Your employment with the Company will be “at will,” meaning that either you or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terminate your employment at any time and for any reason, with or without Cause. Any contrary representations that may have been made to you are superseded by this letter agreement. This is the full and complete agreement between you and the Company on this term. The “at will” nature of your employment may only be changed in an express written agreement signed by you and a duly authorized officer of the Company (other than you). Except as permitted above, while you render services to the Company, you will not engage in any other employment, consulting, or other business activity (whether full</w:t>
      </w:r>
      <w:r>
        <w:rPr>
          <w:rFonts w:ascii="MS PGothic" w:cs="MS PGothic" w:eastAsia="MS PGothic" w:hAnsi="MS PGothic"/>
          <w:sz w:val="19"/>
          <w:szCs w:val="19"/>
          <w:color w:val="auto"/>
        </w:rPr>
        <w:t>‑</w:t>
      </w:r>
      <w:r>
        <w:rPr>
          <w:rFonts w:ascii="Arial" w:cs="Arial" w:eastAsia="Arial" w:hAnsi="Arial"/>
          <w:sz w:val="19"/>
          <w:szCs w:val="19"/>
          <w:color w:val="auto"/>
        </w:rPr>
        <w:t>time or part-time) that would create a conflict of interest with the Company. By signing this letter of agreement, you confirm to the Company that you have no contractual commitments or other legal obligations that would prohibit you from performing your duties for the Company.</w:t>
      </w:r>
    </w:p>
    <w:p>
      <w:pPr>
        <w:sectPr>
          <w:pgSz w:w="11900" w:h="16838" w:orient="portrait"/>
          <w:cols w:equalWidth="0" w:num="1">
            <w:col w:w="11420"/>
          </w:cols>
          <w:pgMar w:left="240" w:top="631" w:right="239" w:bottom="1440" w:gutter="0" w:footer="0" w:header="0"/>
        </w:sectPr>
      </w:pPr>
    </w:p>
    <w:bookmarkStart w:id="49" w:name="page50"/>
    <w:bookmarkEnd w:id="49"/>
    <w:p>
      <w:pPr>
        <w:ind w:left="444" w:hanging="444"/>
        <w:spacing w:after="0"/>
        <w:tabs>
          <w:tab w:leader="none" w:pos="44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656" w:firstLine="1305"/>
        <w:spacing w:after="0" w:line="261" w:lineRule="auto"/>
        <w:tabs>
          <w:tab w:leader="none" w:pos="1060" w:val="left"/>
        </w:tabs>
        <w:numPr>
          <w:ilvl w:val="1"/>
          <w:numId w:val="33"/>
        </w:numPr>
        <w:rPr>
          <w:rFonts w:ascii="Arial" w:cs="Arial" w:eastAsia="Arial" w:hAnsi="Arial"/>
          <w:sz w:val="21"/>
          <w:szCs w:val="21"/>
          <w:color w:val="auto"/>
        </w:rPr>
      </w:pPr>
      <w:r>
        <w:rPr>
          <w:rFonts w:ascii="Arial" w:cs="Arial" w:eastAsia="Arial" w:hAnsi="Arial"/>
          <w:sz w:val="21"/>
          <w:szCs w:val="21"/>
          <w:color w:val="auto"/>
        </w:rPr>
        <w:t>Regardless of whether you enter into a binding release of claims in favor of the Company (as described below), upon any termination of employment with the Company, for any or no reason, the Company will pay you: (i) any earned but unpaid base salary and bonus (including, without limitation, any earned additional incentive compensation) pursuant to the terms of any arrangement governing same; (ii) any unreimbursed expenses you incurred on or prior to the termination date that are consistent with the Company’s policies in effect at the time; (iii) accrued but unused vacation and paid time off; and (iv) accrued and vested benefits under the terms of the plan, program or agreement governing such benefits. Any such payments will be paid to you at the time or times set forth in the applicable Company plan, program, agreement or policy or if none, within fifteen (15) days following termination.</w:t>
      </w:r>
    </w:p>
    <w:p>
      <w:pPr>
        <w:spacing w:after="0" w:line="181" w:lineRule="exact"/>
        <w:rPr>
          <w:rFonts w:ascii="Arial" w:cs="Arial" w:eastAsia="Arial" w:hAnsi="Arial"/>
          <w:sz w:val="21"/>
          <w:szCs w:val="21"/>
          <w:color w:val="auto"/>
        </w:rPr>
      </w:pPr>
    </w:p>
    <w:p>
      <w:pPr>
        <w:jc w:val="both"/>
        <w:ind w:left="-656" w:firstLine="1305"/>
        <w:spacing w:after="0" w:line="289" w:lineRule="auto"/>
        <w:tabs>
          <w:tab w:leader="none" w:pos="1113"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In the event the Company terminates your employment without Cause or if you incur a Resignation for Good Reason (as such terms are defined in Section 5 above) then, in addition to the effects of such termination on the additional incentive compensation and equity awards as set forth in this letter agreement, provided you have executed and you have not timely revoked, a binding mutually acceptable release of claims that you may have against the Company (with customary carve outs, </w:t>
      </w:r>
      <w:r>
        <w:rPr>
          <w:rFonts w:ascii="Arial" w:cs="Arial" w:eastAsia="Arial" w:hAnsi="Arial"/>
          <w:sz w:val="19"/>
          <w:szCs w:val="19"/>
          <w:i w:val="1"/>
          <w:iCs w:val="1"/>
          <w:color w:val="auto"/>
        </w:rPr>
        <w:t>inter alia</w:t>
      </w:r>
      <w:r>
        <w:rPr>
          <w:rFonts w:ascii="Arial" w:cs="Arial" w:eastAsia="Arial" w:hAnsi="Arial"/>
          <w:sz w:val="19"/>
          <w:szCs w:val="19"/>
          <w:color w:val="auto"/>
        </w:rPr>
        <w:t>, for your vested equity rights, rights to indemnification and exculpation, coverage under any applicable directors and officers insurance, vested benefits and rights to enforce post-termination obligations, and without obligations of you greater than those set forth herein or in the Proprietary Information and Inventions Agreement or Noncompetition Agreement to which you are a party)(a “Release of Claims”), the Company will provide to you within sixty (60) days following the date your employment terminates: (i) an amount equal to twelve (12) months of your then-current base salary; and (ii) an amount which after the payment of any taxes thereon is equal to the full monthly COBRA premium to continue your health (medical, dental, and vision) insurance under the Company’s, Inventus’s or their successor’s health plans for twelve (12) months, whether or not elected.</w:t>
      </w:r>
    </w:p>
    <w:p>
      <w:pPr>
        <w:spacing w:after="0" w:line="158" w:lineRule="exact"/>
        <w:rPr>
          <w:rFonts w:ascii="Arial" w:cs="Arial" w:eastAsia="Arial" w:hAnsi="Arial"/>
          <w:sz w:val="19"/>
          <w:szCs w:val="19"/>
          <w:color w:val="auto"/>
        </w:rPr>
      </w:pPr>
    </w:p>
    <w:p>
      <w:pPr>
        <w:jc w:val="both"/>
        <w:ind w:left="-656" w:firstLine="1305"/>
        <w:spacing w:after="0" w:line="275" w:lineRule="auto"/>
        <w:tabs>
          <w:tab w:leader="none" w:pos="1101"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payments described in subsection (b) are collectively referred to herein as the “Severance Payments” and shall be paid in installments in accordance with Inventus’s normal payroll policies and procedures and subject to required withholding of such amounts, if any, relating to tax and other payroll deductions. Notwithstanding the foregoing, if the date of your termination of employment occurs on or after November 1 of any calendar year, then you will commence receiving the Severance Payments in the calendar year following the calendar year in which your termination of employment occurs only to the extent it is reasonably determined to avoid a violation of Section 409A of the Internal Revenue Code of 1986, as amended. Additionally, within thirty (30) days following termination of employment under Section 10(b) or in the event of your death or Disability, the Company will determine the extent to which you attained the performance goals applicable to you under the Company’s bonus plan in effect for the applicable calendar year in which termination occurred and will pay you a prorated bonus for the partial year in which such termination occurs, in a lump sum no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following the year of</w:t>
      </w:r>
    </w:p>
    <w:p>
      <w:pPr>
        <w:sectPr>
          <w:pgSz w:w="11900" w:h="16838" w:orient="portrait"/>
          <w:cols w:equalWidth="0" w:num="1">
            <w:col w:w="10764"/>
          </w:cols>
          <w:pgMar w:left="896" w:top="625" w:right="2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22"/>
          <w:szCs w:val="22"/>
          <w:color w:val="auto"/>
        </w:rPr>
        <w:t>termination. The amount of any Severance Payments due hereunder will not be reduced by any compensation you earn from a subsequent employer and will not otherwise be subject to offset or any obligation to mitigate.</w:t>
      </w:r>
    </w:p>
    <w:p>
      <w:pPr>
        <w:spacing w:after="0" w:line="175" w:lineRule="exact"/>
        <w:rPr>
          <w:sz w:val="20"/>
          <w:szCs w:val="20"/>
          <w:color w:val="auto"/>
        </w:rPr>
      </w:pPr>
    </w:p>
    <w:p>
      <w:pPr>
        <w:ind w:firstLine="1305"/>
        <w:spacing w:after="0" w:line="276" w:lineRule="auto"/>
        <w:tabs>
          <w:tab w:leader="none" w:pos="1824" w:val="left"/>
        </w:tabs>
        <w:numPr>
          <w:ilvl w:val="1"/>
          <w:numId w:val="34"/>
        </w:numPr>
        <w:rPr>
          <w:rFonts w:ascii="Arial" w:cs="Arial" w:eastAsia="Arial" w:hAnsi="Arial"/>
          <w:sz w:val="22"/>
          <w:szCs w:val="22"/>
          <w:color w:val="auto"/>
        </w:rPr>
      </w:pPr>
      <w:r>
        <w:rPr>
          <w:rFonts w:ascii="Arial" w:cs="Arial" w:eastAsia="Arial" w:hAnsi="Arial"/>
          <w:sz w:val="22"/>
          <w:szCs w:val="22"/>
          <w:color w:val="auto"/>
        </w:rPr>
        <w:t>Amounts calculated under this Section 10 will be calculated without giving effect to any reduction by the Company of base salary that constitutes “Good Reason”.</w:t>
      </w:r>
    </w:p>
    <w:p>
      <w:pPr>
        <w:spacing w:after="0" w:line="154" w:lineRule="exact"/>
        <w:rPr>
          <w:rFonts w:ascii="Arial" w:cs="Arial" w:eastAsia="Arial" w:hAnsi="Arial"/>
          <w:sz w:val="22"/>
          <w:szCs w:val="22"/>
          <w:color w:val="auto"/>
        </w:rPr>
      </w:pPr>
    </w:p>
    <w:p>
      <w:pPr>
        <w:ind w:left="1100" w:hanging="444"/>
        <w:spacing w:after="0"/>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82" w:lineRule="auto"/>
        <w:tabs>
          <w:tab w:leader="none" w:pos="1743"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All forms of compensation referred to in this letter agreement are subject to reduction to reflect</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withholding and payroll taxes and other deductions required by law.</w:t>
      </w:r>
    </w:p>
    <w:p>
      <w:pPr>
        <w:spacing w:after="0" w:line="148" w:lineRule="exact"/>
        <w:rPr>
          <w:rFonts w:ascii="Arial" w:cs="Arial" w:eastAsia="Arial" w:hAnsi="Arial"/>
          <w:sz w:val="22"/>
          <w:szCs w:val="22"/>
          <w:color w:val="auto"/>
        </w:rPr>
      </w:pPr>
    </w:p>
    <w:p>
      <w:pPr>
        <w:jc w:val="both"/>
        <w:ind w:firstLine="1305"/>
        <w:spacing w:after="0" w:line="272" w:lineRule="auto"/>
        <w:tabs>
          <w:tab w:leader="none" w:pos="1891" w:val="left"/>
        </w:tabs>
        <w:numPr>
          <w:ilvl w:val="1"/>
          <w:numId w:val="35"/>
        </w:numPr>
        <w:rPr>
          <w:rFonts w:ascii="Arial" w:cs="Arial" w:eastAsia="Arial" w:hAnsi="Arial"/>
          <w:sz w:val="21"/>
          <w:szCs w:val="21"/>
          <w:color w:val="auto"/>
        </w:rPr>
      </w:pPr>
      <w:r>
        <w:rPr>
          <w:rFonts w:ascii="Arial" w:cs="Arial" w:eastAsia="Arial" w:hAnsi="Arial"/>
          <w:sz w:val="21"/>
          <w:szCs w:val="21"/>
          <w:b w:val="1"/>
          <w:bCs w:val="1"/>
          <w:color w:val="auto"/>
        </w:rPr>
        <w:t>Tax Advice</w:t>
      </w:r>
      <w:r>
        <w:rPr>
          <w:rFonts w:ascii="Arial" w:cs="Arial" w:eastAsia="Arial" w:hAnsi="Arial"/>
          <w:sz w:val="21"/>
          <w:szCs w:val="21"/>
          <w:color w:val="auto"/>
        </w:rPr>
        <w:t>. You are encouraged to obtain your own tax advice regarding your compensation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 absent their gross negligence, misconduct or bad faith.</w:t>
      </w:r>
    </w:p>
    <w:p>
      <w:pPr>
        <w:spacing w:after="0" w:line="161" w:lineRule="exact"/>
        <w:rPr>
          <w:rFonts w:ascii="Arial" w:cs="Arial" w:eastAsia="Arial" w:hAnsi="Arial"/>
          <w:sz w:val="21"/>
          <w:szCs w:val="21"/>
          <w:color w:val="auto"/>
        </w:rPr>
      </w:pPr>
    </w:p>
    <w:p>
      <w:pPr>
        <w:jc w:val="both"/>
        <w:ind w:firstLine="656"/>
        <w:spacing w:after="0" w:line="287" w:lineRule="auto"/>
        <w:tabs>
          <w:tab w:leader="none" w:pos="1098"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Interpretation, Amendment and Enforcement</w:t>
      </w:r>
      <w:r>
        <w:rPr>
          <w:rFonts w:ascii="Arial" w:cs="Arial" w:eastAsia="Arial" w:hAnsi="Arial"/>
          <w:sz w:val="19"/>
          <w:szCs w:val="19"/>
          <w:color w:val="auto"/>
        </w:rPr>
        <w:t>. This letter agreement and Exhibits constitute the complete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Illinois law, excluding laws relating to conflicts or choice of law. You and the Company submit to the exclusive personal jurisdiction of the federal and state courts located in Chicago, Illinois, in connection with any Dispute or any claim related to any Dispute. This letter agreement shall be binding upon and inure to the benefit of you and your successors and the Company’s successors and assigns, provided that neither you nor the Company may assign or pledge this agreement or any rights arising under it, except that the Company may assign this agreement to an unrelated third-party purchaser of all or substantially all of the Company’s assets or to an affiliate (so long as, in connection with an assignment to an affiliate, the Company remains secondarily liable for the obligations hereunder). All determinations required or necessary to be made hereunder or with respect to compensation described herein will be made in good faith in a manner reasonably consistent with those made for other senior executives of the Company (although such requirement will not obligate the Company to afford you additional compensation or vesting and payment terms that are afforded to other senior executives and that are not provided for in this letter agreement).</w:t>
      </w:r>
    </w:p>
    <w:p>
      <w:pPr>
        <w:sectPr>
          <w:pgSz w:w="11900" w:h="16838" w:orient="portrait"/>
          <w:cols w:equalWidth="0" w:num="1">
            <w:col w:w="11420"/>
          </w:cols>
          <w:pgMar w:left="240" w:top="631" w:right="239" w:bottom="1440" w:gutter="0" w:footer="0" w:header="0"/>
        </w:sectPr>
      </w:pPr>
    </w:p>
    <w:bookmarkStart w:id="51" w:name="page52"/>
    <w:bookmarkEnd w:id="51"/>
    <w:p>
      <w:pPr>
        <w:jc w:val="both"/>
        <w:ind w:firstLine="656"/>
        <w:spacing w:after="0" w:line="289" w:lineRule="auto"/>
        <w:tabs>
          <w:tab w:leader="none" w:pos="1166"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It is intended that the payments and benefits under this letter agreement be exempt from, or comply</w:t>
      </w:r>
      <w:r>
        <w:rPr>
          <w:rFonts w:ascii="Arial" w:cs="Arial" w:eastAsia="Arial" w:hAnsi="Arial"/>
          <w:sz w:val="19"/>
          <w:szCs w:val="19"/>
          <w:b w:val="1"/>
          <w:bCs w:val="1"/>
          <w:color w:val="auto"/>
        </w:rPr>
        <w:t xml:space="preserve"> </w:t>
      </w:r>
      <w:r>
        <w:rPr>
          <w:rFonts w:ascii="Arial" w:cs="Arial" w:eastAsia="Arial" w:hAnsi="Arial"/>
          <w:sz w:val="19"/>
          <w:szCs w:val="19"/>
          <w:color w:val="auto"/>
        </w:rPr>
        <w:t>with, Section 409A of the Internal Revenue Code of 1986, as amended (the “Code”) and accordingly, to the maximum extent permitted, this letter agreement shall be interpreted and administered to be in accordance with this intent. Each payment under this letter shall be construed as a separate identified payment for purposes of Section 409A of the Code, and any payments described in this letter that are due within the “short term deferral period” as defined in Section 409A of the Code shall not be treated as deferred compensation unless applicable law requires otherwise. Notwithstanding anything contained herein to the contrary, to the extent required in order to avoid accelerated taxation and/or tax penalties under Section 409A of the Code, (i) you will not be considered to have terminated employment for purposes of this letter and no payments will be due to you under this letter that are payable upon your termination of employment until you would be considered to have incurred a “separation from service” within the meaning of Section 409A of the Code and (ii) amounts that would otherwise be payable and benefits that would otherwise be provided pursuant to this letter during the six-month period immediately following your separation from service will instead be paid on the first business day after the date that is six months following your separation from service (or, if earlier, your death).</w:t>
      </w:r>
    </w:p>
    <w:p>
      <w:pPr>
        <w:spacing w:after="0" w:line="151" w:lineRule="exact"/>
        <w:rPr>
          <w:rFonts w:ascii="Arial" w:cs="Arial" w:eastAsia="Arial" w:hAnsi="Arial"/>
          <w:sz w:val="19"/>
          <w:szCs w:val="19"/>
          <w:color w:val="auto"/>
        </w:rPr>
      </w:pPr>
    </w:p>
    <w:p>
      <w:pPr>
        <w:ind w:firstLine="656"/>
        <w:spacing w:after="0" w:line="282" w:lineRule="auto"/>
        <w:tabs>
          <w:tab w:leader="none" w:pos="1409"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Indemnification Agreement</w:t>
      </w:r>
      <w:r>
        <w:rPr>
          <w:rFonts w:ascii="Arial" w:cs="Arial" w:eastAsia="Arial" w:hAnsi="Arial"/>
          <w:sz w:val="22"/>
          <w:szCs w:val="22"/>
          <w:color w:val="auto"/>
        </w:rPr>
        <w:t>. You will be offered the opportunity to enter into the Company’s standard</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agreement for officers.</w:t>
      </w:r>
    </w:p>
    <w:p>
      <w:pPr>
        <w:spacing w:after="0" w:line="154" w:lineRule="exact"/>
        <w:rPr>
          <w:rFonts w:ascii="Arial" w:cs="Arial" w:eastAsia="Arial" w:hAnsi="Arial"/>
          <w:sz w:val="22"/>
          <w:szCs w:val="22"/>
          <w:color w:val="auto"/>
        </w:rPr>
      </w:pPr>
    </w:p>
    <w:p>
      <w:pPr>
        <w:ind w:left="5340"/>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As required by law, your employment with the Company is contingent upon your providing legal proof of your identity and authorization to work in the United States.</w:t>
      </w:r>
    </w:p>
    <w:p>
      <w:pPr>
        <w:spacing w:after="0" w:line="28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You may indicate your agreement with these terms and accept this offer by signing and dating both the enclosed duplicate original of this letter agreement and the enclosed Proprietary Information and Inventions Agreement and returning them to me.</w:t>
      </w:r>
    </w:p>
    <w:p>
      <w:pPr>
        <w:sectPr>
          <w:pgSz w:w="11900" w:h="16838" w:orient="portrait"/>
          <w:cols w:equalWidth="0" w:num="1">
            <w:col w:w="11420"/>
          </w:cols>
          <w:pgMar w:left="240" w:top="625" w:right="239" w:bottom="1440" w:gutter="0" w:footer="0" w:header="0"/>
        </w:sectPr>
      </w:pPr>
    </w:p>
    <w:bookmarkStart w:id="52" w:name="page53"/>
    <w:bookmarkEnd w:id="52"/>
    <w:p>
      <w:pPr>
        <w:jc w:val="both"/>
        <w:ind w:firstLine="648"/>
        <w:spacing w:after="0" w:line="253" w:lineRule="auto"/>
        <w:rPr>
          <w:sz w:val="20"/>
          <w:szCs w:val="20"/>
          <w:color w:val="auto"/>
        </w:rPr>
      </w:pPr>
      <w:r>
        <w:rPr>
          <w:rFonts w:ascii="Arial" w:cs="Arial" w:eastAsia="Arial" w:hAnsi="Arial"/>
          <w:sz w:val="22"/>
          <w:szCs w:val="22"/>
          <w:color w:val="auto"/>
        </w:rPr>
        <w:t>This offer shall remain in effect through 5:00 pm on January 22, 2016 after which time it shall become void. In addition, as noted above, this offer will be effective upon and subject to the occurrence of the Closing. In the event the Closing does not occur, this offer and all terms hereunder will be null and void and without legal effect.</w:t>
      </w:r>
    </w:p>
    <w:p>
      <w:pPr>
        <w:spacing w:after="0" w:line="29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319" w:lineRule="exact"/>
        <w:rPr>
          <w:sz w:val="20"/>
          <w:szCs w:val="20"/>
          <w:color w:val="auto"/>
        </w:rPr>
      </w:pPr>
    </w:p>
    <w:p>
      <w:pPr>
        <w:ind w:left="4220"/>
        <w:spacing w:after="0"/>
        <w:rPr>
          <w:sz w:val="20"/>
          <w:szCs w:val="20"/>
          <w:color w:val="auto"/>
        </w:rPr>
      </w:pPr>
      <w:r>
        <w:rPr>
          <w:rFonts w:ascii="Arial" w:cs="Arial" w:eastAsia="Arial" w:hAnsi="Arial"/>
          <w:sz w:val="25"/>
          <w:szCs w:val="25"/>
          <w:color w:val="auto"/>
        </w:rPr>
        <w:t>RPX CORPORATION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John A. Amster</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Signature of Employee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Exhibit A: Proprietary Information and Inventions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B: Noncompetition Agreement</w:t>
      </w:r>
    </w:p>
    <w:p>
      <w:pPr>
        <w:sectPr>
          <w:pgSz w:w="11900" w:h="16838" w:orient="portrait"/>
          <w:cols w:equalWidth="0" w:num="1">
            <w:col w:w="11400"/>
          </w:cols>
          <w:pgMar w:left="240" w:top="888"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H. Heath, certify that:</w:t>
      </w:r>
    </w:p>
    <w:p>
      <w:pPr>
        <w:spacing w:after="0" w:line="90" w:lineRule="exact"/>
        <w:rPr>
          <w:sz w:val="20"/>
          <w:szCs w:val="20"/>
          <w:color w:val="auto"/>
        </w:rPr>
      </w:pPr>
    </w:p>
    <w:p>
      <w:pPr>
        <w:ind w:left="880" w:hanging="46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March 31, 2016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March 31, 2016 of RPX Corporation, (the “Company”) as filed with the Securities and Exchange Commission on the date hereof (the “Report”), I, Robert H. Heath,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2016</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ROBERT H.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H. Heath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7"/>
    </w:lvl>
  </w:abstractNum>
  <w:abstractNum w:abstractNumId="9">
    <w:nsid w:val="79838CB2"/>
    <w:multiLevelType w:val="hybridMultilevel"/>
    <w:lvl w:ilvl="0">
      <w:lvlJc w:val="left"/>
      <w:lvlText w:val="%1."/>
      <w:numFmt w:val="decimal"/>
      <w:start w:val="8"/>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decimal"/>
      <w:start w:val="10"/>
    </w:lvl>
  </w:abstractNum>
  <w:abstractNum w:abstractNumId="12">
    <w:nsid w:val="189A769B"/>
    <w:multiLevelType w:val="hybridMultilevel"/>
    <w:lvl w:ilvl="0">
      <w:lvlJc w:val="left"/>
      <w:lvlText w:val="%1."/>
      <w:numFmt w:val="decimal"/>
      <w:start w:val="1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3"/>
    </w:lvl>
  </w:abstractNum>
  <w:abstractNum w:abstractNumId="15">
    <w:nsid w:val="2CA88611"/>
    <w:multiLevelType w:val="hybridMultilevel"/>
    <w:lvl w:ilvl="0">
      <w:lvlJc w:val="left"/>
      <w:lvlText w:val="%1."/>
      <w:numFmt w:val="decimal"/>
      <w:start w:val="14"/>
    </w:lvl>
  </w:abstractNum>
  <w:abstractNum w:abstractNumId="16">
    <w:nsid w:val="836C40E"/>
    <w:multiLevelType w:val="hybridMultilevel"/>
    <w:lvl w:ilvl="0">
      <w:lvlJc w:val="left"/>
      <w:lvlText w:val="%1."/>
      <w:numFmt w:val="decimal"/>
      <w:start w:val="15"/>
    </w:lvl>
  </w:abstractNum>
  <w:abstractNum w:abstractNumId="17">
    <w:nsid w:val="2901D82"/>
    <w:multiLevelType w:val="hybridMultilevel"/>
    <w:lvl w:ilvl="0">
      <w:lvlJc w:val="left"/>
      <w:lvlText w:val="%1."/>
      <w:numFmt w:val="decimal"/>
      <w:start w:val="16"/>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upperLetter"/>
      <w:start w:val="1"/>
    </w:lvl>
  </w:abstractNum>
  <w:abstractNum w:abstractNumId="30">
    <w:nsid w:val="440BADFC"/>
    <w:multiLevelType w:val="hybridMultilevel"/>
    <w:lvl w:ilvl="0">
      <w:lvlJc w:val="left"/>
      <w:lvlText w:val="(%1)"/>
      <w:numFmt w:val="lowerRoman"/>
      <w:start w:val="4"/>
    </w:lvl>
  </w:abstractNum>
  <w:abstractNum w:abstractNumId="31">
    <w:nsid w:val="5072367"/>
    <w:multiLevelType w:val="hybridMultilevel"/>
    <w:lvl w:ilvl="0">
      <w:lvlJc w:val="left"/>
      <w:lvlText w:val="%1."/>
      <w:numFmt w:val="decimal"/>
      <w:start w:val="6"/>
    </w:lvl>
  </w:abstractNum>
  <w:abstractNum w:abstractNumId="32">
    <w:nsid w:val="3804823E"/>
    <w:multiLevelType w:val="hybridMultilevel"/>
    <w:lvl w:ilvl="0">
      <w:lvlJc w:val="left"/>
      <w:lvlText w:val="%1."/>
      <w:numFmt w:val="decimal"/>
      <w:start w:val="10"/>
    </w:lvl>
    <w:lvl w:ilvl="1">
      <w:lvlJc w:val="left"/>
      <w:lvlText w:val="(%2)"/>
      <w:numFmt w:val="lowerLetter"/>
      <w:start w:val="1"/>
    </w:lvl>
  </w:abstractNum>
  <w:abstractNum w:abstractNumId="33">
    <w:nsid w:val="77465F01"/>
    <w:multiLevelType w:val="hybridMultilevel"/>
    <w:lvl w:ilvl="0">
      <w:lvlJc w:val="left"/>
      <w:lvlText w:val="%1"/>
      <w:numFmt w:val="decimal"/>
      <w:start w:val="1"/>
    </w:lvl>
    <w:lvl w:ilvl="1">
      <w:lvlJc w:val="left"/>
      <w:lvlText w:val="(%2)"/>
      <w:numFmt w:val="lowerLetter"/>
      <w:start w:val="1"/>
    </w:lvl>
  </w:abstractNum>
  <w:abstractNum w:abstractNumId="34">
    <w:nsid w:val="7724C67E"/>
    <w:multiLevelType w:val="hybridMultilevel"/>
    <w:lvl w:ilvl="0">
      <w:lvlJc w:val="left"/>
      <w:lvlText w:val="%1."/>
      <w:numFmt w:val="decimal"/>
      <w:start w:val="11"/>
    </w:lvl>
    <w:lvl w:ilvl="1">
      <w:lvlJc w:val="left"/>
      <w:lvlText w:val="(%2)"/>
      <w:numFmt w:val="lowerLetter"/>
      <w:start w:val="1"/>
    </w:lvl>
  </w:abstractNum>
  <w:abstractNum w:abstractNumId="35">
    <w:nsid w:val="5C482A97"/>
    <w:multiLevelType w:val="hybridMultilevel"/>
    <w:lvl w:ilvl="0">
      <w:lvlJc w:val="left"/>
      <w:lvlText w:val="%1."/>
      <w:numFmt w:val="decimal"/>
      <w:start w:val="13"/>
    </w:lvl>
    <w:lvl w:ilvl="1">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2019-12-29T11:41:37Z</dcterms:created>
  <dcterms:modified xsi:type="dcterms:W3CDTF">2019-12-29T11:41:37Z</dcterms:modified>
</cp:coreProperties>
</file>