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4"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1"/>
          <w:szCs w:val="21"/>
          <w:color w:val="auto"/>
        </w:rPr>
        <w:t xml:space="preserve">x </w:t>
      </w: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2014</w:t>
      </w:r>
    </w:p>
    <w:p>
      <w:pPr>
        <w:spacing w:after="0" w:line="1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24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_____to_____</w:t>
      </w:r>
    </w:p>
    <w:p>
      <w:pPr>
        <w:spacing w:after="0" w:line="59" w:lineRule="exact"/>
        <w:rPr>
          <w:sz w:val="24"/>
          <w:szCs w:val="24"/>
          <w:color w:val="auto"/>
        </w:rPr>
      </w:pPr>
    </w:p>
    <w:tbl>
      <w:tblPr>
        <w:tblLayout w:type="fixed"/>
        <w:tblInd w:w="1900" w:type="dxa"/>
        <w:tblCellMar>
          <w:top w:w="0" w:type="dxa"/>
          <w:left w:w="0" w:type="dxa"/>
          <w:bottom w:w="0" w:type="dxa"/>
          <w:right w:w="0" w:type="dxa"/>
        </w:tblCellMar>
      </w:tblPr>
      <w:tr>
        <w:trPr>
          <w:trHeight w:val="238"/>
        </w:trPr>
        <w:tc>
          <w:tcPr>
            <w:tcW w:w="2000" w:type="dxa"/>
            <w:vAlign w:val="bottom"/>
          </w:tcPr>
          <w:p>
            <w:pPr>
              <w:spacing w:after="0"/>
              <w:rPr>
                <w:sz w:val="20"/>
                <w:szCs w:val="20"/>
                <w:color w:val="auto"/>
              </w:rPr>
            </w:pPr>
          </w:p>
        </w:tc>
        <w:tc>
          <w:tcPr>
            <w:tcW w:w="5240" w:type="dxa"/>
            <w:vAlign w:val="bottom"/>
          </w:tcPr>
          <w:p>
            <w:pPr>
              <w:jc w:val="center"/>
              <w:ind w:right="1521"/>
              <w:spacing w:after="0"/>
              <w:rPr>
                <w:sz w:val="20"/>
                <w:szCs w:val="20"/>
                <w:color w:val="auto"/>
              </w:rPr>
            </w:pPr>
            <w:r>
              <w:rPr>
                <w:rFonts w:ascii="Times New Roman" w:cs="Times New Roman" w:eastAsia="Times New Roman" w:hAnsi="Times New Roman"/>
                <w:sz w:val="20"/>
                <w:szCs w:val="20"/>
                <w:b w:val="1"/>
                <w:bCs w:val="1"/>
                <w:color w:val="auto"/>
                <w:w w:val="98"/>
              </w:rPr>
              <w:t>Commission File Number: 001-35146</w:t>
            </w:r>
          </w:p>
        </w:tc>
      </w:tr>
      <w:tr>
        <w:trPr>
          <w:trHeight w:val="287"/>
        </w:trPr>
        <w:tc>
          <w:tcPr>
            <w:tcW w:w="2000" w:type="dxa"/>
            <w:vAlign w:val="bottom"/>
          </w:tcPr>
          <w:p>
            <w:pPr>
              <w:spacing w:after="0"/>
              <w:rPr>
                <w:sz w:val="24"/>
                <w:szCs w:val="24"/>
                <w:color w:val="auto"/>
              </w:rPr>
            </w:pPr>
          </w:p>
        </w:tc>
        <w:tc>
          <w:tcPr>
            <w:tcW w:w="5240" w:type="dxa"/>
            <w:vAlign w:val="bottom"/>
          </w:tcPr>
          <w:p>
            <w:pPr>
              <w:jc w:val="center"/>
              <w:ind w:right="1521"/>
              <w:spacing w:after="0"/>
              <w:rPr>
                <w:sz w:val="20"/>
                <w:szCs w:val="20"/>
                <w:color w:val="auto"/>
              </w:rPr>
            </w:pPr>
            <w:r>
              <w:rPr>
                <w:rFonts w:ascii="Times New Roman" w:cs="Times New Roman" w:eastAsia="Times New Roman" w:hAnsi="Times New Roman"/>
                <w:sz w:val="22"/>
                <w:szCs w:val="22"/>
                <w:b w:val="1"/>
                <w:bCs w:val="1"/>
                <w:color w:val="auto"/>
                <w:w w:val="98"/>
              </w:rPr>
              <w:t>————————————————</w:t>
            </w:r>
          </w:p>
        </w:tc>
      </w:tr>
      <w:tr>
        <w:trPr>
          <w:trHeight w:val="606"/>
        </w:trPr>
        <w:tc>
          <w:tcPr>
            <w:tcW w:w="2000" w:type="dxa"/>
            <w:vAlign w:val="bottom"/>
          </w:tcPr>
          <w:p>
            <w:pPr>
              <w:spacing w:after="0"/>
              <w:rPr>
                <w:sz w:val="24"/>
                <w:szCs w:val="24"/>
                <w:color w:val="auto"/>
              </w:rPr>
            </w:pPr>
          </w:p>
        </w:tc>
        <w:tc>
          <w:tcPr>
            <w:tcW w:w="5240" w:type="dxa"/>
            <w:vAlign w:val="bottom"/>
          </w:tcPr>
          <w:p>
            <w:pPr>
              <w:jc w:val="center"/>
              <w:ind w:right="1521"/>
              <w:spacing w:after="0"/>
              <w:rPr>
                <w:sz w:val="20"/>
                <w:szCs w:val="20"/>
                <w:color w:val="auto"/>
              </w:rPr>
            </w:pPr>
            <w:r>
              <w:rPr>
                <w:rFonts w:ascii="Times New Roman" w:cs="Times New Roman" w:eastAsia="Times New Roman" w:hAnsi="Times New Roman"/>
                <w:sz w:val="43"/>
                <w:szCs w:val="43"/>
                <w:b w:val="1"/>
                <w:bCs w:val="1"/>
                <w:color w:val="auto"/>
              </w:rPr>
              <w:t>RPX Corporation</w:t>
            </w:r>
          </w:p>
        </w:tc>
      </w:tr>
      <w:tr>
        <w:trPr>
          <w:trHeight w:val="255"/>
        </w:trPr>
        <w:tc>
          <w:tcPr>
            <w:tcW w:w="2000" w:type="dxa"/>
            <w:vAlign w:val="bottom"/>
          </w:tcPr>
          <w:p>
            <w:pPr>
              <w:spacing w:after="0"/>
              <w:rPr>
                <w:sz w:val="22"/>
                <w:szCs w:val="22"/>
                <w:color w:val="auto"/>
              </w:rPr>
            </w:pPr>
          </w:p>
        </w:tc>
        <w:tc>
          <w:tcPr>
            <w:tcW w:w="5240" w:type="dxa"/>
            <w:vAlign w:val="bottom"/>
          </w:tcPr>
          <w:p>
            <w:pPr>
              <w:jc w:val="center"/>
              <w:ind w:right="1501"/>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87"/>
        </w:trPr>
        <w:tc>
          <w:tcPr>
            <w:tcW w:w="2000" w:type="dxa"/>
            <w:vAlign w:val="bottom"/>
          </w:tcPr>
          <w:p>
            <w:pPr>
              <w:spacing w:after="0"/>
              <w:rPr>
                <w:sz w:val="24"/>
                <w:szCs w:val="24"/>
                <w:color w:val="auto"/>
              </w:rPr>
            </w:pPr>
          </w:p>
        </w:tc>
        <w:tc>
          <w:tcPr>
            <w:tcW w:w="5240" w:type="dxa"/>
            <w:vAlign w:val="bottom"/>
          </w:tcPr>
          <w:p>
            <w:pPr>
              <w:jc w:val="center"/>
              <w:ind w:right="1521"/>
              <w:spacing w:after="0"/>
              <w:rPr>
                <w:sz w:val="20"/>
                <w:szCs w:val="20"/>
                <w:color w:val="auto"/>
              </w:rPr>
            </w:pPr>
            <w:r>
              <w:rPr>
                <w:rFonts w:ascii="Times New Roman" w:cs="Times New Roman" w:eastAsia="Times New Roman" w:hAnsi="Times New Roman"/>
                <w:sz w:val="22"/>
                <w:szCs w:val="22"/>
                <w:b w:val="1"/>
                <w:bCs w:val="1"/>
                <w:color w:val="auto"/>
                <w:w w:val="98"/>
              </w:rPr>
              <w:t>————————————————</w:t>
            </w:r>
          </w:p>
        </w:tc>
      </w:tr>
      <w:tr>
        <w:trPr>
          <w:trHeight w:val="341"/>
        </w:trPr>
        <w:tc>
          <w:tcPr>
            <w:tcW w:w="2000" w:type="dxa"/>
            <w:vAlign w:val="bottom"/>
          </w:tcPr>
          <w:p>
            <w:pPr>
              <w:jc w:val="center"/>
              <w:ind w:right="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40" w:type="dxa"/>
            <w:vAlign w:val="bottom"/>
          </w:tcPr>
          <w:p>
            <w:pPr>
              <w:jc w:val="center"/>
              <w:ind w:left="4001"/>
              <w:spacing w:after="0"/>
              <w:rPr>
                <w:sz w:val="20"/>
                <w:szCs w:val="20"/>
                <w:color w:val="auto"/>
              </w:rPr>
            </w:pPr>
            <w:r>
              <w:rPr>
                <w:rFonts w:ascii="Times New Roman" w:cs="Times New Roman" w:eastAsia="Times New Roman" w:hAnsi="Times New Roman"/>
                <w:sz w:val="18"/>
                <w:szCs w:val="18"/>
                <w:b w:val="1"/>
                <w:bCs w:val="1"/>
                <w:color w:val="auto"/>
                <w:w w:val="98"/>
              </w:rPr>
              <w:t>26-2990113</w:t>
            </w:r>
          </w:p>
        </w:tc>
      </w:tr>
      <w:tr>
        <w:trPr>
          <w:trHeight w:val="149"/>
        </w:trPr>
        <w:tc>
          <w:tcPr>
            <w:tcW w:w="2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40" w:type="dxa"/>
            <w:vAlign w:val="bottom"/>
          </w:tcPr>
          <w:p>
            <w:pPr>
              <w:jc w:val="center"/>
              <w:ind w:left="40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240" w:type="dxa"/>
            <w:vAlign w:val="bottom"/>
          </w:tcPr>
          <w:p>
            <w:pPr>
              <w:jc w:val="center"/>
              <w:ind w:left="40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1"/>
        </w:trPr>
        <w:tc>
          <w:tcPr>
            <w:tcW w:w="2000" w:type="dxa"/>
            <w:vAlign w:val="bottom"/>
          </w:tcPr>
          <w:p>
            <w:pPr>
              <w:spacing w:after="0"/>
              <w:rPr>
                <w:sz w:val="23"/>
                <w:szCs w:val="23"/>
                <w:color w:val="auto"/>
              </w:rPr>
            </w:pPr>
          </w:p>
        </w:tc>
        <w:tc>
          <w:tcPr>
            <w:tcW w:w="5240" w:type="dxa"/>
            <w:vAlign w:val="bottom"/>
          </w:tcPr>
          <w:p>
            <w:pPr>
              <w:jc w:val="center"/>
              <w:ind w:right="1501"/>
              <w:spacing w:after="0"/>
              <w:rPr>
                <w:sz w:val="20"/>
                <w:szCs w:val="20"/>
                <w:color w:val="auto"/>
              </w:rPr>
            </w:pPr>
            <w:r>
              <w:rPr>
                <w:rFonts w:ascii="Times New Roman" w:cs="Times New Roman" w:eastAsia="Times New Roman" w:hAnsi="Times New Roman"/>
                <w:sz w:val="18"/>
                <w:szCs w:val="18"/>
                <w:b w:val="1"/>
                <w:bCs w:val="1"/>
                <w:color w:val="auto"/>
                <w:w w:val="99"/>
              </w:rPr>
              <w:t>ONE MARKET PLAZA SUITE 800</w:t>
            </w:r>
          </w:p>
        </w:tc>
      </w:tr>
      <w:tr>
        <w:trPr>
          <w:trHeight w:val="214"/>
        </w:trPr>
        <w:tc>
          <w:tcPr>
            <w:tcW w:w="2000" w:type="dxa"/>
            <w:vAlign w:val="bottom"/>
          </w:tcPr>
          <w:p>
            <w:pPr>
              <w:spacing w:after="0"/>
              <w:rPr>
                <w:sz w:val="18"/>
                <w:szCs w:val="18"/>
                <w:color w:val="auto"/>
              </w:rPr>
            </w:pPr>
          </w:p>
        </w:tc>
        <w:tc>
          <w:tcPr>
            <w:tcW w:w="5240" w:type="dxa"/>
            <w:vAlign w:val="bottom"/>
          </w:tcPr>
          <w:p>
            <w:pPr>
              <w:jc w:val="center"/>
              <w:ind w:right="1521"/>
              <w:spacing w:after="0"/>
              <w:rPr>
                <w:sz w:val="20"/>
                <w:szCs w:val="20"/>
                <w:color w:val="auto"/>
              </w:rPr>
            </w:pPr>
            <w:r>
              <w:rPr>
                <w:rFonts w:ascii="Times New Roman" w:cs="Times New Roman" w:eastAsia="Times New Roman" w:hAnsi="Times New Roman"/>
                <w:sz w:val="18"/>
                <w:szCs w:val="18"/>
                <w:b w:val="1"/>
                <w:bCs w:val="1"/>
                <w:color w:val="auto"/>
                <w:w w:val="99"/>
              </w:rPr>
              <w:t>SAN FRANCISCO, CALIFORNIA 94105</w:t>
            </w:r>
          </w:p>
        </w:tc>
      </w:tr>
      <w:tr>
        <w:trPr>
          <w:trHeight w:val="190"/>
        </w:trPr>
        <w:tc>
          <w:tcPr>
            <w:tcW w:w="2000" w:type="dxa"/>
            <w:vAlign w:val="bottom"/>
          </w:tcPr>
          <w:p>
            <w:pPr>
              <w:spacing w:after="0"/>
              <w:rPr>
                <w:sz w:val="16"/>
                <w:szCs w:val="16"/>
                <w:color w:val="auto"/>
              </w:rPr>
            </w:pPr>
          </w:p>
        </w:tc>
        <w:tc>
          <w:tcPr>
            <w:tcW w:w="5240" w:type="dxa"/>
            <w:vAlign w:val="bottom"/>
          </w:tcPr>
          <w:p>
            <w:pPr>
              <w:jc w:val="center"/>
              <w:ind w:right="15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r>
    </w:tbl>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779-7641</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60" w:lineRule="exact"/>
        <w:rPr>
          <w:sz w:val="24"/>
          <w:szCs w:val="24"/>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20" w:val="left"/>
        </w:tabs>
        <w:rPr>
          <w:sz w:val="20"/>
          <w:szCs w:val="20"/>
          <w:color w:val="auto"/>
        </w:rPr>
      </w:pPr>
      <w:r>
        <w:rPr>
          <w:rFonts w:ascii="Times New Roman" w:cs="Times New Roman" w:eastAsia="Times New Roman" w:hAnsi="Times New Roman"/>
          <w:sz w:val="16"/>
          <w:szCs w:val="16"/>
          <w:color w:val="auto"/>
        </w:rPr>
        <w:t>days.</w:t>
        <w:tab/>
        <w:t>YES x</w:t>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6" w:lineRule="exact"/>
        <w:rPr>
          <w:sz w:val="24"/>
          <w:szCs w:val="24"/>
          <w:color w:val="auto"/>
        </w:rPr>
      </w:pPr>
    </w:p>
    <w:p>
      <w:pPr>
        <w:ind w:right="30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sectPr>
      </w:pPr>
    </w:p>
    <w:p>
      <w:pPr>
        <w:spacing w:after="0" w:line="12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4"/>
          <w:szCs w:val="24"/>
          <w:color w:val="auto"/>
        </w:rPr>
      </w:pPr>
    </w:p>
    <w:p>
      <w:pPr>
        <w:sectPr>
          <w:pgSz w:w="11900" w:h="16838" w:orient="portrait"/>
          <w:cols w:equalWidth="0" w:num="4">
            <w:col w:w="2080" w:space="720"/>
            <w:col w:w="5100" w:space="720"/>
            <w:col w:w="1760" w:space="720"/>
            <w:col w:w="280"/>
          </w:cols>
          <w:pgMar w:left="240" w:top="229" w:right="279" w:bottom="1440" w:gutter="0" w:footer="0" w:header="0"/>
          <w:type w:val="continuous"/>
        </w:sectPr>
      </w:pP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5">
            <w:col w:w="2080" w:space="720"/>
            <w:col w:w="140" w:space="40"/>
            <w:col w:w="4920" w:space="720"/>
            <w:col w:w="1760" w:space="720"/>
            <w:col w:w="280"/>
          </w:cols>
          <w:pgMar w:left="240" w:top="229" w:right="27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 x</w:t>
      </w:r>
    </w:p>
    <w:p>
      <w:pPr>
        <w:spacing w:after="0" w:line="59" w:lineRule="exact"/>
        <w:rPr>
          <w:sz w:val="24"/>
          <w:szCs w:val="24"/>
          <w:color w:val="auto"/>
        </w:rPr>
      </w:pPr>
    </w:p>
    <w:p>
      <w:pPr>
        <w:sectPr>
          <w:pgSz w:w="11900" w:h="16838" w:orient="portrait"/>
          <w:cols w:equalWidth="0" w:num="4">
            <w:col w:w="7380" w:space="140"/>
            <w:col w:w="320" w:space="80"/>
            <w:col w:w="140" w:space="160"/>
            <w:col w:w="3160"/>
          </w:cols>
          <w:pgMar w:left="240" w:top="229"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There were 53,938,712 shares of the registrant’s common stock issued and outstanding as of October 31, 2014.</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Quarterly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7"/>
        </w:trPr>
        <w:tc>
          <w:tcPr>
            <w:tcW w:w="540" w:type="dxa"/>
            <w:vAlign w:val="bottom"/>
            <w:vMerge w:val="restart"/>
          </w:tcPr>
          <w:p>
            <w:pPr>
              <w:spacing w:after="0"/>
              <w:rPr>
                <w:rFonts w:ascii="Times New Roman" w:cs="Times New Roman" w:eastAsia="Times New Roman" w:hAnsi="Times New Roman"/>
                <w:sz w:val="18"/>
                <w:szCs w:val="18"/>
                <w:color w:val="0000EE"/>
                <w:w w:val="91"/>
              </w:rPr>
            </w:pPr>
            <w:hyperlink w:anchor="page2">
              <w:r>
                <w:rPr>
                  <w:rFonts w:ascii="Times New Roman" w:cs="Times New Roman" w:eastAsia="Times New Roman" w:hAnsi="Times New Roman"/>
                  <w:sz w:val="18"/>
                  <w:szCs w:val="18"/>
                  <w:color w:val="0000EE"/>
                  <w:w w:val="91"/>
                </w:rPr>
                <w:t>PART I</w:t>
              </w:r>
            </w:hyperlink>
          </w:p>
        </w:tc>
        <w:tc>
          <w:tcPr>
            <w:tcW w:w="380" w:type="dxa"/>
            <w:vAlign w:val="bottom"/>
            <w:gridSpan w:val="2"/>
            <w:vMerge w:val="restart"/>
          </w:tcPr>
          <w:p>
            <w:pPr>
              <w:spacing w:after="0"/>
              <w:rPr>
                <w:sz w:val="2"/>
                <w:szCs w:val="2"/>
                <w:color w:val="auto"/>
              </w:rPr>
            </w:pPr>
          </w:p>
        </w:tc>
        <w:tc>
          <w:tcPr>
            <w:tcW w:w="9660" w:type="dxa"/>
            <w:vAlign w:val="bottom"/>
            <w:gridSpan w:val="17"/>
            <w:vMerge w:val="restart"/>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FINANCIAL INFORMATION</w:t>
              </w:r>
            </w:hyperlink>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4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966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80" w:type="dxa"/>
            <w:vAlign w:val="bottom"/>
            <w:gridSpan w:val="2"/>
          </w:tcPr>
          <w:p>
            <w:pPr>
              <w:spacing w:after="0"/>
              <w:rPr>
                <w:sz w:val="24"/>
                <w:szCs w:val="24"/>
                <w:color w:val="auto"/>
              </w:rPr>
            </w:pPr>
          </w:p>
        </w:tc>
        <w:tc>
          <w:tcPr>
            <w:tcW w:w="23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Financial Statements (unaudited)</w:t>
              </w:r>
            </w:hyperlink>
          </w:p>
        </w:tc>
        <w:tc>
          <w:tcPr>
            <w:tcW w:w="7280" w:type="dxa"/>
            <w:vAlign w:val="bottom"/>
            <w:gridSpan w:val="8"/>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September 30, 2014 and December 31, 2013 (unaudited)</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5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Statements of Operations for the Three and Nine Months Ended September 30, 2014 and 2013 (unaudited)</w:t>
              </w:r>
            </w:hyperlink>
          </w:p>
        </w:tc>
        <w:tc>
          <w:tcPr>
            <w:tcW w:w="140" w:type="dxa"/>
            <w:vAlign w:val="bottom"/>
            <w:gridSpan w:val="2"/>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Comprehensive Income for the Three and Nine Months Ended September 30, 2014 and 2013</w:t>
              </w:r>
            </w:hyperlink>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w:t>
              </w:r>
            </w:hyperlink>
          </w:p>
        </w:tc>
        <w:tc>
          <w:tcPr>
            <w:tcW w:w="100" w:type="dxa"/>
            <w:vAlign w:val="bottom"/>
          </w:tcPr>
          <w:p>
            <w:pPr>
              <w:spacing w:after="0"/>
              <w:rPr>
                <w:sz w:val="17"/>
                <w:szCs w:val="17"/>
                <w:color w:val="auto"/>
              </w:rPr>
            </w:pPr>
          </w:p>
        </w:tc>
        <w:tc>
          <w:tcPr>
            <w:tcW w:w="800" w:type="dxa"/>
            <w:vAlign w:val="bottom"/>
            <w:gridSpan w:val="4"/>
          </w:tcPr>
          <w:p>
            <w:pPr>
              <w:jc w:val="right"/>
              <w:ind w:right="20"/>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3</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Cash Flows for the Nine Months Ended September 30, 2014 and 2013 (unaudited)</w:t>
              </w:r>
            </w:hyperlink>
          </w:p>
        </w:tc>
        <w:tc>
          <w:tcPr>
            <w:tcW w:w="860" w:type="dxa"/>
            <w:vAlign w:val="bottom"/>
            <w:gridSpan w:val="3"/>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Condensed Consolidated Financial Statements (unaudited)</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5</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gridSpan w:val="12"/>
          </w:tcPr>
          <w:p>
            <w:pPr>
              <w:spacing w:after="0"/>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2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16</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0"/>
          </w:tcPr>
          <w:p>
            <w:pPr>
              <w:spacing w:after="0"/>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Quantitative and Qualitative Disclosures About Market Risk</w:t>
              </w:r>
            </w:hyperlink>
          </w:p>
        </w:tc>
        <w:tc>
          <w:tcPr>
            <w:tcW w:w="2120" w:type="dxa"/>
            <w:vAlign w:val="bottom"/>
            <w:gridSpan w:val="2"/>
          </w:tcPr>
          <w:p>
            <w:pPr>
              <w:spacing w:after="0"/>
              <w:rPr>
                <w:sz w:val="21"/>
                <w:szCs w:val="21"/>
                <w:color w:val="auto"/>
              </w:rPr>
            </w:pPr>
          </w:p>
        </w:tc>
        <w:tc>
          <w:tcPr>
            <w:tcW w:w="32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22</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20" w:type="dxa"/>
            <w:vAlign w:val="bottom"/>
            <w:tcBorders>
              <w:left w:val="single" w:sz="8" w:color="0000EE"/>
            </w:tcBorders>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10"/>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Controls and Procedures</w:t>
              </w:r>
            </w:hyperlink>
          </w:p>
        </w:tc>
        <w:tc>
          <w:tcPr>
            <w:tcW w:w="53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23</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2"/>
              </w:rPr>
            </w:pPr>
            <w:hyperlink w:anchor="page25">
              <w:r>
                <w:rPr>
                  <w:rFonts w:ascii="Times New Roman" w:cs="Times New Roman" w:eastAsia="Times New Roman" w:hAnsi="Times New Roman"/>
                  <w:sz w:val="18"/>
                  <w:szCs w:val="18"/>
                  <w:color w:val="0000EE"/>
                  <w:w w:val="92"/>
                </w:rPr>
                <w:t>PART II</w:t>
              </w:r>
            </w:hyperlink>
          </w:p>
        </w:tc>
        <w:tc>
          <w:tcPr>
            <w:tcW w:w="320" w:type="dxa"/>
            <w:vAlign w:val="bottom"/>
          </w:tcPr>
          <w:p>
            <w:pPr>
              <w:spacing w:after="0"/>
              <w:rPr>
                <w:sz w:val="24"/>
                <w:szCs w:val="24"/>
                <w:color w:val="auto"/>
              </w:rPr>
            </w:pPr>
          </w:p>
        </w:tc>
        <w:tc>
          <w:tcPr>
            <w:tcW w:w="18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OTHER INFORMATION</w:t>
              </w:r>
            </w:hyperlink>
          </w:p>
        </w:tc>
        <w:tc>
          <w:tcPr>
            <w:tcW w:w="778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9660" w:type="dxa"/>
            <w:vAlign w:val="bottom"/>
            <w:gridSpan w:val="17"/>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Legal Proceedings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24</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Risk Factors</w:t>
              </w:r>
            </w:hyperlink>
          </w:p>
        </w:tc>
        <w:tc>
          <w:tcPr>
            <w:tcW w:w="400" w:type="dxa"/>
            <w:vAlign w:val="bottom"/>
          </w:tcPr>
          <w:p>
            <w:pPr>
              <w:spacing w:after="0"/>
              <w:rPr>
                <w:sz w:val="21"/>
                <w:szCs w:val="21"/>
                <w:color w:val="auto"/>
              </w:rPr>
            </w:pPr>
          </w:p>
        </w:tc>
        <w:tc>
          <w:tcPr>
            <w:tcW w:w="83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24</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660" w:type="dxa"/>
            <w:vAlign w:val="bottom"/>
            <w:gridSpan w:val="17"/>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Unregistered Sales of Equity Securities and Use of Proceeds</w:t>
              </w:r>
            </w:hyperlink>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36</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8"/>
          </w:tcPr>
          <w:p>
            <w:pPr>
              <w:spacing w:after="0"/>
              <w:rPr>
                <w:rFonts w:ascii="Times New Roman" w:cs="Times New Roman" w:eastAsia="Times New Roman" w:hAnsi="Times New Roman"/>
                <w:sz w:val="18"/>
                <w:szCs w:val="18"/>
                <w:color w:val="0000EE"/>
                <w:w w:val="98"/>
              </w:rPr>
            </w:pPr>
            <w:hyperlink w:anchor="page38">
              <w:r>
                <w:rPr>
                  <w:rFonts w:ascii="Times New Roman" w:cs="Times New Roman" w:eastAsia="Times New Roman" w:hAnsi="Times New Roman"/>
                  <w:sz w:val="18"/>
                  <w:szCs w:val="18"/>
                  <w:color w:val="0000EE"/>
                  <w:w w:val="98"/>
                </w:rPr>
                <w:t>Defaults Upon Senior Securities</w:t>
              </w:r>
            </w:hyperlink>
          </w:p>
        </w:tc>
        <w:tc>
          <w:tcPr>
            <w:tcW w:w="2020" w:type="dxa"/>
            <w:vAlign w:val="bottom"/>
            <w:gridSpan w:val="2"/>
          </w:tcPr>
          <w:p>
            <w:pPr>
              <w:spacing w:after="0"/>
              <w:rPr>
                <w:sz w:val="21"/>
                <w:szCs w:val="21"/>
                <w:color w:val="auto"/>
              </w:rPr>
            </w:pPr>
          </w:p>
        </w:tc>
        <w:tc>
          <w:tcPr>
            <w:tcW w:w="53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36</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734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8"/>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Mine Safety Disclosures</w:t>
              </w:r>
            </w:hyperlink>
          </w:p>
        </w:tc>
        <w:tc>
          <w:tcPr>
            <w:tcW w:w="734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36</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90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gridSpan w:val="5"/>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Other Information</w:t>
              </w:r>
            </w:hyperlink>
          </w:p>
        </w:tc>
        <w:tc>
          <w:tcPr>
            <w:tcW w:w="7900" w:type="dxa"/>
            <w:vAlign w:val="bottom"/>
            <w:gridSpan w:val="12"/>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36</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836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rFonts w:ascii="Times New Roman" w:cs="Times New Roman" w:eastAsia="Times New Roman" w:hAnsi="Times New Roman"/>
                <w:sz w:val="18"/>
                <w:szCs w:val="18"/>
                <w:color w:val="0000EE"/>
                <w:w w:val="96"/>
              </w:rPr>
            </w:pPr>
            <w:hyperlink w:anchor="page38">
              <w:r>
                <w:rPr>
                  <w:rFonts w:ascii="Times New Roman" w:cs="Times New Roman" w:eastAsia="Times New Roman" w:hAnsi="Times New Roman"/>
                  <w:sz w:val="18"/>
                  <w:szCs w:val="18"/>
                  <w:color w:val="0000EE"/>
                  <w:w w:val="96"/>
                </w:rPr>
                <w:t>Exhibits</w:t>
              </w:r>
            </w:hyperlink>
          </w:p>
        </w:tc>
        <w:tc>
          <w:tcPr>
            <w:tcW w:w="700" w:type="dxa"/>
            <w:vAlign w:val="bottom"/>
            <w:gridSpan w:val="3"/>
          </w:tcPr>
          <w:p>
            <w:pPr>
              <w:spacing w:after="0"/>
              <w:rPr>
                <w:sz w:val="21"/>
                <w:szCs w:val="21"/>
                <w:color w:val="auto"/>
              </w:rPr>
            </w:pPr>
          </w:p>
        </w:tc>
        <w:tc>
          <w:tcPr>
            <w:tcW w:w="83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36</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90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2"/>
          </w:tcPr>
          <w:p>
            <w:pPr>
              <w:spacing w:after="0"/>
              <w:rPr>
                <w:rFonts w:ascii="Times New Roman" w:cs="Times New Roman" w:eastAsia="Times New Roman" w:hAnsi="Times New Roman"/>
                <w:sz w:val="18"/>
                <w:szCs w:val="18"/>
                <w:color w:val="0000EE"/>
                <w:w w:val="94"/>
              </w:rPr>
            </w:pPr>
            <w:hyperlink w:anchor="page38">
              <w:r>
                <w:rPr>
                  <w:rFonts w:ascii="Times New Roman" w:cs="Times New Roman" w:eastAsia="Times New Roman" w:hAnsi="Times New Roman"/>
                  <w:sz w:val="18"/>
                  <w:szCs w:val="18"/>
                  <w:color w:val="0000EE"/>
                  <w:w w:val="94"/>
                </w:rPr>
                <w:t>Signatures</w:t>
              </w:r>
            </w:hyperlink>
          </w:p>
        </w:tc>
        <w:tc>
          <w:tcPr>
            <w:tcW w:w="8900" w:type="dxa"/>
            <w:vAlign w:val="bottom"/>
            <w:gridSpan w:val="15"/>
          </w:tcPr>
          <w:p>
            <w:pPr>
              <w:spacing w:after="0"/>
              <w:rPr>
                <w:sz w:val="21"/>
                <w:szCs w:val="21"/>
                <w:color w:val="auto"/>
              </w:rPr>
            </w:pPr>
          </w:p>
        </w:tc>
        <w:tc>
          <w:tcPr>
            <w:tcW w:w="80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37</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gridSpan w:val="3"/>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0"/>
        </w:trPr>
        <w:tc>
          <w:tcPr>
            <w:tcW w:w="7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660" w:type="dxa"/>
            <w:vAlign w:val="bottom"/>
          </w:tcPr>
          <w:p>
            <w:pPr>
              <w:spacing w:after="0"/>
              <w:rPr>
                <w:sz w:val="24"/>
                <w:szCs w:val="24"/>
                <w:color w:val="auto"/>
              </w:rPr>
            </w:pPr>
          </w:p>
        </w:tc>
        <w:tc>
          <w:tcPr>
            <w:tcW w:w="458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Item1.</w:t>
            </w: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5"/>
        </w:trPr>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58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rPr>
              <w:t>RPX Corporation</w:t>
            </w: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58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58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8"/>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58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49"/>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7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83,326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100,155</w:t>
            </w:r>
          </w:p>
        </w:tc>
      </w:tr>
      <w:tr>
        <w:trPr>
          <w:trHeight w:val="243"/>
        </w:trPr>
        <w:tc>
          <w:tcPr>
            <w:tcW w:w="3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219,804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190,567</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364</w:t>
            </w:r>
          </w:p>
        </w:tc>
      </w:tr>
      <w:tr>
        <w:trPr>
          <w:trHeight w:val="243"/>
        </w:trPr>
        <w:tc>
          <w:tcPr>
            <w:tcW w:w="3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38,477</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17,381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10,546</w:t>
            </w:r>
          </w:p>
        </w:tc>
      </w:tr>
      <w:tr>
        <w:trPr>
          <w:trHeight w:val="243"/>
        </w:trPr>
        <w:tc>
          <w:tcPr>
            <w:tcW w:w="3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3,817</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346,879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343,926</w:t>
            </w:r>
          </w:p>
        </w:tc>
      </w:tr>
      <w:tr>
        <w:trPr>
          <w:trHeight w:val="243"/>
        </w:trPr>
        <w:tc>
          <w:tcPr>
            <w:tcW w:w="3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Patent assets, net</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248,051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219,954</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4,667</w:t>
            </w:r>
          </w:p>
        </w:tc>
      </w:tr>
      <w:tr>
        <w:trPr>
          <w:trHeight w:val="243"/>
        </w:trPr>
        <w:tc>
          <w:tcPr>
            <w:tcW w:w="3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1,718</w:t>
            </w:r>
          </w:p>
        </w:tc>
      </w:tr>
      <w:tr>
        <w:trPr>
          <w:trHeight w:val="27"/>
        </w:trPr>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16,460</w:t>
            </w:r>
          </w:p>
        </w:tc>
      </w:tr>
      <w:tr>
        <w:trPr>
          <w:trHeight w:val="243"/>
        </w:trPr>
        <w:tc>
          <w:tcPr>
            <w:tcW w:w="3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Restricted cash, less current portion</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1,454</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4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622</w:t>
            </w:r>
          </w:p>
        </w:tc>
      </w:tr>
      <w:tr>
        <w:trPr>
          <w:trHeight w:val="297"/>
        </w:trPr>
        <w:tc>
          <w:tcPr>
            <w:tcW w:w="3940" w:type="dxa"/>
            <w:vAlign w:val="bottom"/>
            <w:tcBorders>
              <w:bottom w:val="single" w:sz="8" w:color="CCEEFF"/>
            </w:tcBorders>
            <w:gridSpan w:val="3"/>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44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624,960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588,801</w:t>
            </w:r>
          </w:p>
        </w:tc>
      </w:tr>
      <w:tr>
        <w:trPr>
          <w:trHeight w:val="217"/>
        </w:trPr>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3"/>
        </w:trPr>
        <w:tc>
          <w:tcPr>
            <w:tcW w:w="3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332</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8,784</w:t>
            </w:r>
          </w:p>
        </w:tc>
      </w:tr>
      <w:tr>
        <w:trPr>
          <w:trHeight w:val="243"/>
        </w:trPr>
        <w:tc>
          <w:tcPr>
            <w:tcW w:w="3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110,874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131,808</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payment obligations</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3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1,638</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135,779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143,062</w:t>
            </w:r>
          </w:p>
        </w:tc>
      </w:tr>
      <w:tr>
        <w:trPr>
          <w:trHeight w:val="243"/>
        </w:trPr>
        <w:tc>
          <w:tcPr>
            <w:tcW w:w="3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5,935</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11,654</w:t>
            </w:r>
          </w:p>
        </w:tc>
      </w:tr>
      <w:tr>
        <w:trPr>
          <w:trHeight w:val="243"/>
        </w:trPr>
        <w:tc>
          <w:tcPr>
            <w:tcW w:w="3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3,227</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4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152,614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163,878</w:t>
            </w:r>
          </w:p>
        </w:tc>
      </w:tr>
      <w:tr>
        <w:trPr>
          <w:trHeight w:val="237"/>
        </w:trPr>
        <w:tc>
          <w:tcPr>
            <w:tcW w:w="3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44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322,774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305,343</w:t>
            </w:r>
          </w:p>
        </w:tc>
      </w:tr>
      <w:tr>
        <w:trPr>
          <w:trHeight w:val="243"/>
        </w:trPr>
        <w:tc>
          <w:tcPr>
            <w:tcW w:w="3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119,527</w:t>
            </w:r>
          </w:p>
        </w:tc>
      </w:tr>
      <w:tr>
        <w:trPr>
          <w:trHeight w:val="27"/>
        </w:trPr>
        <w:tc>
          <w:tcPr>
            <w:tcW w:w="12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r>
      <w:tr>
        <w:trPr>
          <w:trHeight w:val="237"/>
        </w:trPr>
        <w:tc>
          <w:tcPr>
            <w:tcW w:w="39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472,346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424,923</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9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624,960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588,801</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820" w:type="dxa"/>
            <w:vAlign w:val="bottom"/>
            <w:gridSpan w:val="4"/>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65,407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58,554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191,588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177,229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30,444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29,766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90,906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78,130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17,786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53,620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45,793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sale of patent assets,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17,185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47,769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53,180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48,035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53,350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19,561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10,833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33,789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10,833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33,767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available to common stockholders per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Weighted-average shares used in computing net income available to</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stockholders per common share:</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53,773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52,267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53,263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51,751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55,029</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54,055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54,742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53,415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820" w:type="dxa"/>
            <w:vAlign w:val="bottom"/>
            <w:gridSpan w:val="4"/>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10,833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33,789</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(losses) on available-for-sale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holding gains (losses) arising during the period</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5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reclassification adjustment for (gains) losses included in net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61"/>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05"/>
        </w:trPr>
        <w:tc>
          <w:tcPr>
            <w:tcW w:w="516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Net unrealized gains (losses) on available-for-sale securities, net of</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3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10,752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29,992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33,867</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80" w:type="dxa"/>
            <w:vAlign w:val="bottom"/>
            <w:gridSpan w:val="4"/>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9"/>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5"/>
        </w:trPr>
        <w:tc>
          <w:tcPr>
            <w:tcW w:w="8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2013</w:t>
            </w:r>
          </w:p>
        </w:tc>
      </w:tr>
      <w:tr>
        <w:trPr>
          <w:trHeight w:val="29"/>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30,092</w:t>
            </w:r>
          </w:p>
        </w:tc>
        <w:tc>
          <w:tcPr>
            <w:tcW w:w="100" w:type="dxa"/>
            <w:vAlign w:val="bottom"/>
          </w:tcPr>
          <w:p>
            <w:pPr>
              <w:spacing w:after="0"/>
              <w:rPr>
                <w:sz w:val="20"/>
                <w:szCs w:val="20"/>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33,789</w:t>
            </w:r>
          </w:p>
        </w:tc>
      </w:tr>
      <w:tr>
        <w:trPr>
          <w:trHeight w:val="29"/>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89,700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76,767</w:t>
            </w:r>
          </w:p>
        </w:tc>
      </w:tr>
      <w:tr>
        <w:trPr>
          <w:trHeight w:val="29"/>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13,353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12,081</w:t>
            </w:r>
          </w:p>
        </w:tc>
      </w:tr>
      <w:tr>
        <w:trPr>
          <w:trHeight w:val="24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Excess tax benefit from stock-based compensation</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(2,752)</w:t>
            </w:r>
          </w:p>
        </w:tc>
      </w:tr>
      <w:tr>
        <w:trPr>
          <w:trHeight w:val="29"/>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(Gain) loss on sale of patent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126</w:t>
            </w:r>
          </w:p>
        </w:tc>
      </w:tr>
      <w:tr>
        <w:trPr>
          <w:trHeight w:val="24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Amortization of premium on investments</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5,031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4,496</w:t>
            </w:r>
          </w:p>
        </w:tc>
      </w:tr>
      <w:tr>
        <w:trPr>
          <w:trHeight w:val="29"/>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(2,772)</w:t>
            </w:r>
          </w:p>
        </w:tc>
      </w:tr>
      <w:tr>
        <w:trPr>
          <w:trHeight w:val="241"/>
        </w:trPr>
        <w:tc>
          <w:tcPr>
            <w:tcW w:w="83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w:t>
            </w:r>
          </w:p>
        </w:tc>
      </w:tr>
      <w:tr>
        <w:trPr>
          <w:trHeight w:val="29"/>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Changes in assets and liabilities, net of business acquired: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1"/>
        </w:trPr>
        <w:tc>
          <w:tcPr>
            <w:tcW w:w="8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Accounts receivable</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17,227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5,259</w:t>
            </w:r>
          </w:p>
        </w:tc>
      </w:tr>
      <w:tr>
        <w:trPr>
          <w:trHeight w:val="29"/>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33,775</w:t>
            </w:r>
          </w:p>
        </w:tc>
      </w:tr>
      <w:tr>
        <w:trPr>
          <w:trHeight w:val="241"/>
        </w:trPr>
        <w:tc>
          <w:tcPr>
            <w:tcW w:w="8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(6,392)</w:t>
            </w:r>
          </w:p>
        </w:tc>
      </w:tr>
      <w:tr>
        <w:trPr>
          <w:trHeight w:val="29"/>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143</w:t>
            </w:r>
          </w:p>
        </w:tc>
      </w:tr>
      <w:tr>
        <w:trPr>
          <w:trHeight w:val="241"/>
        </w:trPr>
        <w:tc>
          <w:tcPr>
            <w:tcW w:w="83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Accrued and other liabilities</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1,134</w:t>
            </w:r>
          </w:p>
        </w:tc>
      </w:tr>
      <w:tr>
        <w:trPr>
          <w:trHeight w:val="29"/>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Deferred revenue</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859</w:t>
            </w:r>
          </w:p>
        </w:tc>
      </w:tr>
      <w:tr>
        <w:trPr>
          <w:trHeight w:val="221"/>
        </w:trPr>
        <w:tc>
          <w:tcPr>
            <w:tcW w:w="83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117,920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156,526</w:t>
            </w:r>
          </w:p>
        </w:tc>
      </w:tr>
      <w:tr>
        <w:trPr>
          <w:trHeight w:val="29"/>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Purchases of investments classified as available-for-sale</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(176,209)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(134,155)</w:t>
            </w:r>
          </w:p>
        </w:tc>
      </w:tr>
      <w:tr>
        <w:trPr>
          <w:trHeight w:val="29"/>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Maturities of investments classified as available-for-sale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146,225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115,122</w:t>
            </w: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Sales of investments classified as available-for-sale</w:t>
            </w:r>
          </w:p>
        </w:tc>
        <w:tc>
          <w:tcPr>
            <w:tcW w:w="2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1,099</w:t>
            </w:r>
          </w:p>
        </w:tc>
      </w:tr>
      <w:tr>
        <w:trPr>
          <w:trHeight w:val="29"/>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Business acquisition, net of cash acquired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Decrease in restricted cash</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(1,818)</w:t>
            </w:r>
          </w:p>
        </w:tc>
      </w:tr>
      <w:tr>
        <w:trPr>
          <w:trHeight w:val="29"/>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w:t>
            </w: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Acquisitions of patent assets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(103,958)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(82,751)</w:t>
            </w:r>
          </w:p>
        </w:tc>
      </w:tr>
      <w:tr>
        <w:trPr>
          <w:trHeight w:val="29"/>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Proceeds from sale of patent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1,086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w:t>
            </w:r>
          </w:p>
        </w:tc>
      </w:tr>
      <w:tr>
        <w:trPr>
          <w:trHeight w:val="221"/>
        </w:trPr>
        <w:tc>
          <w:tcPr>
            <w:tcW w:w="83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(136,159)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(104,476)</w:t>
            </w:r>
          </w:p>
        </w:tc>
      </w:tr>
      <w:tr>
        <w:trPr>
          <w:trHeight w:val="29"/>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Proceeds from exercise of stock options and other common stock issuances</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2,864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4,174</w:t>
            </w:r>
          </w:p>
        </w:tc>
      </w:tr>
      <w:tr>
        <w:trPr>
          <w:trHeight w:val="29"/>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Taxes paid related to net-share settlements of restricted stock units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Excess tax benefit from stock-based compensation</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2,752</w:t>
            </w:r>
          </w:p>
        </w:tc>
      </w:tr>
      <w:tr>
        <w:trPr>
          <w:trHeight w:val="29"/>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1,410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6,926</w:t>
            </w:r>
          </w:p>
        </w:tc>
      </w:tr>
      <w:tr>
        <w:trPr>
          <w:trHeight w:val="22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(16,829)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58,976</w:t>
            </w:r>
          </w:p>
        </w:tc>
      </w:tr>
      <w:tr>
        <w:trPr>
          <w:trHeight w:val="29"/>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100,155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73,638</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83,326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132,614</w:t>
            </w:r>
          </w:p>
        </w:tc>
      </w:tr>
      <w:tr>
        <w:trPr>
          <w:trHeight w:val="311"/>
        </w:trPr>
        <w:tc>
          <w:tcPr>
            <w:tcW w:w="8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Non-cash investing and financing activities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9"/>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Change in patent assets purchased and accrued but not paid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11,700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3,400</w:t>
            </w: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Change in fixed assets purchased and accrued but not paid</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681</w:t>
            </w:r>
          </w:p>
        </w:tc>
      </w:tr>
      <w:tr>
        <w:trPr>
          <w:trHeight w:val="29"/>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Change in other assets purchased and accrued but not paid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500</w:t>
            </w:r>
          </w:p>
        </w:tc>
      </w:tr>
      <w:tr>
        <w:trPr>
          <w:trHeight w:val="241"/>
        </w:trPr>
        <w:tc>
          <w:tcPr>
            <w:tcW w:w="83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Unpaid cash consideration for business acquisition</w:t>
            </w:r>
          </w:p>
        </w:tc>
        <w:tc>
          <w:tcPr>
            <w:tcW w:w="20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RPX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8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RPX Corporation (also referred to herein as “RPX” or the “Company”) helps companies reduce patent-related risk and expense by providing a subscription-based patent risk management solution that facilitates more efficient exchanges of value between owners and users of patents compared to transactions driven by actual or threatened litigation. The core of the Company’s solution is defensive patent aggregation, in which it acquires patents or licenses to patents that are being or may be asserted against the Company’s current or prospective clients. The Company may occasionally enter into agreements to acquire covenants not to sue in order to further mitigate its clients’ litigation risk. The acquired patents, licenses to patents, patent rights and agreements for covenants not to sue are collectively referred to as “patent assets.” The Company’s clients pay an annual subscription fee and in return, receive a license from the Company to substantially all of its patent assets and access to its proprietary patent market intelligence and data. In addition to the Company’s core solution, in August 2012, the Company began underwriting patent infringement liability insurance policies to insure against certain costs of litigation from non-practicing entities (“NPEs”). In March 2014, the Company formed a reinsurance company to assume some portion of the underwriting risk on insurance policies that the Company issues on behalf of a Lloyd’s of London underwriting syndicate. The Company began placing new policies under the reinsurance model in May 2014. As of, and for the three and nine months ended September 30, 2014, the effect of the insurance policies that the Company has issued or assumed through our reinsurance business was not material to the Company’s results of operations, financial condition or cash flows.</w:t>
      </w:r>
    </w:p>
    <w:p>
      <w:pPr>
        <w:spacing w:after="0" w:line="173" w:lineRule="exact"/>
        <w:rPr>
          <w:sz w:val="20"/>
          <w:szCs w:val="20"/>
          <w:color w:val="auto"/>
        </w:rPr>
      </w:pPr>
    </w:p>
    <w:p>
      <w:pPr>
        <w:ind w:left="620" w:hanging="612"/>
        <w:spacing w:after="0"/>
        <w:tabs>
          <w:tab w:leader="none" w:pos="6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81" w:lineRule="exact"/>
        <w:rPr>
          <w:sz w:val="20"/>
          <w:szCs w:val="20"/>
          <w:color w:val="auto"/>
        </w:rPr>
      </w:pPr>
    </w:p>
    <w:p>
      <w:pPr>
        <w:ind w:right="160" w:firstLine="486"/>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September 30, 2014, the condensed consolidated statements of operations and the condensed consolidated statements of comprehensive income for the three and nine months ended September 30, 2014 and 2013, and the condensed consolidated statements of cash flows for the nine months ended September 30, 2014 and 2013, are unaudited. The condensed consolidated balance sheet as of December 31, 2013 was derived from the audited consolidated financial statements which are included in the Company’s Form 10-K for the fiscal year ended December 31, 2013, which was filed with the U.S. Securities and Exchange Commission (“SEC”) on March 10, 2014. The unaudited condensed consolidated financial statements should be read in conjunction with the audited financial statements and accompanying notes included in the Company’s Annual Report on Form 10-K for the year ended December 31, 2013.</w:t>
      </w:r>
    </w:p>
    <w:p>
      <w:pPr>
        <w:spacing w:after="0" w:line="189"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accounting principles generally accepted in the United States of America and with the instructions for Form 10-Q and Regulation S-X for interim financial statements. Accordingly, they do not include all of the information and notes required for complete financial statements. In the opinion of management, all adjustments, consisting of normal recurring items, necessary to state fairly the results of the interim periods have been included in the accompanying financial statements. Operating results for the three and nine months ended September 30, 2014 are not necessarily indicative of the results that may be expected for any subsequent interim period or for the year ending December 31, 2014.</w:t>
      </w:r>
    </w:p>
    <w:p>
      <w:pPr>
        <w:spacing w:after="0" w:line="188"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during the three and nine months ended September 30, 2014, as compared to the significant accounting policies presented under the heading “Basis of Presentation and Significant Accounting Policies” in Note 2 of the Notes to Consolidated Financial Statements in Part II, Item 8 of the Company’s Annual Report on Form 10-K filed with the SEC on March 10, 2014.</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79"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August 2014, the Financial Accounting Standards Board ("FASB") issued Accounting Standards Update ("ASU") 2014-15, </w:t>
      </w:r>
      <w:r>
        <w:rPr>
          <w:rFonts w:ascii="Times New Roman" w:cs="Times New Roman" w:eastAsia="Times New Roman" w:hAnsi="Times New Roman"/>
          <w:sz w:val="18"/>
          <w:szCs w:val="18"/>
          <w:i w:val="1"/>
          <w:iCs w:val="1"/>
          <w:color w:val="auto"/>
        </w:rPr>
        <w:t>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Uncertainties about an Entity's Ability to Continue as a Going Concern </w:t>
      </w:r>
      <w:r>
        <w:rPr>
          <w:rFonts w:ascii="Times New Roman" w:cs="Times New Roman" w:eastAsia="Times New Roman" w:hAnsi="Times New Roman"/>
          <w:sz w:val="18"/>
          <w:szCs w:val="18"/>
          <w:color w:val="auto"/>
        </w:rPr>
        <w:t>("ASU 2014-15") provides new guidance related to management’s responsibility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whether there is substantial doubt about an entity’s ability to continue as a going concern by incorporating and expanding upon certain principles that are currently in U.S. auditing standards and to provide related footnote disclosures. This new guidance is effective for the annual period ending after December 15, 2016, and for annual periods and interim periods thereafter; early adoption is permitted. The requirements of ASU 2014-15 are not expected to have a significant impact on the condensed consolidated financial statements.</w:t>
      </w:r>
    </w:p>
    <w:p>
      <w:pPr>
        <w:spacing w:after="0" w:line="183" w:lineRule="exact"/>
        <w:rPr>
          <w:sz w:val="20"/>
          <w:szCs w:val="20"/>
          <w:color w:val="auto"/>
        </w:rPr>
      </w:pPr>
    </w:p>
    <w:p>
      <w:pPr>
        <w:ind w:right="40" w:firstLine="486"/>
        <w:spacing w:after="0" w:line="259" w:lineRule="auto"/>
        <w:rPr>
          <w:sz w:val="20"/>
          <w:szCs w:val="20"/>
          <w:color w:val="auto"/>
        </w:rPr>
      </w:pPr>
      <w:r>
        <w:rPr>
          <w:rFonts w:ascii="Times New Roman" w:cs="Times New Roman" w:eastAsia="Times New Roman" w:hAnsi="Times New Roman"/>
          <w:sz w:val="18"/>
          <w:szCs w:val="18"/>
          <w:color w:val="auto"/>
        </w:rPr>
        <w:t xml:space="preserve">In June 2014, the FASB issued ASU 2014-12, </w:t>
      </w:r>
      <w:r>
        <w:rPr>
          <w:rFonts w:ascii="Times New Roman" w:cs="Times New Roman" w:eastAsia="Times New Roman" w:hAnsi="Times New Roman"/>
          <w:sz w:val="18"/>
          <w:szCs w:val="18"/>
          <w:i w:val="1"/>
          <w:iCs w:val="1"/>
          <w:color w:val="auto"/>
        </w:rPr>
        <w:t>Accounting for Share-Based Payments When the Terms of an Award Provide That a Performance 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Could Be Achieved after the Requisite Service Period </w:t>
      </w:r>
      <w:r>
        <w:rPr>
          <w:rFonts w:ascii="Times New Roman" w:cs="Times New Roman" w:eastAsia="Times New Roman" w:hAnsi="Times New Roman"/>
          <w:sz w:val="18"/>
          <w:szCs w:val="18"/>
          <w:color w:val="auto"/>
        </w:rPr>
        <w:t>(“ASU 2014-12”), which amends</w:t>
      </w:r>
      <w:r>
        <w:rPr>
          <w:rFonts w:ascii="Times New Roman" w:cs="Times New Roman" w:eastAsia="Times New Roman" w:hAnsi="Times New Roman"/>
          <w:sz w:val="18"/>
          <w:szCs w:val="18"/>
          <w:i w:val="1"/>
          <w:iCs w:val="1"/>
          <w:color w:val="auto"/>
        </w:rPr>
        <w:t xml:space="preserve"> Compensation - Stock Compensation (Topic 718) </w:t>
      </w:r>
      <w:r>
        <w:rPr>
          <w:rFonts w:ascii="Times New Roman" w:cs="Times New Roman" w:eastAsia="Times New Roman" w:hAnsi="Times New Roman"/>
          <w:sz w:val="18"/>
          <w:szCs w:val="18"/>
          <w:color w:val="auto"/>
        </w:rPr>
        <w:t>in the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Standards Codification (“ASC”). ASU 2014-12 requires that a performance target that affects vesting and that could be achieved after the requisite service period be treated as a performance condition. A reporting entity should apply existing guidance in </w:t>
      </w:r>
      <w:r>
        <w:rPr>
          <w:rFonts w:ascii="Times New Roman" w:cs="Times New Roman" w:eastAsia="Times New Roman" w:hAnsi="Times New Roman"/>
          <w:sz w:val="18"/>
          <w:szCs w:val="18"/>
          <w:i w:val="1"/>
          <w:iCs w:val="1"/>
          <w:color w:val="auto"/>
        </w:rPr>
        <w:t>Compensation - Stock Compensation (Topic 718)</w:t>
      </w:r>
      <w:r>
        <w:rPr>
          <w:rFonts w:ascii="Times New Roman" w:cs="Times New Roman" w:eastAsia="Times New Roman" w:hAnsi="Times New Roman"/>
          <w:sz w:val="18"/>
          <w:szCs w:val="18"/>
          <w:color w:val="auto"/>
        </w:rPr>
        <w:t xml:space="preserve"> as it relates to awards with performance conditions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that affect vesting to account for such awards. The amendments in ASU 2014-12 will be effective for annual and interim periods beginning after December 15, 2015 and early adoption is permitted. The adoption of ASU 2014-12 is not expected to have a material impact on the Company’s consolidated financial statements.</w:t>
      </w:r>
    </w:p>
    <w:p>
      <w:pPr>
        <w:spacing w:after="0" w:line="17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(“ASU 2014-09”), which will supersede most existing revenue recognition guidance in U.S. generally accepted accounting principles (“U.S. GAAP”) once it becomes effective. ASU 2014-09 requires an entity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required under existing U.S. GAAP including identifying performance obligations in the contract, estimating the amount of variable consideration to include in the transaction price and allocating the transaction price to each separate performance obligation. ASU 2014-09 will be effective for annual and interim periods beginning after December 15, 2016 and early adoption is not permitted. The Company is currently evaluating the impact of the adoption of ASU 2014-12 on its consolidated financial statements.</w:t>
      </w:r>
    </w:p>
    <w:p>
      <w:pPr>
        <w:spacing w:after="0" w:line="185"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April 2014, the FASB issued ASU 2014-08, </w:t>
      </w:r>
      <w:r>
        <w:rPr>
          <w:rFonts w:ascii="Times New Roman" w:cs="Times New Roman" w:eastAsia="Times New Roman" w:hAnsi="Times New Roman"/>
          <w:sz w:val="18"/>
          <w:szCs w:val="18"/>
          <w:i w:val="1"/>
          <w:iCs w:val="1"/>
          <w:color w:val="auto"/>
        </w:rPr>
        <w:t>Presentation of Financial Statements (Topic 205) and Property, Plant and Equipment (Topic 360)</w:t>
      </w:r>
      <w:r>
        <w:rPr>
          <w:rFonts w:ascii="Times New Roman" w:cs="Times New Roman" w:eastAsia="Times New Roman" w:hAnsi="Times New Roman"/>
          <w:sz w:val="18"/>
          <w:szCs w:val="18"/>
          <w:color w:val="auto"/>
        </w:rPr>
        <w:t xml:space="preserve"> (“ASU 2014-08”), which amends the requirements for reporting discontinued operations and enhances disclosure requirements. The amendments in ASU 2014-08 will be effective for all disposals (or classifications as held for sale) of components of an entity beginning on or after December 15, 2014 and early adoption is permitted. The adoption of ASU 2014-08 is not expected to have a material impact on the Company’s consolidated financial statements.</w:t>
      </w:r>
    </w:p>
    <w:p>
      <w:pPr>
        <w:spacing w:after="0" w:line="138"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Available to Common Stockholders</w:t>
      </w:r>
    </w:p>
    <w:p>
      <w:pPr>
        <w:spacing w:after="0" w:line="81" w:lineRule="exact"/>
        <w:rPr>
          <w:sz w:val="20"/>
          <w:szCs w:val="20"/>
          <w:color w:val="auto"/>
        </w:rPr>
      </w:pPr>
    </w:p>
    <w:p>
      <w:pPr>
        <w:ind w:right="780" w:firstLine="446"/>
        <w:spacing w:after="0" w:line="282" w:lineRule="auto"/>
        <w:rPr>
          <w:sz w:val="20"/>
          <w:szCs w:val="20"/>
          <w:color w:val="auto"/>
        </w:rPr>
      </w:pPr>
      <w:r>
        <w:rPr>
          <w:rFonts w:ascii="Times New Roman" w:cs="Times New Roman" w:eastAsia="Times New Roman" w:hAnsi="Times New Roman"/>
          <w:sz w:val="18"/>
          <w:szCs w:val="18"/>
          <w:color w:val="auto"/>
        </w:rPr>
        <w:t>Basic and diluted net income per share available to common stockholders are presented in conformity with the two-class method required for participating securities. The holders of restricted common stock are entitled to receive non-forfeitable dividends if declared.</w:t>
      </w:r>
    </w:p>
    <w:p>
      <w:pPr>
        <w:spacing w:after="0" w:line="162" w:lineRule="exact"/>
        <w:rPr>
          <w:sz w:val="20"/>
          <w:szCs w:val="20"/>
          <w:color w:val="auto"/>
        </w:rPr>
      </w:pPr>
    </w:p>
    <w:p>
      <w:pPr>
        <w:ind w:firstLine="446"/>
        <w:spacing w:after="0" w:line="258" w:lineRule="auto"/>
        <w:rPr>
          <w:sz w:val="20"/>
          <w:szCs w:val="20"/>
          <w:color w:val="auto"/>
        </w:rPr>
      </w:pPr>
      <w:r>
        <w:rPr>
          <w:rFonts w:ascii="Times New Roman" w:cs="Times New Roman" w:eastAsia="Times New Roman" w:hAnsi="Times New Roman"/>
          <w:sz w:val="18"/>
          <w:szCs w:val="18"/>
          <w:color w:val="auto"/>
        </w:rPr>
        <w:t>Under the two-class method, basic net income per share available to common stockholders is computed by dividing the net income available to common stockholders by the weighted-average number of shares of common stock outstanding during the period. Net income available to common stockholders is determined by allocating undistributed earnings between common and restricted common stockholders. Diluted net income per share available to common stockholders is computed by using the weighted-average number of shares of common stock outstanding, including potential dilutive shares of common stock, assuming the dilutive effect of outstanding stock options and restricted stock units using the treasury stock method.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per share available to common stockholders (in thousands, except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820" w:type="dxa"/>
            <w:vAlign w:val="bottom"/>
            <w:gridSpan w:val="4"/>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10,833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8,397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30,092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33,789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Allocation of net income to participating stockholders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10,833</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30,092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33,767</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shares: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w:t>
            </w:r>
          </w:p>
        </w:tc>
        <w:tc>
          <w:tcPr>
            <w:tcW w:w="2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53,773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52,267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53,263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51,751</w:t>
            </w: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available to common stockholders</w:t>
            </w: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Diluted shares:</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available to common stockholders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53,773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52,267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53,263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51,751</w:t>
            </w:r>
          </w:p>
        </w:tc>
        <w:tc>
          <w:tcPr>
            <w:tcW w:w="0" w:type="dxa"/>
            <w:vAlign w:val="bottom"/>
          </w:tcPr>
          <w:p>
            <w:pPr>
              <w:spacing w:after="0"/>
              <w:rPr>
                <w:sz w:val="1"/>
                <w:szCs w:val="1"/>
                <w:color w:val="auto"/>
              </w:rPr>
            </w:pPr>
          </w:p>
        </w:tc>
      </w:tr>
      <w:tr>
        <w:trPr>
          <w:trHeight w:val="225"/>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Dilutive effect of stock options and restricted stock units using the</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treasury-stock method</w:t>
            </w:r>
          </w:p>
        </w:tc>
        <w:tc>
          <w:tcPr>
            <w:tcW w:w="20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280"/>
              <w:spacing w:after="0" w:line="205" w:lineRule="exact"/>
              <w:rPr>
                <w:sz w:val="20"/>
                <w:szCs w:val="20"/>
                <w:color w:val="auto"/>
              </w:rPr>
            </w:pPr>
            <w:r>
              <w:rPr>
                <w:rFonts w:ascii="Times New Roman" w:cs="Times New Roman" w:eastAsia="Times New Roman" w:hAnsi="Times New Roman"/>
                <w:sz w:val="18"/>
                <w:szCs w:val="18"/>
                <w:color w:val="auto"/>
              </w:rPr>
              <w:t>Weighted-average shares used in computing diluted net income</w:t>
            </w:r>
          </w:p>
        </w:tc>
        <w:tc>
          <w:tcPr>
            <w:tcW w:w="20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55,029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54,055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54,742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53,415</w:t>
            </w: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available to common stockholders</w:t>
            </w: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income per common share available to common stockholders:</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securities were not included in the calculation of diluted shares outstanding as the effect would have been anti-dilutive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320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60" w:type="dxa"/>
            <w:vAlign w:val="bottom"/>
            <w:gridSpan w:val="3"/>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6160" w:type="dxa"/>
            <w:vAlign w:val="bottom"/>
            <w:gridSpan w:val="2"/>
          </w:tcPr>
          <w:p>
            <w:pPr>
              <w:ind w:left="5740"/>
              <w:spacing w:after="0"/>
              <w:rPr>
                <w:sz w:val="20"/>
                <w:szCs w:val="20"/>
                <w:color w:val="auto"/>
              </w:rPr>
            </w:pPr>
            <w:r>
              <w:rPr>
                <w:rFonts w:ascii="Times New Roman" w:cs="Times New Roman" w:eastAsia="Times New Roman" w:hAnsi="Times New Roman"/>
                <w:sz w:val="16"/>
                <w:szCs w:val="16"/>
                <w:b w:val="1"/>
                <w:bCs w:val="1"/>
                <w:color w:val="auto"/>
              </w:rPr>
              <w:t>2014</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148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148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1,360</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255</w:t>
            </w:r>
          </w:p>
        </w:tc>
      </w:tr>
      <w:tr>
        <w:trPr>
          <w:trHeight w:val="243"/>
        </w:trPr>
        <w:tc>
          <w:tcPr>
            <w:tcW w:w="6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of common stock subject to repurchase</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w:t>
            </w:r>
          </w:p>
        </w:tc>
      </w:tr>
      <w:tr>
        <w:trPr>
          <w:trHeight w:val="486"/>
        </w:trPr>
        <w:tc>
          <w:tcPr>
            <w:tcW w:w="6160" w:type="dxa"/>
            <w:vAlign w:val="bottom"/>
            <w:gridSpan w:val="2"/>
          </w:tcPr>
          <w:p>
            <w:pPr>
              <w:ind w:left="5660"/>
              <w:spacing w:after="0"/>
              <w:rPr>
                <w:sz w:val="20"/>
                <w:szCs w:val="20"/>
                <w:color w:val="auto"/>
              </w:rPr>
            </w:pPr>
            <w:r>
              <w:rPr>
                <w:rFonts w:ascii="Times New Roman" w:cs="Times New Roman" w:eastAsia="Times New Roman" w:hAnsi="Times New Roman"/>
                <w:sz w:val="18"/>
                <w:szCs w:val="18"/>
                <w:color w:val="auto"/>
              </w:rPr>
              <w:t>7</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present the Company’s financial assets measured at fair value on a recurring basis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 2014</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Pr>
          <w:p>
            <w:pPr>
              <w:spacing w:after="0"/>
              <w:rPr>
                <w:sz w:val="20"/>
                <w:szCs w:val="20"/>
                <w:color w:val="auto"/>
              </w:rPr>
            </w:pPr>
          </w:p>
        </w:tc>
        <w:tc>
          <w:tcPr>
            <w:tcW w:w="11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Level 2</w:t>
            </w: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24,179</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24,179</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4,057</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29,262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28,236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127,562</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127,562</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56,070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56,070</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2,497</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33,675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33,675</w:t>
            </w:r>
          </w:p>
        </w:tc>
      </w:tr>
      <w:tr>
        <w:trPr>
          <w:trHeight w:val="237"/>
        </w:trPr>
        <w:tc>
          <w:tcPr>
            <w:tcW w:w="67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219,804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219,804</w:t>
            </w: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69"/>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0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00" w:type="dxa"/>
            <w:vAlign w:val="bottom"/>
          </w:tcPr>
          <w:p>
            <w:pPr>
              <w:spacing w:after="0"/>
              <w:rPr>
                <w:sz w:val="20"/>
                <w:szCs w:val="20"/>
                <w:color w:val="auto"/>
              </w:rPr>
            </w:pPr>
          </w:p>
        </w:tc>
        <w:tc>
          <w:tcPr>
            <w:tcW w:w="118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Level 2</w:t>
            </w: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34,498</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34,498</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3,801</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38,336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38,299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146,100</w:t>
            </w:r>
          </w:p>
        </w:tc>
        <w:tc>
          <w:tcPr>
            <w:tcW w:w="10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146,100</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31,597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31,597</w:t>
            </w:r>
          </w:p>
        </w:tc>
      </w:tr>
      <w:tr>
        <w:trPr>
          <w:trHeight w:val="243"/>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7,875</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4,995</w:t>
            </w:r>
          </w:p>
        </w:tc>
      </w:tr>
      <w:tr>
        <w:trPr>
          <w:trHeight w:val="237"/>
        </w:trPr>
        <w:tc>
          <w:tcPr>
            <w:tcW w:w="67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190,567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190,567</w:t>
            </w:r>
          </w:p>
        </w:tc>
      </w:tr>
      <w:tr>
        <w:trPr>
          <w:trHeight w:val="27"/>
        </w:trPr>
        <w:tc>
          <w:tcPr>
            <w:tcW w:w="6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2014 and December 31, 2013, the Company did not use Level 3 inputs to measure financial assets or liabilities at fair value.</w:t>
      </w:r>
    </w:p>
    <w:p>
      <w:pPr>
        <w:spacing w:after="0" w:line="181"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present the Company’s investments in available-for-sale securities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gridSpan w:val="3"/>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September 30, 2014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40" w:type="dxa"/>
            <w:vAlign w:val="bottom"/>
            <w:gridSpan w:val="3"/>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Estimated Fair</w:t>
            </w:r>
          </w:p>
        </w:tc>
        <w:tc>
          <w:tcPr>
            <w:tcW w:w="0" w:type="dxa"/>
            <w:vAlign w:val="bottom"/>
          </w:tcPr>
          <w:p>
            <w:pPr>
              <w:spacing w:after="0"/>
              <w:rPr>
                <w:sz w:val="1"/>
                <w:szCs w:val="1"/>
                <w:color w:val="auto"/>
              </w:rPr>
            </w:pPr>
          </w:p>
        </w:tc>
      </w:tr>
      <w:tr>
        <w:trPr>
          <w:trHeight w:val="194"/>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4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127,516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127,562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56,150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56,070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33,693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33,675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219,856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219,804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gridSpan w:val="3"/>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gridSpan w:val="3"/>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Estimated Fair</w:t>
            </w:r>
          </w:p>
        </w:tc>
        <w:tc>
          <w:tcPr>
            <w:tcW w:w="0" w:type="dxa"/>
            <w:vAlign w:val="bottom"/>
          </w:tcPr>
          <w:p>
            <w:pPr>
              <w:spacing w:after="0"/>
              <w:rPr>
                <w:sz w:val="1"/>
                <w:szCs w:val="1"/>
                <w:color w:val="auto"/>
              </w:rPr>
            </w:pPr>
          </w:p>
        </w:tc>
      </w:tr>
      <w:tr>
        <w:trPr>
          <w:trHeight w:val="194"/>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4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146,047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146,100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31,597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31,597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7,875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4,995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190,519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190,567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60" w:firstLine="446"/>
        <w:spacing w:after="0" w:line="266" w:lineRule="auto"/>
        <w:rPr>
          <w:sz w:val="20"/>
          <w:szCs w:val="20"/>
          <w:color w:val="auto"/>
        </w:rPr>
      </w:pPr>
      <w:r>
        <w:rPr>
          <w:rFonts w:ascii="Times New Roman" w:cs="Times New Roman" w:eastAsia="Times New Roman" w:hAnsi="Times New Roman"/>
          <w:sz w:val="18"/>
          <w:szCs w:val="18"/>
          <w:color w:val="auto"/>
        </w:rPr>
        <w:t>Available-for-sale securities are reported at fair value, with unrealized gains and losses, net of tax, included as a separate component of stockholders’ equity within accumulated other comprehensive income (loss). Realized gains and losses on available-for-sale securities are included in other income, net in the Company’s condensed consolidated statements of operations and have not been material for all periods presented.</w:t>
      </w:r>
    </w:p>
    <w:p>
      <w:pPr>
        <w:spacing w:after="0" w:line="176" w:lineRule="exact"/>
        <w:rPr>
          <w:sz w:val="20"/>
          <w:szCs w:val="20"/>
          <w:color w:val="auto"/>
        </w:rPr>
      </w:pPr>
    </w:p>
    <w:p>
      <w:pPr>
        <w:ind w:right="200" w:firstLine="446"/>
        <w:spacing w:after="0" w:line="282" w:lineRule="auto"/>
        <w:rPr>
          <w:sz w:val="20"/>
          <w:szCs w:val="20"/>
          <w:color w:val="auto"/>
        </w:rPr>
      </w:pPr>
      <w:r>
        <w:rPr>
          <w:rFonts w:ascii="Times New Roman" w:cs="Times New Roman" w:eastAsia="Times New Roman" w:hAnsi="Times New Roman"/>
          <w:sz w:val="18"/>
          <w:szCs w:val="18"/>
          <w:color w:val="auto"/>
        </w:rPr>
        <w:t>The weighted-average remaining maturity of the Company’s investment portfolio was less than one year as of September 30, 2014 and December 31, 2013. As of September 30, 2014, no individual securities incurred continuous unrealized losses for greater than 12 months.</w:t>
      </w:r>
    </w:p>
    <w:p>
      <w:pPr>
        <w:spacing w:after="0" w:line="117"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Patent Assets, Net</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Patent assets, net, consisted of the following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Sales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529,526</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115,658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644,479</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325</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(396,428)</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219,954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248,051</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portfolio of patent assets on a straight-line basis over its estimated economic useful life. As of September 30, 2014, the estimated economic useful lives of the Company’s patent assets generally ranged from 24 to 60 months. As of September 30, 2014, the weighted-average estimated economic useful life at the time of acquisition of all patents acquired since the Company’s inception was 46 months.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 of September 30, 2014, the Company expects amortization expense in future periods to be as follows (in thousands):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2014 (remainder)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31,371</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103,961</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73,434</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31,714</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6,788</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783</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248,051</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40" w:firstLine="446"/>
        <w:spacing w:after="0" w:line="282" w:lineRule="auto"/>
        <w:rPr>
          <w:sz w:val="20"/>
          <w:szCs w:val="20"/>
          <w:color w:val="auto"/>
        </w:rPr>
      </w:pPr>
      <w:r>
        <w:rPr>
          <w:rFonts w:ascii="Times New Roman" w:cs="Times New Roman" w:eastAsia="Times New Roman" w:hAnsi="Times New Roman"/>
          <w:sz w:val="18"/>
          <w:szCs w:val="18"/>
          <w:color w:val="auto"/>
        </w:rPr>
        <w:t>Amortization expense was $29.5 million and $28.2 million for the three months ended September 30, 2014 and 2013, respectively, and $87.2 million and $74.5 million for the nine months ended September 30, 2014 and 2013,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Internal-use software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4,931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4,198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1,700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1,096</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813</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Construction-in-progress</w:t>
            </w: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7,926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4,667</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446"/>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was $0.5 million and $0.4 million for the three months ended September 30, 2014 and 2013, respectively, and $1.5 million and $1.2 million for the nine months ended September 30, 2014 and 2013, respectively. Stock-based compensation capitalized as part of the cost of internal-use software was nil for both the three months ended September 30, 2014 and 2013, respectively, and $0.1 million and nil for the nine months ended September 30, 2014 and 2013, respectively.</w:t>
      </w:r>
    </w:p>
    <w:p>
      <w:pPr>
        <w:spacing w:after="0" w:line="136"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94"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On June 19, 2014, the Company completed its acquisition of all of the issued and outstanding membership interests in DCML Services Corporation (“DCML”), a provider of data, intelligence and consulting on NPEs (operating under the trade name PatentFreedom). The final purchase price for DCML was approximately $6.2 million, consisting of $3.0 million in cash and 182,408 shares of the Company’s common stock. The fair value of the equity component of the final purchase price of $3.2 million was determined for accounting purposes based on the fair value of the Company’s common stock on the closing date of the acquisition. As of September 30, 2014, the Company has paid $2.6 million of the cash consideration. The shares of common stock were issued in July 2014 and are restricted pursuant to the terms of the agreement. The Company recorded $3.3 million of intangible assets which includes a covenant not to compete, proprietary data and customer relationships, $1.1 million in net deferred tax liabilities, $0.5 million in net tangible assets, and $3.5 million of residual goodwill. The covenant not to compete and proprietary data and customer relationships are being amortized over a weighted-average estimated economic useful life of 3 years. The goodwill recorded pertains to the cost benefits and operational synergies realized by integrating DCML’s data with the Company’s proprietary database that cross-references all patent, litigation and entity information. The goodwill is not expected to be deductible for tax purposes. For the nine months ended September 30, 2014, the Company recorded acquisition-related costs of $0.1 million which were expensed as incurred and included in the Company's selling, general and administrative expenses. The Company has included the financial results of DCML in its condensed consolidated financial statements from the acquisition date and the results are not individually material to its condensed consolidated financial statements.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51"/>
        </w:trPr>
        <w:tc>
          <w:tcPr>
            <w:tcW w:w="160" w:type="dxa"/>
            <w:vAlign w:val="bottom"/>
          </w:tcPr>
          <w:p>
            <w:pPr>
              <w:spacing w:after="0"/>
              <w:rPr>
                <w:sz w:val="24"/>
                <w:szCs w:val="24"/>
                <w:color w:val="auto"/>
              </w:rPr>
            </w:pPr>
          </w:p>
        </w:tc>
        <w:tc>
          <w:tcPr>
            <w:tcW w:w="9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changes in the carrying amounts of goodwill were as follows (in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35"/>
        </w:trPr>
        <w:tc>
          <w:tcPr>
            <w:tcW w:w="9940" w:type="dxa"/>
            <w:vAlign w:val="bottom"/>
            <w:gridSpan w:val="2"/>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16,460</w:t>
            </w:r>
          </w:p>
        </w:tc>
      </w:tr>
      <w:tr>
        <w:trPr>
          <w:trHeight w:val="243"/>
        </w:trPr>
        <w:tc>
          <w:tcPr>
            <w:tcW w:w="160" w:type="dxa"/>
            <w:vAlign w:val="bottom"/>
          </w:tcPr>
          <w:p>
            <w:pPr>
              <w:spacing w:after="0"/>
              <w:rPr>
                <w:sz w:val="21"/>
                <w:szCs w:val="21"/>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from business acquisition</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3,518</w:t>
            </w:r>
          </w:p>
        </w:tc>
      </w:tr>
      <w:tr>
        <w:trPr>
          <w:trHeight w:val="27"/>
        </w:trPr>
        <w:tc>
          <w:tcPr>
            <w:tcW w:w="9940" w:type="dxa"/>
            <w:vAlign w:val="bottom"/>
            <w:tcBorders>
              <w:bottom w:val="single" w:sz="8" w:color="CCEEFF"/>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September 30, 2014</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19,978</w:t>
            </w:r>
          </w:p>
        </w:tc>
      </w:tr>
      <w:tr>
        <w:trPr>
          <w:trHeight w:val="20"/>
        </w:trPr>
        <w:tc>
          <w:tcPr>
            <w:tcW w:w="16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 xml:space="preserve">We review goodwill for impairment at least annually on September 30 or more frequently if events or changes in circumstances indicate that the carrying value of goodwill may not be recoverable. We have elected to first assess the qualitative factors to determine whether it is more likely than not that the fair value of our single reporting operating unit is less than its carrying amount as a basis for determining whether it is necessary to perform the two-step goodwill impairment under ASU No. 2011-08, </w:t>
      </w:r>
      <w:r>
        <w:rPr>
          <w:rFonts w:ascii="Times New Roman" w:cs="Times New Roman" w:eastAsia="Times New Roman" w:hAnsi="Times New Roman"/>
          <w:sz w:val="18"/>
          <w:szCs w:val="18"/>
          <w:i w:val="1"/>
          <w:iCs w:val="1"/>
          <w:color w:val="auto"/>
        </w:rPr>
        <w:t>Goodwill and Other (Topic 350): Testing Goodwill for Impairment,</w:t>
      </w:r>
      <w:r>
        <w:rPr>
          <w:rFonts w:ascii="Times New Roman" w:cs="Times New Roman" w:eastAsia="Times New Roman" w:hAnsi="Times New Roman"/>
          <w:sz w:val="18"/>
          <w:szCs w:val="18"/>
          <w:color w:val="auto"/>
        </w:rPr>
        <w:t xml:space="preserve"> issued by the FASB. If we determine that it is more likely than not that its fair value is less than its carrying amount, then the two-step goodwill impairment test will be performed. The first step, identifying a potential impairment, compares the fair value of the reporting unit with its carrying amount. If the carrying amount exceeds its fair value, the second step will be performed; otherwise, no further step is required. The second step, measuring the impairment loss, compares the implied fair value of the goodwill with the carrying amount of the goodwill. Any excess of the goodwill carrying amount over the applied fair value is recognized as an impairment loss, and the carrying value of goodwill is written down to fair value. As of September 30, 2014, the date of the Company's 2014 assessment, no impairment of goodwill has been identified.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10.</w:t>
        <w:tab/>
        <w:t>Intangible Assets, Net</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2014</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2013</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7"/>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200" w:type="dxa"/>
            <w:vAlign w:val="bottom"/>
          </w:tcPr>
          <w:p>
            <w:pPr>
              <w:spacing w:after="0"/>
              <w:rPr>
                <w:sz w:val="18"/>
                <w:szCs w:val="18"/>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2"/>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0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Covenant not to compete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1,920</w:t>
            </w:r>
          </w:p>
        </w:tc>
        <w:tc>
          <w:tcPr>
            <w:tcW w:w="24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Proprietary data and models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7,688</w:t>
            </w:r>
          </w:p>
        </w:tc>
        <w:tc>
          <w:tcPr>
            <w:tcW w:w="240" w:type="dxa"/>
            <w:vAlign w:val="bottom"/>
            <w:tcBorders>
              <w:bottom w:val="single" w:sz="8" w:color="CCEEFF"/>
            </w:tcBorders>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4,848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1,718</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10160" w:type="dxa"/>
            <w:vAlign w:val="bottom"/>
            <w:gridSpan w:val="17"/>
          </w:tcPr>
          <w:p>
            <w:pPr>
              <w:jc w:val="center"/>
              <w:ind w:right="600"/>
              <w:spacing w:after="0"/>
              <w:rPr>
                <w:sz w:val="20"/>
                <w:szCs w:val="20"/>
                <w:color w:val="auto"/>
              </w:rPr>
            </w:pPr>
            <w:r>
              <w:rPr>
                <w:rFonts w:ascii="Times New Roman" w:cs="Times New Roman" w:eastAsia="Times New Roman" w:hAnsi="Times New Roman"/>
                <w:sz w:val="18"/>
                <w:szCs w:val="18"/>
                <w:color w:val="auto"/>
              </w:rPr>
              <w:t>As of September 30, 2014, the Company expects amortization expense in future periods to be as follows (in thousands):</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35"/>
        </w:trPr>
        <w:tc>
          <w:tcPr>
            <w:tcW w:w="3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2014 (remainder)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437</w:t>
            </w:r>
          </w:p>
        </w:tc>
        <w:tc>
          <w:tcPr>
            <w:tcW w:w="540" w:type="dxa"/>
            <w:vAlign w:val="bottom"/>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1,725</w:t>
            </w:r>
          </w:p>
        </w:tc>
        <w:tc>
          <w:tcPr>
            <w:tcW w:w="54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1,288</w:t>
            </w:r>
          </w:p>
        </w:tc>
        <w:tc>
          <w:tcPr>
            <w:tcW w:w="540" w:type="dxa"/>
            <w:vAlign w:val="bottom"/>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512</w:t>
            </w:r>
          </w:p>
        </w:tc>
        <w:tc>
          <w:tcPr>
            <w:tcW w:w="540" w:type="dxa"/>
            <w:vAlign w:val="bottom"/>
          </w:tcPr>
          <w:p>
            <w:pPr>
              <w:spacing w:after="0"/>
              <w:rPr>
                <w:sz w:val="21"/>
                <w:szCs w:val="2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r>
      <w:tr>
        <w:trPr>
          <w:trHeight w:val="257"/>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Total estimated future amortization expense</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3,962</w:t>
            </w:r>
          </w:p>
        </w:tc>
        <w:tc>
          <w:tcPr>
            <w:tcW w:w="540" w:type="dxa"/>
            <w:vAlign w:val="bottom"/>
          </w:tcPr>
          <w:p>
            <w:pPr>
              <w:spacing w:after="0"/>
              <w:rPr>
                <w:sz w:val="22"/>
                <w:szCs w:val="22"/>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446"/>
        <w:spacing w:after="0" w:line="282" w:lineRule="auto"/>
        <w:rPr>
          <w:sz w:val="20"/>
          <w:szCs w:val="20"/>
          <w:color w:val="auto"/>
        </w:rPr>
      </w:pPr>
      <w:r>
        <w:rPr>
          <w:rFonts w:ascii="Times New Roman" w:cs="Times New Roman" w:eastAsia="Times New Roman" w:hAnsi="Times New Roman"/>
          <w:sz w:val="18"/>
          <w:szCs w:val="18"/>
          <w:color w:val="auto"/>
        </w:rPr>
        <w:t>Amortization expense was $0.5 million and $0.3 million for the three months ended September 30, 2014 and 2013, respectively, and $1.1 million for both the nine months ended September 30, 2014 and 2013, respectively.</w:t>
      </w:r>
    </w:p>
    <w:p>
      <w:pPr>
        <w:spacing w:after="0" w:line="117"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and Other Current Liabilities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payroll-related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6,791</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1,993</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8,784</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Consideration payable for business acquisition</w:t>
            </w:r>
          </w:p>
        </w:tc>
        <w:tc>
          <w:tcPr>
            <w:tcW w:w="1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 and other assets purchased but not paid</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563</w:t>
            </w:r>
          </w:p>
        </w:tc>
      </w:tr>
      <w:tr>
        <w:trPr>
          <w:trHeight w:val="257"/>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13,316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1,638</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500" w:right="8380" w:hanging="492"/>
        <w:spacing w:after="0" w:line="350" w:lineRule="auto"/>
        <w:tabs>
          <w:tab w:leader="none" w:pos="50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Operating Lease Commitments</w:t>
      </w:r>
    </w:p>
    <w:p>
      <w:pPr>
        <w:spacing w:after="0" w:line="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The Company generally does not enter into long-term minimum purchase commitments. Its principal long-term commitments consist of obligations under operating leases for office space. There were no substantial changes to the Company’s contractual obligations or commitments during the nine months ended September 30, 2014 as compared to those presented under the heading “Commitments and Contingencies” in Note 12 of the Notes to Consolidated Financial Statements in Part II, Item 8 of the Company’s Annual Report on Form 10-K filed with the SEC on March 10, 2014.</w:t>
      </w:r>
    </w:p>
    <w:p>
      <w:pPr>
        <w:spacing w:after="0" w:line="180"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Rent expense related to non-cancelable operating leases was $0.9 million and $1.1 million for the three months ended September 30, 2014 and 2013, respectively, net of sublease income of $0.2 million and nil, respectively. Rent expense related to non-cancelable operating leases was $2.7 million and $2.5 million for the nine months ended September 30, 2014 and 2013, respectively, net of sublease income of $0.4 million and nil, respectively.</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8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20" w:lineRule="exact"/>
        <w:rPr>
          <w:sz w:val="20"/>
          <w:szCs w:val="20"/>
          <w:color w:val="auto"/>
        </w:rPr>
      </w:pPr>
    </w:p>
    <w:p>
      <w:pPr>
        <w:ind w:right="160"/>
        <w:spacing w:after="0" w:line="313" w:lineRule="auto"/>
        <w:rPr>
          <w:sz w:val="20"/>
          <w:szCs w:val="20"/>
          <w:color w:val="auto"/>
        </w:rPr>
      </w:pPr>
      <w:r>
        <w:rPr>
          <w:rFonts w:ascii="Times New Roman" w:cs="Times New Roman" w:eastAsia="Times New Roman" w:hAnsi="Times New Roman"/>
          <w:sz w:val="17"/>
          <w:szCs w:val="17"/>
          <w:color w:val="auto"/>
        </w:rPr>
        <w:t>need to record a liability for litigation or contingencies. A liability is recorded when and if it is determined that such a liability for litigation or contingencies is both probable and reasonably estimable. No liability for litigation or contingencies was recorded as of September 30, 2014 or December 31, 2013.</w:t>
      </w:r>
    </w:p>
    <w:p>
      <w:pPr>
        <w:spacing w:after="0" w:line="13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June 2013, Kevin O’Halloran, as Trustee of the Liquidating Trust of Teltronics, Inc. (the “Debtor”), filed a complaint in the U.S. Bankruptcy Court for the Middle District of Florida against the Company and Harris Corporation (the “Defendants”). The complaint alleges that the Defendants are liable under federal and state bankruptcy law regarding fraudulent transfers for the value of a patent portfolio purchased by the Company from Harris Corporation pursuant to an agreement entered into in January 2009, and within four years of the date the Debtor filed its petition in bankruptcy. The Company is not currently able to determine whether there is a reasonable possibility that a loss has been incurred, nor can it estimate the potential loss or range of the potential loss that may result from this litigation.</w:t>
      </w:r>
    </w:p>
    <w:p>
      <w:pPr>
        <w:spacing w:after="0" w:line="18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March 2012, Cascades Computer Innovations LLC filed a complaint in U.S. District Court for the Northern District of California (the “Court”) against the Company and five of its clients (collectively the “Defendants”). The complaint alleges that the Defendants violated federal antitrust law, California antitrust law and California unfair competition law. The complaint further alleges that after the Company terminated its negotiations with the plaintiff to license certain patents held by the plaintiff, the Defendants 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In March 2014, the Court entered an order staying the litigation pending the resolution of related litigation in the U.S. District Court for the Northern District of Illinois, and in July 2014 and again in September 2014 continued the stay. The Company is not currently able to determine whether there is a reasonable possibility that a loss has been incurred, nor can it estimate the potential loss or range of the potential loss that may result from this litigation.</w:t>
      </w:r>
    </w:p>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8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The Company had no liabilities recorded for these agreements as of September 30, 2014 or December 31, 2013. The Company has no reason to believe that there is any material liability related to such indemnification provisions. The Company does not indemnify its clients for patent infringement.</w:t>
      </w:r>
    </w:p>
    <w:p>
      <w:pPr>
        <w:spacing w:after="0" w:line="189"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Reserves for Known and Incurred but not Reported Claims</w:t>
      </w:r>
    </w:p>
    <w:p>
      <w:pPr>
        <w:spacing w:after="0" w:line="94"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In August 2012, the Company began offering insurance to cover certain costs of litigation brought against its insured clients by NPEs. As of September 30, 2014, the Company had a total of 38 active policies and had recorded a reserve of $1.6 million for known and incurred but not reported claims that represent estimated claim costs and related expenses.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regularly reviews its loss reserves using a variety of actuarial techniques and updates them as its loss experience develops.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right="9300" w:hanging="492"/>
        <w:spacing w:after="0" w:line="331" w:lineRule="auto"/>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Stockholders’ Equity </w:t>
      </w:r>
      <w:r>
        <w:rPr>
          <w:rFonts w:ascii="Times New Roman" w:cs="Times New Roman" w:eastAsia="Times New Roman" w:hAnsi="Times New Roman"/>
          <w:sz w:val="18"/>
          <w:szCs w:val="18"/>
          <w:b w:val="1"/>
          <w:bCs w:val="1"/>
          <w:i w:val="1"/>
          <w:iCs w:val="1"/>
          <w:color w:val="auto"/>
        </w:rPr>
        <w:t>Equity Plans</w:t>
      </w: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the Company’s activity under its equity-settled award plans and related information is as follows (in thousands, except per share data):</w:t>
      </w:r>
    </w:p>
    <w:p>
      <w:pPr>
        <w:spacing w:after="0" w:line="187"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7"/>
        </w:trPr>
        <w:tc>
          <w:tcPr>
            <w:tcW w:w="4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4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20" w:type="dxa"/>
            <w:vAlign w:val="bottom"/>
          </w:tcPr>
          <w:p>
            <w:pPr>
              <w:spacing w:after="0"/>
              <w:rPr>
                <w:sz w:val="17"/>
                <w:szCs w:val="17"/>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Available</w:t>
            </w: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Contractual Life</w:t>
            </w:r>
          </w:p>
        </w:tc>
        <w:tc>
          <w:tcPr>
            <w:tcW w:w="200" w:type="dxa"/>
            <w:vAlign w:val="bottom"/>
          </w:tcPr>
          <w:p>
            <w:pPr>
              <w:spacing w:after="0"/>
              <w:rPr>
                <w:sz w:val="17"/>
                <w:szCs w:val="17"/>
                <w:color w:val="auto"/>
              </w:rPr>
            </w:pP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12"/>
        </w:trPr>
        <w:tc>
          <w:tcPr>
            <w:tcW w:w="462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Grant</w:t>
            </w:r>
          </w:p>
        </w:tc>
        <w:tc>
          <w:tcPr>
            <w:tcW w:w="12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in Years</w:t>
            </w:r>
          </w:p>
        </w:tc>
        <w:tc>
          <w:tcPr>
            <w:tcW w:w="1240" w:type="dxa"/>
            <w:vAlign w:val="bottom"/>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Intrinsic Value</w:t>
            </w:r>
          </w:p>
        </w:tc>
      </w:tr>
      <w:tr>
        <w:trPr>
          <w:trHeight w:val="33"/>
        </w:trPr>
        <w:tc>
          <w:tcPr>
            <w:tcW w:w="46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2013</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2,451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4620" w:type="dxa"/>
            <w:vAlign w:val="bottom"/>
          </w:tcPr>
          <w:p>
            <w:pPr>
              <w:ind w:left="160"/>
              <w:spacing w:after="0" w:line="270" w:lineRule="exact"/>
              <w:rPr>
                <w:sz w:val="20"/>
                <w:szCs w:val="20"/>
                <w:color w:val="auto"/>
              </w:rPr>
            </w:pPr>
            <w:r>
              <w:rPr>
                <w:rFonts w:ascii="Times New Roman" w:cs="Times New Roman" w:eastAsia="Times New Roman" w:hAnsi="Times New Roman"/>
                <w:sz w:val="18"/>
                <w:szCs w:val="18"/>
                <w:color w:val="auto"/>
              </w:rPr>
              <w:t>Shares authorized</w:t>
            </w:r>
            <w:r>
              <w:rPr>
                <w:rFonts w:ascii="Times New Roman" w:cs="Times New Roman" w:eastAsia="Times New Roman" w:hAnsi="Times New Roman"/>
                <w:sz w:val="25"/>
                <w:szCs w:val="25"/>
                <w:color w:val="auto"/>
                <w:vertAlign w:val="superscript"/>
              </w:rPr>
              <w:t>(1)</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4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 forfeited/canceled</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17.51</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units withheld related to net-share</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61"/>
        </w:trPr>
        <w:tc>
          <w:tcPr>
            <w:tcW w:w="4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97"/>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 September 30, 2014</w:t>
            </w:r>
          </w:p>
        </w:tc>
        <w:tc>
          <w:tcPr>
            <w:tcW w:w="1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2,690</w:t>
            </w:r>
          </w:p>
        </w:tc>
        <w:tc>
          <w:tcPr>
            <w:tcW w:w="120" w:type="dxa"/>
            <w:vAlign w:val="bottom"/>
            <w:tcBorders>
              <w:bottom w:val="single" w:sz="8" w:color="CCEEFF"/>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3,355</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jc w:val="right"/>
              <w:ind w:right="13"/>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tcPr>
          <w:p>
            <w:pPr>
              <w:jc w:val="right"/>
              <w:ind w:right="32"/>
              <w:spacing w:after="0"/>
              <w:rPr>
                <w:sz w:val="20"/>
                <w:szCs w:val="20"/>
                <w:color w:val="auto"/>
              </w:rPr>
            </w:pPr>
            <w:r>
              <w:rPr>
                <w:rFonts w:ascii="Times New Roman" w:cs="Times New Roman" w:eastAsia="Times New Roman" w:hAnsi="Times New Roman"/>
                <w:sz w:val="18"/>
                <w:szCs w:val="18"/>
                <w:color w:val="auto"/>
              </w:rPr>
              <w:t>14,912</w:t>
            </w:r>
          </w:p>
        </w:tc>
      </w:tr>
      <w:tr>
        <w:trPr>
          <w:trHeight w:val="25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 September 30, 2014</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10,706</w:t>
            </w:r>
          </w:p>
        </w:tc>
      </w:tr>
      <w:tr>
        <w:trPr>
          <w:trHeight w:val="20"/>
        </w:trPr>
        <w:tc>
          <w:tcPr>
            <w:tcW w:w="4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1"/>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 September 30, 2014</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14,397</w:t>
            </w:r>
          </w:p>
        </w:tc>
      </w:tr>
      <w:tr>
        <w:trPr>
          <w:trHeight w:val="20"/>
        </w:trPr>
        <w:tc>
          <w:tcPr>
            <w:tcW w:w="4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8" w:lineRule="exact"/>
        <w:rPr>
          <w:sz w:val="20"/>
          <w:szCs w:val="20"/>
          <w:color w:val="auto"/>
        </w:rPr>
      </w:pPr>
    </w:p>
    <w:p>
      <w:pPr>
        <w:ind w:left="200" w:hanging="192"/>
        <w:spacing w:after="0"/>
        <w:tabs>
          <w:tab w:leader="none" w:pos="20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 March 2014, the Company reserved an additional 1,000,000 shares of its common stock for future issuance under the 2011 Plan.</w:t>
      </w:r>
    </w:p>
    <w:p>
      <w:pPr>
        <w:spacing w:after="0" w:line="198" w:lineRule="exact"/>
        <w:rPr>
          <w:sz w:val="20"/>
          <w:szCs w:val="20"/>
          <w:color w:val="auto"/>
        </w:rPr>
      </w:pPr>
    </w:p>
    <w:p>
      <w:pPr>
        <w:ind w:right="440" w:firstLine="486"/>
        <w:spacing w:after="0" w:line="281" w:lineRule="auto"/>
        <w:rPr>
          <w:sz w:val="20"/>
          <w:szCs w:val="20"/>
          <w:color w:val="auto"/>
        </w:rPr>
      </w:pPr>
      <w:r>
        <w:rPr>
          <w:rFonts w:ascii="Times New Roman" w:cs="Times New Roman" w:eastAsia="Times New Roman" w:hAnsi="Times New Roman"/>
          <w:sz w:val="17"/>
          <w:szCs w:val="17"/>
          <w:color w:val="auto"/>
        </w:rPr>
        <w:t>The aggregate intrinsic value of stock options exercised during the three months ended September 30, 2014 and 2013 was $1.1 million and $2.6 million, respectively, and $6.4 million and $11.3 million for stock options exercised during the nine months ended September 30, 2014 and 2013, respectively. The total fair value of stock options vested during the three months ended September 30, 2014 and 2013 was $1.4 million and $2.3 million, respectively, and $4.9 million and $7.6 million for stock options vested during the nine months ended September 30, 2014 and 2013, respectively.</w:t>
      </w:r>
    </w:p>
    <w:p>
      <w:pPr>
        <w:spacing w:after="0" w:line="1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81"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The summary of restricted stock unit activity, which includes performance-based restricted stock units with a market condition (“PBRSUs”), is as follows (in thousands, except per share data):</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Grant Date Fair</w:t>
            </w:r>
          </w:p>
        </w:tc>
        <w:tc>
          <w:tcPr>
            <w:tcW w:w="120" w:type="dxa"/>
            <w:vAlign w:val="bottom"/>
          </w:tcPr>
          <w:p>
            <w:pPr>
              <w:spacing w:after="0"/>
              <w:rPr>
                <w:sz w:val="17"/>
                <w:szCs w:val="17"/>
                <w:color w:val="auto"/>
              </w:rPr>
            </w:pPr>
          </w:p>
        </w:tc>
        <w:tc>
          <w:tcPr>
            <w:tcW w:w="148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Aggregate Intrinsic</w:t>
            </w:r>
          </w:p>
        </w:tc>
      </w:tr>
      <w:tr>
        <w:trPr>
          <w:trHeight w:val="212"/>
        </w:trPr>
        <w:tc>
          <w:tcPr>
            <w:tcW w:w="6400" w:type="dxa"/>
            <w:vAlign w:val="bottom"/>
          </w:tcPr>
          <w:p>
            <w:pPr>
              <w:spacing w:after="0"/>
              <w:rPr>
                <w:sz w:val="18"/>
                <w:szCs w:val="18"/>
                <w:color w:val="auto"/>
              </w:rPr>
            </w:pPr>
          </w:p>
        </w:tc>
        <w:tc>
          <w:tcPr>
            <w:tcW w:w="162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units - December 31, 2013</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2,057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units - September 30, 2014</w:t>
            </w: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34,976</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units (“RSUs”) vested during the three months ended September 30, 2014 and 2013 was $3.0 million and $1.9 million, respectively, and $11.0 million and $4.6 million for RSUs vested during the nine months ended September 30, 2014 and 2013, respectively.</w:t>
      </w:r>
    </w:p>
    <w:p>
      <w:pPr>
        <w:spacing w:after="0" w:line="162"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In October 2013, the Board of Directors approved net-share settlement for tax withholdings on RSU vesting. During the nine months ended September 30, 2014, the Company withheld issuing 244,192 shares of its common stock based on the value of the RSUs on their vesting dates as determined by the Company’s closing common stock price. Total payments for employees’ minimum tax obligations to taxing authorities were $3.8 million for the nine months ended September 30, 2014, and were recorded as a reduction to additional paid-in capital and reflected as a financing activity within the condensed consolidated statements of cash flows. The net-share settlements reduced the number of shares that would have otherwise been issued on the vesting date and increased the number of shares reserved for future issuance under the 2011 Plan.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Related to Employees and Directors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fair value of RSUs granted to employees and directors is measured by reference to the fair value of the underlying shares on the date of grant.</w:t>
      </w:r>
    </w:p>
    <w:p>
      <w:pPr>
        <w:spacing w:after="0" w:line="225" w:lineRule="exact"/>
        <w:rPr>
          <w:sz w:val="20"/>
          <w:szCs w:val="20"/>
          <w:color w:val="auto"/>
        </w:rPr>
      </w:pPr>
    </w:p>
    <w:p>
      <w:pPr>
        <w:ind w:right="460" w:firstLine="486"/>
        <w:spacing w:after="0" w:line="261" w:lineRule="auto"/>
        <w:rPr>
          <w:sz w:val="20"/>
          <w:szCs w:val="20"/>
          <w:color w:val="auto"/>
        </w:rPr>
      </w:pPr>
      <w:r>
        <w:rPr>
          <w:rFonts w:ascii="Times New Roman" w:cs="Times New Roman" w:eastAsia="Times New Roman" w:hAnsi="Times New Roman"/>
          <w:sz w:val="18"/>
          <w:szCs w:val="18"/>
          <w:color w:val="auto"/>
        </w:rPr>
        <w:t>PBRSUs contain both service and market conditions that affect the quantity of awards that will vest. During both the three months ended September 30, 2014 and 2013, the Company granted nil PBRSUs. During the nine months ended September 30, 2014 and 2013, the Company granted 200,000 and 175,000 PBRSUs, respectively. The Company estimates the grant date fair value of PBRSUs using the Monte Carlo simulation model. The weighted-average assumptions used to estimate the fair value of PBRSUs and the resulting fair values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330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60" w:type="dxa"/>
            <w:vAlign w:val="bottom"/>
          </w:tcPr>
          <w:p>
            <w:pPr>
              <w:spacing w:after="0"/>
              <w:rPr>
                <w:sz w:val="18"/>
                <w:szCs w:val="18"/>
                <w:color w:val="auto"/>
              </w:rPr>
            </w:pPr>
          </w:p>
        </w:tc>
        <w:tc>
          <w:tcPr>
            <w:tcW w:w="3280" w:type="dxa"/>
            <w:vAlign w:val="bottom"/>
            <w:gridSpan w:val="4"/>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44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4480" w:type="dxa"/>
            <w:vAlign w:val="bottom"/>
          </w:tcPr>
          <w:p>
            <w:pPr>
              <w:spacing w:after="0"/>
              <w:rPr>
                <w:sz w:val="20"/>
                <w:szCs w:val="20"/>
                <w:color w:val="auto"/>
              </w:rPr>
            </w:pPr>
          </w:p>
        </w:tc>
        <w:tc>
          <w:tcPr>
            <w:tcW w:w="154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154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44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16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Risk-free rate</w:t>
            </w:r>
          </w:p>
        </w:tc>
        <w:tc>
          <w:tcPr>
            <w:tcW w:w="16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Pr>
          <w:p>
            <w:pPr>
              <w:spacing w:after="0"/>
              <w:rPr>
                <w:sz w:val="21"/>
                <w:szCs w:val="21"/>
                <w:color w:val="auto"/>
              </w:rPr>
            </w:pPr>
          </w:p>
        </w:tc>
        <w:tc>
          <w:tcPr>
            <w:tcW w:w="14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0.59%</w:t>
            </w:r>
          </w:p>
        </w:tc>
      </w:tr>
      <w:tr>
        <w:trPr>
          <w:trHeight w:val="27"/>
        </w:trPr>
        <w:tc>
          <w:tcPr>
            <w:tcW w:w="4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164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 date fair value</w:t>
            </w:r>
          </w:p>
        </w:tc>
        <w:tc>
          <w:tcPr>
            <w:tcW w:w="16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6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6.39</w:t>
            </w:r>
          </w:p>
        </w:tc>
      </w:tr>
    </w:tbl>
    <w:p>
      <w:pPr>
        <w:spacing w:after="0" w:line="225"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Stock-based compensation expense related to stock options granted to employees and directors was $1.3 million and $1.8 million for the three months ended September 30, 2014 and 2013, respectively, and $4.3 million and $6.7 million for the nine months ended September 30, 2014 and 2013, respectively. Stock-based compensation expense related to RSUs granted to employees and directors was $3.0 million and $2.0 million for the three months ended September 30, 2014 and 2013, respectively, and $8.6 million and $4.8 million for the nine months ended September 30, 2014 and 2013, respectively. Stock-based compensation expense related to PBRSUs granted to employees was $0.2 million and $0.1 million for the three months ended September 30, 2014 and 2013, respectively, and $0.6 million and $0.3 million for the nine months ended September 30, 2014 and 2013, respectively.</w:t>
      </w:r>
    </w:p>
    <w:p>
      <w:pPr>
        <w:spacing w:after="0" w:line="188"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2014, there was $5.6 million and $31.0 million of unrecognized compensation cost related to stock options and RSUs, including PBRSUs, respectively, which is expected to be recognized over a weighted-average period of 1.6 years and 2.8 years, respectively. Future grants of equity awards will increase the amount of stock-based compensation expense to be recorded.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Related to Non-Employees</w:t>
      </w:r>
    </w:p>
    <w:p>
      <w:pPr>
        <w:spacing w:after="0" w:line="81"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The Company periodically grants equity awards to non-employees in exchange for goods and services. No equity awards were granted to non-employees in exchange for goods and services during the three or nine months ended September 30, 2014 and 2013.</w:t>
      </w:r>
    </w:p>
    <w:p>
      <w:pPr>
        <w:spacing w:after="0" w:line="162" w:lineRule="exact"/>
        <w:rPr>
          <w:sz w:val="20"/>
          <w:szCs w:val="20"/>
          <w:color w:val="auto"/>
        </w:rPr>
      </w:pPr>
    </w:p>
    <w:p>
      <w:pPr>
        <w:ind w:right="80" w:firstLine="486"/>
        <w:spacing w:after="0" w:line="289" w:lineRule="auto"/>
        <w:rPr>
          <w:sz w:val="20"/>
          <w:szCs w:val="20"/>
          <w:color w:val="auto"/>
        </w:rPr>
      </w:pPr>
      <w:r>
        <w:rPr>
          <w:rFonts w:ascii="Times New Roman" w:cs="Times New Roman" w:eastAsia="Times New Roman" w:hAnsi="Times New Roman"/>
          <w:sz w:val="17"/>
          <w:szCs w:val="17"/>
          <w:color w:val="auto"/>
        </w:rPr>
        <w:t>Stock-based compensation expense for non-employees is based on the fair value of the award on the measurement date, which is the earlier of the date by which the commitment for performance by the non-employee to earn the award is reached and the date on which the non-employee’s performance is complete. Each reporting period, the fair value of the unvested non-employee stock option or RSU is revalued until the award vests on the measurement date.</w:t>
      </w:r>
    </w:p>
    <w:p>
      <w:pPr>
        <w:spacing w:after="0" w:line="15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Non-employee stock-based compensation expense related to stock options was nil and $0.1 million for the three months ended September 30, 2014 and 2013, respectively, and nil and $0.2 million for the nine months ended September 30, 2014 and 2013, respectively. Non-employee stock-based compensation expense related to RSUs was nil for both the three months ended September 30, 2014 and 2013, respectively, and nil and $0.2 million for the nine months ended September 30, 2014 and 2013, respectively.</w:t>
      </w:r>
    </w:p>
    <w:p>
      <w:pPr>
        <w:spacing w:after="0" w:line="136"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8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Company uses an estimated annual effective tax rate based upon a projection of its annual fiscal year results to measure the income tax benefit or expense recognized in each interim period. The Company’s effective tax rate, including the impact of discrete benefit items, was 37% for each of the three and nine months ended September 30, 2014 and 2013, respectively.</w:t>
      </w:r>
    </w:p>
    <w:p>
      <w:pPr>
        <w:spacing w:after="0" w:line="176"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The Company’s 2010 tax year is currently under examination by the State of California Franchise Tax Board. The Company does not expect a material impact on its condensed consolidated financial statements as a result of this examination. The 2011 through 2013 tax periods remain open to examination by the Internal Revenue Service and the 2009 through 2013 tax periods remain open to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examination by most state tax authorities. For the Company’s foreign jurisdictions, the 2009 through 2013 tax years remain open to examination by their respective tax authorities.</w:t>
      </w:r>
    </w:p>
    <w:p>
      <w:pPr>
        <w:spacing w:after="0" w:line="117"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81" w:lineRule="exact"/>
        <w:rPr>
          <w:sz w:val="20"/>
          <w:szCs w:val="20"/>
          <w:color w:val="auto"/>
        </w:rPr>
      </w:pPr>
    </w:p>
    <w:p>
      <w:pPr>
        <w:ind w:firstLine="446"/>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2014, five members of the Company’s Board of Directors also served on the boards of directors of RPX clients. During the three and nine months ended September 30, 2013, four members of the Company’s Board of Directors also served on the boards of directors of RPX clients. The Company recognized subscription revenue from these clients in the amount of $2.2 million and $1.3 million for the three months ended September 30, 2014 and 2013, respectively, and $6.5 million and $3.8 million for the nine months ended September 30, 2014 and 2013, respectively. As of December 31, 2013, there was $4.4 million of receivables due from these clients. There were no receivables due from these clients on September 30, 2014.</w:t>
      </w:r>
    </w:p>
    <w:p>
      <w:pPr>
        <w:spacing w:after="0" w:line="143"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81" w:lineRule="exact"/>
        <w:rPr>
          <w:sz w:val="20"/>
          <w:szCs w:val="20"/>
          <w:color w:val="auto"/>
        </w:rPr>
      </w:pPr>
    </w:p>
    <w:p>
      <w:pPr>
        <w:ind w:right="40" w:firstLine="486"/>
        <w:spacing w:after="0" w:line="281" w:lineRule="auto"/>
        <w:rPr>
          <w:sz w:val="20"/>
          <w:szCs w:val="20"/>
          <w:color w:val="auto"/>
        </w:rPr>
      </w:pPr>
      <w:r>
        <w:rPr>
          <w:rFonts w:ascii="Times New Roman" w:cs="Times New Roman" w:eastAsia="Times New Roman" w:hAnsi="Times New Roman"/>
          <w:sz w:val="17"/>
          <w:szCs w:val="17"/>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The Company’s Chief Executive Officer reviews financial information presented on a consolidated basis and, as a result, the Company concluded that there is only one operating and reportable segment.</w:t>
      </w:r>
    </w:p>
    <w:p>
      <w:pPr>
        <w:spacing w:after="0" w:line="165"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Company markets its solution to companies around the world. Revenue is generally attributed to geographic areas based on the country in which the client is domiciled.</w:t>
      </w:r>
    </w:p>
    <w:p>
      <w:pPr>
        <w:spacing w:after="0" w:line="162"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 by location and revenue generated by country as a percentage of total revenue for the applicable period, for countries representing 10% or more of revenues for the periods presented (dollars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80" w:type="dxa"/>
            <w:vAlign w:val="bottom"/>
            <w:gridSpan w:val="7"/>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gridSpan w:val="7"/>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980" w:type="dxa"/>
            <w:vAlign w:val="bottom"/>
          </w:tcPr>
          <w:p>
            <w:pPr>
              <w:spacing w:after="0"/>
              <w:rPr>
                <w:sz w:val="18"/>
                <w:szCs w:val="18"/>
                <w:color w:val="auto"/>
              </w:rPr>
            </w:pPr>
          </w:p>
        </w:tc>
      </w:tr>
      <w:tr>
        <w:trPr>
          <w:trHeight w:val="33"/>
        </w:trPr>
        <w:tc>
          <w:tcPr>
            <w:tcW w:w="1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1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2014</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2013</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2014</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2013</w:t>
            </w:r>
          </w:p>
        </w:tc>
        <w:tc>
          <w:tcPr>
            <w:tcW w:w="980" w:type="dxa"/>
            <w:vAlign w:val="bottom"/>
          </w:tcPr>
          <w:p>
            <w:pPr>
              <w:spacing w:after="0"/>
              <w:rPr>
                <w:sz w:val="20"/>
                <w:szCs w:val="20"/>
                <w:color w:val="auto"/>
              </w:rPr>
            </w:pPr>
          </w:p>
        </w:tc>
      </w:tr>
      <w:tr>
        <w:trPr>
          <w:trHeight w:val="33"/>
        </w:trPr>
        <w:tc>
          <w:tcPr>
            <w:tcW w:w="1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1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42,751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35,842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120,696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108,445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1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3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9,164</w:t>
            </w:r>
          </w:p>
        </w:tc>
        <w:tc>
          <w:tcPr>
            <w:tcW w:w="12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9,531</w:t>
            </w:r>
          </w:p>
        </w:tc>
        <w:tc>
          <w:tcPr>
            <w:tcW w:w="10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28,012</w:t>
            </w:r>
          </w:p>
        </w:tc>
        <w:tc>
          <w:tcPr>
            <w:tcW w:w="12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29,623</w:t>
            </w:r>
          </w:p>
        </w:tc>
        <w:tc>
          <w:tcPr>
            <w:tcW w:w="10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1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1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13,492</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13,181</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42,880</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39,161</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r>
      <w:tr>
        <w:trPr>
          <w:trHeight w:val="257"/>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65,407</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58,554</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191,588</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177,229</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1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Long-lived assets information by location is presented below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7"/>
                <w:szCs w:val="17"/>
                <w:color w:val="auto"/>
              </w:rPr>
            </w:pPr>
          </w:p>
        </w:tc>
        <w:tc>
          <w:tcPr>
            <w:tcW w:w="13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37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2013</w:t>
            </w:r>
          </w:p>
        </w:tc>
        <w:tc>
          <w:tcPr>
            <w:tcW w:w="0" w:type="dxa"/>
            <w:vAlign w:val="bottom"/>
          </w:tcPr>
          <w:p>
            <w:pPr>
              <w:spacing w:after="0"/>
              <w:rPr>
                <w:sz w:val="1"/>
                <w:szCs w:val="1"/>
                <w:color w:val="auto"/>
              </w:rPr>
            </w:pPr>
          </w:p>
        </w:tc>
      </w:tr>
      <w:tr>
        <w:trPr>
          <w:trHeight w:val="33"/>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4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4,198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46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7"/>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long-lived assets</w:t>
            </w:r>
          </w:p>
        </w:tc>
        <w:tc>
          <w:tcPr>
            <w:tcW w:w="46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4,667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64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0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79" w:lineRule="exact"/>
        <w:rPr>
          <w:sz w:val="20"/>
          <w:szCs w:val="20"/>
          <w:color w:val="auto"/>
        </w:rPr>
      </w:pPr>
    </w:p>
    <w:p>
      <w:pPr>
        <w:ind w:right="160" w:firstLine="44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filed with the Securities and Exchange Commission (“SEC”) on March 10, 2014.</w:t>
      </w:r>
    </w:p>
    <w:p>
      <w:pPr>
        <w:spacing w:after="0" w:line="174" w:lineRule="exact"/>
        <w:rPr>
          <w:sz w:val="20"/>
          <w:szCs w:val="20"/>
          <w:color w:val="auto"/>
        </w:rPr>
      </w:pPr>
    </w:p>
    <w:p>
      <w:pPr>
        <w:ind w:firstLine="446"/>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and patent acquisition spending. These statements are based on the beliefs and assumptions of our management based on information that is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II, Item 1A of this Quarterly Report on Form 10-Q and elsewhere in this filing and our Annual Report on Form 10-K filed with the SEC on March 10, 2014.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1" w:lineRule="exact"/>
        <w:rPr>
          <w:sz w:val="20"/>
          <w:szCs w:val="20"/>
          <w:color w:val="auto"/>
        </w:rPr>
      </w:pPr>
    </w:p>
    <w:p>
      <w:pPr>
        <w:ind w:right="400" w:firstLine="446"/>
        <w:spacing w:after="0" w:line="282" w:lineRule="auto"/>
        <w:rPr>
          <w:sz w:val="20"/>
          <w:szCs w:val="20"/>
          <w:color w:val="auto"/>
        </w:rPr>
      </w:pPr>
      <w:r>
        <w:rPr>
          <w:rFonts w:ascii="Times New Roman" w:cs="Times New Roman" w:eastAsia="Times New Roman" w:hAnsi="Times New Roman"/>
          <w:sz w:val="18"/>
          <w:szCs w:val="18"/>
          <w:color w:val="auto"/>
        </w:rPr>
        <w:t>We help companies reduce patent-related risk and expense by providing a subscription-based patent risk management solution that facilitates more efficient exchanges of value between owners and users of patents compared to transactions driven by actual or threatened litigation.</w:t>
      </w:r>
    </w:p>
    <w:p>
      <w:pPr>
        <w:spacing w:after="0" w:line="162" w:lineRule="exact"/>
        <w:rPr>
          <w:sz w:val="20"/>
          <w:szCs w:val="20"/>
          <w:color w:val="auto"/>
        </w:rPr>
      </w:pPr>
    </w:p>
    <w:p>
      <w:pPr>
        <w:jc w:val="both"/>
        <w:ind w:right="440" w:firstLine="446"/>
        <w:spacing w:after="0" w:line="266" w:lineRule="auto"/>
        <w:rPr>
          <w:sz w:val="20"/>
          <w:szCs w:val="20"/>
          <w:color w:val="auto"/>
        </w:rPr>
      </w:pPr>
      <w:r>
        <w:rPr>
          <w:rFonts w:ascii="Times New Roman" w:cs="Times New Roman" w:eastAsia="Times New Roman" w:hAnsi="Times New Roman"/>
          <w:sz w:val="18"/>
          <w:szCs w:val="18"/>
          <w:color w:val="auto"/>
        </w:rPr>
        <w:t>The core of our solution is defensive patent aggregation, in which we acquire patent assets that are being or may be asserted against our current or prospective clients. We then provide our clients with licenses to our patent assets to protect them from potential patent infringement assertions. We also provide our clients access to our proprietary patent market intelligence and data.</w:t>
      </w:r>
    </w:p>
    <w:p>
      <w:pPr>
        <w:spacing w:after="0" w:line="176" w:lineRule="exact"/>
        <w:rPr>
          <w:sz w:val="20"/>
          <w:szCs w:val="20"/>
          <w:color w:val="auto"/>
        </w:rPr>
      </w:pPr>
    </w:p>
    <w:p>
      <w:pPr>
        <w:ind w:right="260" w:firstLine="446"/>
        <w:spacing w:after="0" w:line="266" w:lineRule="auto"/>
        <w:rPr>
          <w:sz w:val="20"/>
          <w:szCs w:val="20"/>
          <w:color w:val="auto"/>
        </w:rPr>
      </w:pPr>
      <w:r>
        <w:rPr>
          <w:rFonts w:ascii="Times New Roman" w:cs="Times New Roman" w:eastAsia="Times New Roman" w:hAnsi="Times New Roman"/>
          <w:sz w:val="18"/>
          <w:szCs w:val="18"/>
          <w:color w:val="auto"/>
        </w:rPr>
        <w:t>Our business model aligns our interests with those of our clients. We have not asserted and will not assert our patents, which enables us to develop strong and trusted relationships with our clients. Our clients include companies that design, make or sell technology-based products and services as well as companies that use technology in their businesses.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nine months ended September 30, 2014, our revenue grew to $191.6 million from $177.2 million for the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 Our client count increased by 27 clients during the nine months ended September 30, 2014, bringing our total client network to 195 as of September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At September 30, 2014, we had deferred revenue of $112.8 million.</w:t>
      </w:r>
    </w:p>
    <w:p>
      <w:pPr>
        <w:spacing w:after="0" w:line="207" w:lineRule="exact"/>
        <w:rPr>
          <w:sz w:val="20"/>
          <w:szCs w:val="20"/>
          <w:color w:val="auto"/>
        </w:rPr>
      </w:pPr>
    </w:p>
    <w:p>
      <w:pPr>
        <w:ind w:right="20" w:firstLine="446"/>
        <w:spacing w:after="0" w:line="256" w:lineRule="auto"/>
        <w:rPr>
          <w:sz w:val="20"/>
          <w:szCs w:val="20"/>
          <w:color w:val="auto"/>
        </w:rPr>
      </w:pPr>
      <w:r>
        <w:rPr>
          <w:rFonts w:ascii="Times New Roman" w:cs="Times New Roman" w:eastAsia="Times New Roman" w:hAnsi="Times New Roman"/>
          <w:sz w:val="18"/>
          <w:szCs w:val="18"/>
          <w:color w:val="auto"/>
        </w:rPr>
        <w:t>We believe that our acquisitions of patent assets are a key driver of the value that we create for our clients. We measure patent asset acquisition spend on both a “gross” and a “net” basis, whereby the “gross spend” represents the aggregate amount spent including amounts contributed by our clients in syndicated acquisitions above and beyond their subscription fees and the “net spend” represents only the net incremental investment of our own capital. During the nine months ended September 30, 2014, we completed 48 acquisitions of patent assets and our gross and net acquisition spend totaled $137.4 million and $115.7 million, respectively. From our inception through September 30, 2014, we have completed 215 acquisitions of patent assets with gross and net acquisition spend of $893.2 million and $648.5 million, respectively.</w:t>
      </w:r>
    </w:p>
    <w:p>
      <w:pPr>
        <w:spacing w:after="0" w:line="188"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Insuring against the costs of non-practicing entity (“NPE”) litigation is a natural extension of our core defensive patent acquisition service. In August 2012, we started to offer NPE patent infringement liability insurance, which is a liability insurance policy for operating companies that covers certain costs associated with patent infringement lawsuits by NPEs. The insurance product complements our core defensive patent acquisition service, enabling policyholders, whom we historically have required to be members of our client network, to better manage and mitigate the risk of NPE patent litigation. As of September 30, 2014, we had a total of 38 active insurance policies. The effect of the insurance policies that have been issued was not material to our results of operations or financial condition for the nine months ended September 30, 2014 or 2013. In connection with an evolution of the way that we will sell insurance policies, during March 2014 we formed a reinsurance company to assume some portion of the underwriting risk on insurance policies that the we issue on behalf of a Lloyd’s of London underwriting syndicate. We began issuing new policies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under the reinsurance model in May 2014. As of, and for the three and nine months ended September 30, 2014, the effect of the insurance policies issued under the reinsurance model was not material to our results of operations or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81"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Subscription revenue includes membership subscription services and premiums earned from insurance policies. Historically, the majority of our revenue has consisted of fees paid by our clients under subscription agreements. Subscription revenue will be positively or negatively impacted by the financial performance of our clients since their subscription fees typically reset annually based upon their most recently reported annual financial results. In August 2012, we launched our insurance product and started to recognize insurance premium revenue from the insurance policies that we underwrite. We had been recognizing the full insurance premium as revenue, however, under the new reinsurance model we typically only recognize the portion of the underwriting risk that we assume. In addition, we receive management fees for marketing, underwriting, and claims management services. Although we expect this revenue to increase as we sell more policies in the future, for the three and nine months ended September 30, 2014 and 2013, insurance premium revenue was not material to our results of operations. We also recognize revenue from the sale of licenses and advisory fee income in connection with syndicated acquisitions, which we collectively refer to as fee-related revenue. Although we expect to continue to generate fee-related revenue, these transactions are unpredictable and vary quarter to quarter. In the future, we may receive other revenue and fee income from newly introduced products and services. While we expect to continue to experience revenue growth on an annual basis, we do not believe that our rate of growth since inception is representative of anticipated future revenue growth.</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8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Cost of revenue primarily consists of amortization expense related to acquired patent assets. Acquired patent assets are capitalized and amortized ratably over their estimated useful lives which are typically derived based on the anticipated cash flows from clients and prospects that may benefit from the transaction. Also included in the cost of revenue are expenses incurred to maintain our patents and prosecute our patent applications and amortization expense for acquired intangible assets and internally developed software. With the launch of our insurance offering in August 2012, cost of revenue began to include premiums ceded to reinsurers and loss reserves. We began to issue new policies under the reinsurance model in May 2014 and as a result we will no longer be ceding premiums. We expect our cost of revenue to increase in the future as we add additional patent assets to our existing portfolio to support our existing and future clients and as our insurance business grows. Our cost of revenue is primarily driven by the amortization of previously acquired patent assets, which are typically amortized over an estimated useful life of 24 to 60 months. From time to time, we may acquire patent assets that we believe are valuable to our clients and prospects with an estimated useful life that is significantly less than the historical weighted-average of patent assets previously acquired, resulting in increased patent asset amortization expense in immediate periods following acquisition. Estimating the economic useful lives of our patent assets depends on various factors including the remaining statutory life of the underlying patents, which could result in shorter amortization periods. Recent trends suggest that amortization periods on patent assets acquired in future periods may be amortized over shorter periods than the historical weighted-average of 46 months.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81"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of salaries and related expenses, including stock-based compensation expense, cost of marketing programs, legal costs, professional fees, travel costs, facility costs and other corporate expenses. We expect that in the foreseeable future, as we seek to serve more clients and develop new products and services, selling, general and administrative expenses will continue to increase.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income, net primarily consists of interest income earned on our cash, cash equivalents and short-term investments.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8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Income taxes are computed using the asset and liability method, under which deferred tax assets and liabilities are determined based on the difference between the financial statements and tax basis of assets and liabilities using enacted tax rates in effect for the year in which the differences are expected to affect taxable income. Valuation allowances are established when necessary to reduce deferred tax assets to the amount expected to be realized. Based on available information, we believe it is likely that our deferred tax assets will be fully realized. Accordingly, we have not applied a valuation allowance against our net deferred tax assets.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81"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accounting principles generally accepted in the United States of America. The preparation of these condensed consolidated financial statements requires us to make estimates and assumptions that affect the reported amounts of assets, liabilities, revenue, costs and expenses and related disclosures.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21" w:right="2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during the nine months ended September 30, 2014, as compared to the critical accounting policies and estimates presented under the heading “Critical Accounting Policies and Estimates” in Part II, Item 7 of the Company’s Annual Report on Form 10-K filed with the SEC on March 10, 2014.</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79"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color w:val="auto"/>
        </w:rPr>
        <w:t xml:space="preserve">In August 2014, the Financial Accounting Standards Board ("FASB") issued Accounting Standards Update ("ASU") 2014-15, </w:t>
      </w:r>
      <w:r>
        <w:rPr>
          <w:rFonts w:ascii="Times New Roman" w:cs="Times New Roman" w:eastAsia="Times New Roman" w:hAnsi="Times New Roman"/>
          <w:sz w:val="18"/>
          <w:szCs w:val="18"/>
          <w:i w:val="1"/>
          <w:iCs w:val="1"/>
          <w:color w:val="auto"/>
        </w:rPr>
        <w:t>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Uncertainties about an Entity's Ability to Continue as a Going Concern </w:t>
      </w:r>
      <w:r>
        <w:rPr>
          <w:rFonts w:ascii="Times New Roman" w:cs="Times New Roman" w:eastAsia="Times New Roman" w:hAnsi="Times New Roman"/>
          <w:sz w:val="18"/>
          <w:szCs w:val="18"/>
          <w:color w:val="auto"/>
        </w:rPr>
        <w:t>("ASU 2014-15") provides new guidance related to management’s responsibility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whether there is substantial doubt about an entity’s ability to continue as a going concern by incorporating and expanding upon certain principles that are currently in U.S. auditing standards and to provide related footnote disclosures. This new guidance is effective for the annual period ending after December 15, 2016, and for annual periods and interim periods thereafter; early adoption is permitted. The requirements of ASU 2014-15 are not expected to have a significant impact on the condensed consolidated financial statements.</w:t>
      </w:r>
    </w:p>
    <w:p>
      <w:pPr>
        <w:spacing w:after="0" w:line="183"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June 2014, the FASB issued ASU 2014-12, </w:t>
      </w:r>
      <w:r>
        <w:rPr>
          <w:rFonts w:ascii="Times New Roman" w:cs="Times New Roman" w:eastAsia="Times New Roman" w:hAnsi="Times New Roman"/>
          <w:sz w:val="18"/>
          <w:szCs w:val="18"/>
          <w:i w:val="1"/>
          <w:iCs w:val="1"/>
          <w:color w:val="auto"/>
        </w:rPr>
        <w:t>Accounting for Share-Based Payments When the Terms of an Award Provide That a Performance 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Could Be Achieved after the Requisite Service Period </w:t>
      </w:r>
      <w:r>
        <w:rPr>
          <w:rFonts w:ascii="Times New Roman" w:cs="Times New Roman" w:eastAsia="Times New Roman" w:hAnsi="Times New Roman"/>
          <w:sz w:val="18"/>
          <w:szCs w:val="18"/>
          <w:color w:val="auto"/>
        </w:rPr>
        <w:t>(“ASU 2014-12”), which amends</w:t>
      </w:r>
      <w:r>
        <w:rPr>
          <w:rFonts w:ascii="Times New Roman" w:cs="Times New Roman" w:eastAsia="Times New Roman" w:hAnsi="Times New Roman"/>
          <w:sz w:val="18"/>
          <w:szCs w:val="18"/>
          <w:i w:val="1"/>
          <w:iCs w:val="1"/>
          <w:color w:val="auto"/>
        </w:rPr>
        <w:t xml:space="preserve"> Compensation - Stock Compensation (Topic 718) </w:t>
      </w:r>
      <w:r>
        <w:rPr>
          <w:rFonts w:ascii="Times New Roman" w:cs="Times New Roman" w:eastAsia="Times New Roman" w:hAnsi="Times New Roman"/>
          <w:sz w:val="18"/>
          <w:szCs w:val="18"/>
          <w:color w:val="auto"/>
        </w:rPr>
        <w:t>in the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Standards Codification (“ASC”). ASU 2014-12 requires that a performance target that affects vesting and that could be achieved after the requisite service period be treated as a performance condition. A reporting entity should apply existing guidance in </w:t>
      </w:r>
      <w:r>
        <w:rPr>
          <w:rFonts w:ascii="Times New Roman" w:cs="Times New Roman" w:eastAsia="Times New Roman" w:hAnsi="Times New Roman"/>
          <w:sz w:val="18"/>
          <w:szCs w:val="18"/>
          <w:i w:val="1"/>
          <w:iCs w:val="1"/>
          <w:color w:val="auto"/>
        </w:rPr>
        <w:t>Compensation - Stock Compensation (Topic 718)</w:t>
      </w:r>
      <w:r>
        <w:rPr>
          <w:rFonts w:ascii="Times New Roman" w:cs="Times New Roman" w:eastAsia="Times New Roman" w:hAnsi="Times New Roman"/>
          <w:sz w:val="18"/>
          <w:szCs w:val="18"/>
          <w:color w:val="auto"/>
        </w:rPr>
        <w:t xml:space="preserve"> as it relates to awards with performance conditions that affect vesting to account for such awards. The amendments in ASU 2014-12 will be effective for annual and interim periods beginning after December 15, 2015 and early adoption is permitted. The adoption of ASU 2014-12 is not expected to have a material impact on our consolidated financial statements.</w:t>
      </w:r>
    </w:p>
    <w:p>
      <w:pPr>
        <w:spacing w:after="0" w:line="183"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(“ASU 2014-09”), which will supersede most existing revenue recognition guidance in U.S. generally accepted accounting principles (“U.S. GAAP”) once it becomes effective. ASU 2014-09 requires an entity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required under existing U.S. GAAP including identifying performance obligations in the contract, estimating the amount of variable consideration to include in the transaction price and allocating the transaction price to each separate performance obligation. ASU 2014-09 will be effective for annual and interim periods beginning after December 15, 2016 and early adoption is not permitted. We are currently evaluating the impact of the adoption of ASU 2014-12 on our consolidated financial statements.</w:t>
      </w:r>
    </w:p>
    <w:p>
      <w:pPr>
        <w:spacing w:after="0" w:line="185"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April 2014, the FASB issued ASU 2014-08, </w:t>
      </w:r>
      <w:r>
        <w:rPr>
          <w:rFonts w:ascii="Times New Roman" w:cs="Times New Roman" w:eastAsia="Times New Roman" w:hAnsi="Times New Roman"/>
          <w:sz w:val="18"/>
          <w:szCs w:val="18"/>
          <w:i w:val="1"/>
          <w:iCs w:val="1"/>
          <w:color w:val="auto"/>
        </w:rPr>
        <w:t>Presentation of Financial Statements (Topic 205) and Property, Plant and Equipment (Topic 360)</w:t>
      </w:r>
      <w:r>
        <w:rPr>
          <w:rFonts w:ascii="Times New Roman" w:cs="Times New Roman" w:eastAsia="Times New Roman" w:hAnsi="Times New Roman"/>
          <w:sz w:val="18"/>
          <w:szCs w:val="18"/>
          <w:color w:val="auto"/>
        </w:rPr>
        <w:t>, (“ASU 2014-08”) which amends the requirements for reporting discontinued operations and enhances disclosure requirements. The amendments in ASU 2014-08 will be effective for all disposals (or classifications as held for sale) of components of an entity beginning on or after December 15, 2014 and early adoption is permitted. The adoption of ASU 2014-08 is not expected to have a material impact on our consolidated financial statements.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81" w:lineRule="exact"/>
        <w:rPr>
          <w:sz w:val="20"/>
          <w:szCs w:val="20"/>
          <w:color w:val="auto"/>
        </w:rPr>
      </w:pPr>
    </w:p>
    <w:p>
      <w:pPr>
        <w:ind w:right="80" w:firstLine="446"/>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condensed consolidated operations data for each of the periods indicated (in thousands). Our historical results are not necessarily indicative of our results of operations to be expected for any future period.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820" w:type="dxa"/>
            <w:vAlign w:val="bottom"/>
            <w:gridSpan w:val="4"/>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65,407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58,554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191,588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177,229</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30,444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29,766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90,906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78,130</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17,786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15,584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53,620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45,793</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loss on sale of patent assets,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17,185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47,769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53,180</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17,258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48,035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53,350</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17,943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19,561</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10,833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30,092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33,789</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7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operations data as a percentage of revenue.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60" w:type="dxa"/>
            <w:vAlign w:val="bottom"/>
          </w:tcPr>
          <w:p>
            <w:pPr>
              <w:spacing w:after="0"/>
              <w:rPr>
                <w:sz w:val="18"/>
                <w:szCs w:val="18"/>
                <w:color w:val="auto"/>
              </w:rPr>
            </w:pPr>
          </w:p>
        </w:tc>
        <w:tc>
          <w:tcPr>
            <w:tcW w:w="328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180" w:type="dxa"/>
            <w:vAlign w:val="bottom"/>
            <w:gridSpan w:val="3"/>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4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1"/>
        </w:trPr>
        <w:tc>
          <w:tcPr>
            <w:tcW w:w="5960" w:type="dxa"/>
            <w:vAlign w:val="bottom"/>
            <w:gridSpan w:val="2"/>
          </w:tcPr>
          <w:p>
            <w:pPr>
              <w:ind w:left="5580"/>
              <w:spacing w:after="0"/>
              <w:rPr>
                <w:sz w:val="20"/>
                <w:szCs w:val="20"/>
                <w:color w:val="auto"/>
              </w:rPr>
            </w:pPr>
            <w:r>
              <w:rPr>
                <w:rFonts w:ascii="Times New Roman" w:cs="Times New Roman" w:eastAsia="Times New Roman" w:hAnsi="Times New Roman"/>
                <w:sz w:val="16"/>
                <w:szCs w:val="16"/>
                <w:b w:val="1"/>
                <w:bCs w:val="1"/>
                <w:color w:val="auto"/>
              </w:rPr>
              <w:t>2014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156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152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4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4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(Gain) loss on sale of patent assets, net</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5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5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4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5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81"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Our revenue for the three months ended September 30, 2014 was $65.4 million compared to $58.6 million during the same period a year ago, an increase of $6.8 million, or 12%. Subscription revenue, which includes membership subscription services and premiums earned from insurance policies, for the three months ended September 30, 2014 was $62.7 million compared to $57.8 million for the three months ended September 30, 2013. The increase in subscription revenue was primarily attributable to an increase in membership fees and insurance premiums of $6.7 million from new clients who joined our network subsequent to September 30, 2013 partially offset by a decrease of $1.8 million from clients who joined our network prior to September 30, 2013. This will increase or decrease over time as clients leave the network or we adjust their membership fees from the prior period as their invoiced fees typically expand or contract with their operating income or any negotiated discount or premium to their prior rate. As of September 30, 2014, we had a total client network of 195 companies as compared to 160 as of September 30, 2013. Revenue for the three months ended September 30, 2014 and 2013 included fee-related revenue of $2.7 million and $0.7 million, respectively.</w:t>
      </w:r>
    </w:p>
    <w:p>
      <w:pPr>
        <w:spacing w:after="0" w:line="18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Our revenue for the nine months ended September 30, 2014 was $191.6 million compared to $177.2 million during the same period a year ago, an increase of $14.4 million, or 8%. Subscription revenue, which includes membership subscription services and premiums earned from insurance policies, for the nine months ended September 30, 2014 was $187.8 million compared to $166.8 million for the nine months ended September 30, 2013. The increase in subscription revenue was primarily attributable to an increase in membership fees and insurance premiums of $16.1 million from new clients who joined our network subsequent to September 30, 2013 and $4.9 million from clients who joined our network prior to September 30, 2013. Revenue for the nine months ended September 30, 2014 and 2013 included fee-related revenue of $3.8 million and $10.4 million, respectively.</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8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Our cost of revenue for the three months ended September 30, 2014 was $30.4 million compared to $29.8 million during the same period a year ago, an increase of $0.6 million, or 2%. The increase was primarily attributable to a $1.3 million increase in patent amortization expense as a result of an increase in our patent assets and shorter than historical amortization periods for certain patent assets acquired subsequent to September 30, 2013. Patent assets acquired during the three months ended September 30, 2014 had a weighted-average amortization period of 39 months compared with the historical weighted-average since our inception of 46 months. The increase in patent amortization expense was partially offset by a $0.2 million decrease in expenses incurred to maintain and prosecute patents and patent applications included in our portfolio.</w:t>
      </w:r>
    </w:p>
    <w:p>
      <w:pPr>
        <w:spacing w:after="0" w:line="18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cost of revenue for the nine months ended September 30, 2014 was $90.9 million compared to $78.1 million during the same period a year ago, an increase of $12.8 million, or 16%. The increase was primarily attributable to a $12.7 million increase in patent amortization expense as a result of an increase in our patent assets, and shorter than historical amortization periods for certain patent assets acquired subsequent to September 30, 2013. We also had a $0.5 million increase in expenses incurred to maintain and prosecute patents and patent applications included in our portfolio.</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8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Our selling, general and administrative expenses for the three months ended September 30, 2014 were $17.8 million compared to $15.6 million during the same period a year ago, an increase of $2.2 million, or 14%. The increase was primarily due to a $2.0 million increase in personnel-related costs, including a $0.6 million increase in stock-based compensation expense, primarily attributable to increasing our headcount to 149 employees as of September 30, 2014 as we continued to expand the parts of our organization that support our clients.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selling, general and administrative expenses for the nine months ended September 30, 2014 were $53.6 million compared to $45.8 million during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same period a year ago, an increase of $7.8 million, or 17%. The increase was primarily due to a $5.9 million increase in personnel-related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a $1.3 million increase in stock-based compensation expense, primarily attributable to increasing our headcount to 149 employees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2014, a $0.5 million increase in sales and marketing expense to increase industry awareness, and a $0.6 million increase in rent related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includes leasing additional office space at our San Francisco headquarters.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81"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Our provision for income taxes was $6.4 million and $4.9 million for the three months ended September 30, 2014 and 2013, respectively, and $17.9 million and $19.6 million for the nine months ended September 30, 2014 and 2013, respectively. Our effective tax rate, including the impact of discrete benefit items, was 37% for each of the three and nine months ended September 30, 2014 and 2013, respectively.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81" w:lineRule="exact"/>
        <w:rPr>
          <w:sz w:val="20"/>
          <w:szCs w:val="20"/>
          <w:color w:val="auto"/>
        </w:rPr>
      </w:pPr>
    </w:p>
    <w:p>
      <w:pPr>
        <w:ind w:right="40" w:firstLine="446"/>
        <w:spacing w:after="0" w:line="255" w:lineRule="auto"/>
        <w:rPr>
          <w:sz w:val="20"/>
          <w:szCs w:val="20"/>
          <w:color w:val="auto"/>
        </w:rPr>
      </w:pPr>
      <w:r>
        <w:rPr>
          <w:rFonts w:ascii="Times New Roman" w:cs="Times New Roman" w:eastAsia="Times New Roman" w:hAnsi="Times New Roman"/>
          <w:sz w:val="18"/>
          <w:szCs w:val="18"/>
          <w:color w:val="auto"/>
        </w:rPr>
        <w:t>We have financed substantially all of our operations and patent asset acquisitions through the sale of equity securities and subscription and other fees collected from our clients. As of September 30, 2014, we had $83.3 million of cash and cash equivalents and $219.8 million in short-term investments. We believe our existing cash, cash equivalents and short-term investments will be sufficient to meet our working capital and capital expenditure needs for the foreseeable future. Our future capital needs will depend on many factors, including, among other things, our acquisition of patent assets, addition and renewal of client membership agreements, growth of our insurance business and development of new products and services. We anticipate an increased level of patent acquisition spending as our business grows.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2013</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117,920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156,526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(104,476)</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6,926</w:t>
            </w: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58,976</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8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September 30, 2014 was $117.9 million, consisting of adjustments for non-cash items of $102.7 million, changes in working capital and non-current assets and liabilities of $14.9 million and net income of $30.1 million. Non-cash adjustments to net income primarily consisted of $89.7 million of depreciation and amortization, $13.4 million of stock-based compensation, $5.0 million of amortization of premium on investments, a reduction of $2.4 million due to excess tax benefit from stock-based compensation and a $1.8 million net decrease in our deferred tax liabilities. The change in working capital and non-current assets and liabilities resulted primarily from a $17.2 million decrease in accounts receivable, partially offset by a $25.0 million decrease in deferred revenue, an $8.8 million increase in prepaid expenses and other assets and a $1.5 million increase in our accrued and other liabilities. The decrease in accounts receivable was due to $183.1 million in cash collections, partially offset by billings to new and existing clients of $165.9 million. The decrease in deferred revenue was due to revenue and other adjustments recognized during the period of $188.1 million, partially offset by $163.1 million in billings to new and existing clients. The amount of deferred revenue in any given period varies with the addition of new clients, the mix of payment terms that we offer and the timing of invoicing existing clients.</w:t>
      </w:r>
    </w:p>
    <w:p>
      <w:pPr>
        <w:spacing w:after="0" w:line="186"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September 30, 2013 was $156.5 million, consisting of adjustments for non-cash items totaling $88.0 million, changes in working capital and non-current assets and liabilities of $34.8 million, and net income of $33.8 million. Non-cash adjustments to net income primarily consisted of $76.8 million of depreciation and amortization, $12.1 million of stock-based compensation, $4.5 million of amortization of premium on investments, partially offset by a reduction of $2.8 million due to excess tax benefit from stock-based compensation and a $2.8 million net decrease in our deferred tax liabilities. The change in working capital resulted primarily from a $33.8 million decrease in other receivables representing the collection of client contributions outstanding as a result of the completion of a syndicated patent acquisition and licensing transaction and</w:t>
      </w:r>
    </w:p>
    <w:p>
      <w:pPr>
        <w:ind w:right="320"/>
        <w:spacing w:after="0" w:line="254" w:lineRule="auto"/>
        <w:rPr>
          <w:sz w:val="20"/>
          <w:szCs w:val="20"/>
          <w:color w:val="auto"/>
        </w:rPr>
      </w:pPr>
      <w:r>
        <w:rPr>
          <w:rFonts w:ascii="Times New Roman" w:cs="Times New Roman" w:eastAsia="Times New Roman" w:hAnsi="Times New Roman"/>
          <w:sz w:val="18"/>
          <w:szCs w:val="18"/>
          <w:color w:val="auto"/>
        </w:rPr>
        <w:t>a $0.9 million increase in deferred revenue. The increase in deferred revenue was due to $167.7 million in billings to new and existing clients and was partially offset by revenue recognized during the period of $166.8 million. The amount of deferred revenue in any given period varies with the addition of new clients, the mix of payment terms that we offer and the cumulative impact of the timing of invoicing existing clients that have joined our network at various points since our inception.</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81" w:lineRule="exact"/>
        <w:rPr>
          <w:sz w:val="20"/>
          <w:szCs w:val="20"/>
          <w:color w:val="auto"/>
        </w:rPr>
      </w:pPr>
    </w:p>
    <w:p>
      <w:pPr>
        <w:ind w:right="340" w:firstLine="486"/>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2014 was $136.2 million, of which $104.0 million was used to acquire patent assets, $30.0 million represented net purchases of short-term marketable securities, $2.3 million was used in the acquisition of DCML Services Corporation, and $1.1 million was used to acquire property and equipment. This decrease was partially offset by $1.1 million in proceeds from the sale of patent assets. We expect our cash used in investing activities to increase in the future as we acquire additional patent assets.</w:t>
      </w:r>
    </w:p>
    <w:p>
      <w:pPr>
        <w:spacing w:after="0" w:line="24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2013 was $104.5 million, of which $82.8 million represented our acquisitions of patent assets, $17.9 million represented net purchases of short-term marketable securities, $2.1 million represented our acquisitions of property and equipment and $1.8 million represented our increase in restricted cash. We expect our cash used in investing activities to increase in the future as we acquire additional patents.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8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2014 was $1.4 million, of which $2.9 million was the result of proceeds from the exercise of stock options and other common stock issuances and $2.4 million was due to excess tax benefit from stock-based compensation. This increase was partially offset by $3.8 million in taxes paid related to net-share settlements of restricted stock units.</w:t>
      </w:r>
    </w:p>
    <w:p>
      <w:pPr>
        <w:spacing w:after="0" w:line="244"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nine months ended September 30, 2013 was $6.9 million, the result of proceeds from exercise of stock options of $4.2 million and excess tax benefit from stock-based compensation of $2.8 million.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81" w:lineRule="exact"/>
        <w:rPr>
          <w:sz w:val="20"/>
          <w:szCs w:val="20"/>
          <w:color w:val="auto"/>
        </w:rPr>
      </w:pPr>
    </w:p>
    <w:p>
      <w:pPr>
        <w:ind w:right="660" w:firstLine="486"/>
        <w:spacing w:after="0" w:line="261" w:lineRule="auto"/>
        <w:rPr>
          <w:sz w:val="20"/>
          <w:szCs w:val="20"/>
          <w:color w:val="auto"/>
        </w:rPr>
      </w:pPr>
      <w:r>
        <w:rPr>
          <w:rFonts w:ascii="Times New Roman" w:cs="Times New Roman" w:eastAsia="Times New Roman" w:hAnsi="Times New Roman"/>
          <w:sz w:val="18"/>
          <w:szCs w:val="18"/>
          <w:color w:val="auto"/>
        </w:rPr>
        <w:t>We generally do not enter into long-term minimum purchase commitments. Our principal long-term commitments consist of obligations under operating leases for office space. There were no substantial changes to our contractual obligations and commitments during the nine months</w:t>
      </w:r>
    </w:p>
    <w:p>
      <w:pPr>
        <w:ind w:right="20"/>
        <w:spacing w:after="0" w:line="254" w:lineRule="auto"/>
        <w:rPr>
          <w:sz w:val="20"/>
          <w:szCs w:val="20"/>
          <w:color w:val="auto"/>
        </w:rPr>
      </w:pPr>
      <w:r>
        <w:rPr>
          <w:rFonts w:ascii="Times New Roman" w:cs="Times New Roman" w:eastAsia="Times New Roman" w:hAnsi="Times New Roman"/>
          <w:sz w:val="18"/>
          <w:szCs w:val="18"/>
          <w:color w:val="auto"/>
        </w:rPr>
        <w:t>ended September 30, 2014 as compared to our contractual obligations and commitments presented under the heading “Contractual Obligations and Commitments” in Part II, Item 7 “Management’s Discussion and Analysis of Financial Condition and Results of Operations” or the heading “Commitments and Contingencies” in Note 12 of the Notes to Consolidated Financial Statements in Part II, Item 8 of our Annual Report on Form 10-K filed with the SEC on March 10, 2014.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81"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At September 30, 2014, we did not have any relationships with unconsolidated entities or financial partnerships, such as structured finance or special purpose entities, which would have been established for the purpose of facilitating off-balance-sheet arrangements or other contractually narrow or limited purposes.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8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8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Our subscription agreements are denominated in U.S. Dollars and, therefore, our revenue is not currently subject to significant foreign currency risk. Our expenses are incurred primarily in the United States, with a small portion of expenses incurred and denominated in the currencies where our other international office is located. Our results of operations and cash flows are subject to fluctuations due to changes in foreign currency exchange rates, particularly changes in the Japanese Yen and European Euro relative to the U.S. Dollar. To date, we have not entered into any foreign currency hedging contracts.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81" w:lineRule="exact"/>
        <w:rPr>
          <w:sz w:val="20"/>
          <w:szCs w:val="20"/>
          <w:color w:val="auto"/>
        </w:rPr>
      </w:pPr>
    </w:p>
    <w:p>
      <w:pPr>
        <w:jc w:val="both"/>
        <w:ind w:right="20" w:firstLine="486"/>
        <w:spacing w:after="0" w:line="289" w:lineRule="auto"/>
        <w:rPr>
          <w:sz w:val="20"/>
          <w:szCs w:val="20"/>
          <w:color w:val="auto"/>
        </w:rPr>
      </w:pPr>
      <w:r>
        <w:rPr>
          <w:rFonts w:ascii="Times New Roman" w:cs="Times New Roman" w:eastAsia="Times New Roman" w:hAnsi="Times New Roman"/>
          <w:sz w:val="17"/>
          <w:szCs w:val="17"/>
          <w:color w:val="auto"/>
        </w:rPr>
        <w:t>We had cash, cash equivalents and short-term investments of $303.1 million as of September 30, 2014. Our cash balances deposited in U.S. banks are non-interest bearing and insured up to the Federal Deposit Insurance Corporation (“FDIC”) limits. Cash equivalents consist of commercial paper, municipal bonds and institutional money market funds denominated primarily in U.S. Dollars. Interest rate fluctuations affect the returns on our invested funds.</w:t>
      </w:r>
    </w:p>
    <w:p>
      <w:pPr>
        <w:spacing w:after="0" w:line="158"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As of September 30, 2014, our short-term investments of $219.8 million were primarily invested in municipal and corporate bonds maturing between 90 days and 12 months, U.S. government and agency securities and commercial paper. As of September 30, 2014, our investments were classified as available-for-sale and, consequently, were recorded at fair value in the condensed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As of September 30, 2014, we had not recorded an impairment related to our investments in the condensed consolidated statement of operations.</w:t>
      </w:r>
    </w:p>
    <w:p>
      <w:pPr>
        <w:spacing w:after="0" w:line="18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If overall interest rates had changed by 10% during the nine months ended September 30, 2014, the fair value of our investments would not have been materially affected.</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Effect of Inflation</w:t>
      </w:r>
    </w:p>
    <w:p>
      <w:pPr>
        <w:spacing w:after="0" w:line="8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We believe that inflation has not had a material impact on our results of operations for the nine months ended September 30, 2014. There can be no assurance that future inflation will not have an adverse impact on our results of operations or financial condition.</w:t>
      </w:r>
    </w:p>
    <w:p>
      <w:pPr>
        <w:spacing w:after="0" w:line="1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00"/>
          </w:cols>
          <w:pgMar w:left="240" w:top="121" w:right="3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81"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September 30,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2014, our Chief Executive Officer and Chief Financial Officer concluded that, as of such date, the Company’s disclosure controls and procedures were effective at the reasonable assurance level.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8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which occurred during the period covered by this Quarterly Report on Form 10-Q which has materially affected, or is reasonably likely to materially affect, our internal control over financial reporting.</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8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81"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Refer to Note 12, “Commitments and Contingencies,” in Notes to Condensed Consolidated Financial Statements (unaudited) in Part I, Item 1 of this Quarterly Report on Form 10-Q, which is hereby incorporated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right="100" w:firstLine="446"/>
        <w:spacing w:after="0" w:line="273"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The risks described below are not the only risks facing us. Risks and uncertainties not currently known to us or that we currently deem to be immaterial also may materially adversely affect our business, financial condition, operating results, and growth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77"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significant quarterly fluctuations in our operating results due to a number of factors, which make our future operating results difficult to predict and could cause our operating results to fall below expectations.</w:t>
      </w:r>
    </w:p>
    <w:p>
      <w:pPr>
        <w:spacing w:after="0" w:line="10" w:lineRule="exact"/>
        <w:rPr>
          <w:sz w:val="20"/>
          <w:szCs w:val="20"/>
          <w:color w:val="auto"/>
        </w:rPr>
      </w:pPr>
    </w:p>
    <w:p>
      <w:pPr>
        <w:ind w:right="40" w:firstLine="446"/>
        <w:spacing w:after="0" w:line="256" w:lineRule="auto"/>
        <w:rPr>
          <w:sz w:val="20"/>
          <w:szCs w:val="20"/>
          <w:color w:val="auto"/>
        </w:rPr>
      </w:pPr>
      <w:r>
        <w:rPr>
          <w:rFonts w:ascii="Times New Roman" w:cs="Times New Roman" w:eastAsia="Times New Roman" w:hAnsi="Times New Roman"/>
          <w:sz w:val="18"/>
          <w:szCs w:val="18"/>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the characteristics of the assets acquired and the timing of those acquisitions may result in significant quarterly fluctuations in our capital expenditures and our financial results,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to the factors described above and elsewhere in this Item 1A, other factors that may affect our operating results include:</w:t>
      </w:r>
    </w:p>
    <w:p>
      <w:pPr>
        <w:spacing w:after="0" w:line="77" w:lineRule="exact"/>
        <w:rPr>
          <w:sz w:val="20"/>
          <w:szCs w:val="20"/>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we need to pay to acquire patent assets;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expenses, including those attributable to additional headcount and the costs of new business initiatives;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lengthy and unpredictable membership sales cycle, including delays in potential clients’ decisions whether to subscribe to our solution;</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subscription fees from clients whose annual subscription fees decrease due to declining operating income or revenue of such clients;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incurred as a result of claims made on insurance policies underwritten by us;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non-renewals from existing clients for any reason;</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clients, including through acquisitions or consolidations;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subscription fee rates or changes in our own pricing and discounting policies or those of our competitors;</w:t>
      </w:r>
    </w:p>
    <w:p>
      <w:pPr>
        <w:spacing w:after="0" w:line="76" w:lineRule="exact"/>
        <w:rPr>
          <w:rFonts w:ascii="Times New Roman" w:cs="Times New Roman" w:eastAsia="Times New Roman" w:hAnsi="Times New Roman"/>
          <w:sz w:val="18"/>
          <w:szCs w:val="18"/>
          <w:color w:val="auto"/>
        </w:rPr>
      </w:pPr>
    </w:p>
    <w:p>
      <w:pPr>
        <w:ind w:left="820" w:right="2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acquire patent assets that are being asserted or may be asserted against our clients due to lack of availability, unfavorable pricing terms or otherwise;</w:t>
      </w:r>
    </w:p>
    <w:p>
      <w:pPr>
        <w:spacing w:after="0" w:line="13" w:lineRule="exact"/>
        <w:rPr>
          <w:rFonts w:ascii="Times New Roman" w:cs="Times New Roman" w:eastAsia="Times New Roman" w:hAnsi="Times New Roman"/>
          <w:sz w:val="18"/>
          <w:szCs w:val="18"/>
          <w:color w:val="auto"/>
        </w:rPr>
      </w:pPr>
    </w:p>
    <w:p>
      <w:pPr>
        <w:ind w:left="820" w:right="8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spacing w:after="0" w:line="13"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accounting treatment associated with our acquisitions of patent assets, how we amortize those patent assets and how we recognize revenue under subscription agreements;</w:t>
      </w:r>
    </w:p>
    <w:p>
      <w:pPr>
        <w:spacing w:after="0" w:line="13"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patent assets with a shorter estimated useful life that increases our near-term patent asset amortization expense and decreases our earnings;</w:t>
      </w:r>
    </w:p>
    <w:p>
      <w:pPr>
        <w:spacing w:after="0" w:line="1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develop and implement new solutions that meet client requirements in a timely manner;</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our clients’ and prospective clients’ costs of litigating patent infringement claims;</w:t>
      </w:r>
    </w:p>
    <w:p>
      <w:pPr>
        <w:spacing w:after="0" w:line="7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retain key personnel;</w:t>
      </w:r>
    </w:p>
    <w:p>
      <w:pPr>
        <w:spacing w:after="0" w:line="76" w:lineRule="exact"/>
        <w:rPr>
          <w:rFonts w:ascii="Times New Roman" w:cs="Times New Roman" w:eastAsia="Times New Roman" w:hAnsi="Times New Roman"/>
          <w:sz w:val="18"/>
          <w:szCs w:val="18"/>
          <w:color w:val="auto"/>
        </w:rPr>
      </w:pPr>
    </w:p>
    <w:p>
      <w:pPr>
        <w:ind w:left="820" w:right="480" w:hanging="326"/>
        <w:spacing w:after="0" w:line="282" w:lineRule="auto"/>
        <w:tabs>
          <w:tab w:leader="none" w:pos="8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changes in the competitive dynamics of our market, including new competitors or substantial discounting of services that are viewed by our target market as competitive to ours;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20" w:lineRule="exact"/>
        <w:rPr>
          <w:sz w:val="20"/>
          <w:szCs w:val="20"/>
          <w:color w:val="auto"/>
        </w:rPr>
      </w:pPr>
    </w:p>
    <w:p>
      <w:pPr>
        <w:ind w:left="820" w:right="10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 and</w:t>
      </w:r>
    </w:p>
    <w:p>
      <w:pPr>
        <w:spacing w:after="0" w:line="13"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in the industries that we serve, particularly as they affect the intellectual property risk management and/or litigation budgets of our existing or potential clients.</w:t>
      </w:r>
    </w:p>
    <w:p>
      <w:pPr>
        <w:spacing w:after="0" w:line="162" w:lineRule="exact"/>
        <w:rPr>
          <w:sz w:val="20"/>
          <w:szCs w:val="20"/>
          <w:color w:val="auto"/>
        </w:rPr>
      </w:pPr>
    </w:p>
    <w:p>
      <w:pPr>
        <w:ind w:right="400" w:firstLine="446"/>
        <w:spacing w:after="0" w:line="282" w:lineRule="auto"/>
        <w:rPr>
          <w:sz w:val="20"/>
          <w:szCs w:val="20"/>
          <w:color w:val="auto"/>
        </w:rPr>
      </w:pPr>
      <w:r>
        <w:rPr>
          <w:rFonts w:ascii="Times New Roman" w:cs="Times New Roman" w:eastAsia="Times New Roman" w:hAnsi="Times New Roman"/>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our patent risk management solution is evolving, and if our solution is not widely accepted or is accepted more slowly than we expect, our operating results will be adversely affected.</w:t>
      </w:r>
    </w:p>
    <w:p>
      <w:pPr>
        <w:spacing w:after="0" w:line="10"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evolving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27" w:lineRule="exact"/>
        <w:rPr>
          <w:sz w:val="20"/>
          <w:szCs w:val="20"/>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about our ability to significantly reduce patent litigation costs for a particular company;</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assertions from NPEs or decreased patent licensing fees owed to NPEs;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ability of NPEs to bring patent claims or limitations on the potential damages recoverable from such claims;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cost to our clients of defending patent assertion claims;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perceived relevance and value in our existing patent asset portfolio by existing or potential clients;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by existing or potential clients about our future ability to obtain rights to patent assets that are being or may be asserted against them;</w:t>
      </w:r>
    </w:p>
    <w:p>
      <w:pPr>
        <w:spacing w:after="0" w:line="63" w:lineRule="exact"/>
        <w:rPr>
          <w:rFonts w:ascii="Times New Roman" w:cs="Times New Roman" w:eastAsia="Times New Roman" w:hAnsi="Times New Roman"/>
          <w:sz w:val="18"/>
          <w:szCs w:val="18"/>
          <w:color w:val="auto"/>
        </w:rPr>
      </w:pPr>
    </w:p>
    <w:p>
      <w:pPr>
        <w:ind w:left="820" w:right="120" w:hanging="326"/>
        <w:spacing w:after="0" w:line="281" w:lineRule="auto"/>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incentives to renew memberships if clients have vested into perpetual licenses in all patent assets that they believe are materially relevant to their businesses;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sufficient interest by mid- and small-size companies in our patent risk management or insurance offerings;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incentive for companies to become clients because we do not assert our patent assets in litigation;</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that we might change our current business model and assert our patent assets in litigation;</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limitations for existing or potential clients; and</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adequate coverage for the risks and expenses we attempt to reduce is available from alternative products or services.</w:t>
      </w:r>
    </w:p>
    <w:p>
      <w:pPr>
        <w:spacing w:after="0" w:line="203"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current business and future prospects, and potential clients may have concerns regarding the effectiveness of our business model in the future. If companies do not continue to subscribe to our solution, our business and operating results will be adversely affected.</w:t>
      </w:r>
    </w:p>
    <w:p>
      <w:pPr>
        <w:spacing w:after="0" w:line="26"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We were incorporated in July 2008. We acquired our first patent assets in September 2008, sold our first membership in October 2008, and sold our first insurance policy in August 2012. Therefore, we have not only a limited operating history, but also a limited track record in executing our business model. Our future success depends on acceptance of our solutions by companies we target to become clients. Our efforts to sell our solutions to new and existing clients may not continue to be successful. We evaluate our business model from time to time in order to address the evolving needs of our clients and prospective clients, particularly in an industry that continues to develop and change.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189"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8"/>
          <w:szCs w:val="18"/>
          <w:color w:val="auto"/>
        </w:rPr>
        <w:t>If the market for our solutions develops more slowly than we anticipate, or if competitors introduce new solutions that compete with ours, we may be unable to renew our memberships, sell insurance policies or attract new clients at favorable prices based on the same pricing model we have historically used. In the future, it is possible that competitive dynamics in our market may require us to change our pricing model, reduce our subscription fee rates, or consider adding new pricing programs or discounts, which would likely harm our operating results. If we introduce a higher fee schedule in the future, it may be more difficult for us to attract new</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clients. In order to attract new clients and retain existing clients, in certain cases we have previously offered, and may in the future offer, discounts or other contractual incentives to clients who execute multi-year subscription agreements or who make client referrals.</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10" w:lineRule="exact"/>
        <w:rPr>
          <w:sz w:val="20"/>
          <w:szCs w:val="20"/>
          <w:color w:val="auto"/>
        </w:rPr>
      </w:pPr>
    </w:p>
    <w:p>
      <w:pPr>
        <w:ind w:right="100" w:firstLine="446"/>
        <w:spacing w:after="0" w:line="255" w:lineRule="auto"/>
        <w:rPr>
          <w:sz w:val="20"/>
          <w:szCs w:val="20"/>
          <w:color w:val="auto"/>
        </w:rPr>
      </w:pPr>
      <w:r>
        <w:rPr>
          <w:rFonts w:ascii="Times New Roman" w:cs="Times New Roman" w:eastAsia="Times New Roman" w:hAnsi="Times New Roman"/>
          <w:sz w:val="18"/>
          <w:szCs w:val="18"/>
          <w:color w:val="auto"/>
        </w:rPr>
        <w:t>Because we operate in a relatively new and unproven market, our membership sales efforts involve educating potential clients about the benefit of our solution, including potential cost savings to a company. Potential clients typically undergo a lengthy decision-making process that has, in the past, generally resulted in a lengthy and unpredictable sales cycle. Mid- and small-size companies are generally subject to less patent litigation and we expect even lengthier sales cycles for such companies.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clients renewing their subscription agreements, and we do not have an adequate operating history to predict the rate of membership renewals. Any significant decline in our membership renewals could harm our operating results.</w:t>
      </w:r>
    </w:p>
    <w:p>
      <w:pPr>
        <w:spacing w:after="0" w:line="10"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Our clients have no obligation to renew their subscriptions after the expiration of their initial membership period. We have limited historical data with respect to rates of subscription renewals, so we cannot accurately predict renewal rates. The weighted-average term of our subscription agreements in effect as of September 30, 2014 was 2.7 years. As our overall membership base grows, we expect our rate of client renewals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may decrease. If our clients do not renew their subscriptions or renew for shorter terms or if we allow them to renew at reduced subscription fees, our revenue may decline and our business may be adversely affected.</w:t>
      </w:r>
    </w:p>
    <w:p>
      <w:pPr>
        <w:spacing w:after="0" w:line="189" w:lineRule="exact"/>
        <w:rPr>
          <w:sz w:val="20"/>
          <w:szCs w:val="20"/>
          <w:color w:val="auto"/>
        </w:rPr>
      </w:pPr>
    </w:p>
    <w:p>
      <w:pPr>
        <w:ind w:right="100" w:firstLine="446"/>
        <w:spacing w:after="0" w:line="255" w:lineRule="auto"/>
        <w:rPr>
          <w:sz w:val="20"/>
          <w:szCs w:val="20"/>
          <w:color w:val="auto"/>
        </w:rPr>
      </w:pPr>
      <w:r>
        <w:rPr>
          <w:rFonts w:ascii="Times New Roman" w:cs="Times New Roman" w:eastAsia="Times New Roman" w:hAnsi="Times New Roman"/>
          <w:sz w:val="18"/>
          <w:szCs w:val="18"/>
          <w:color w:val="auto"/>
        </w:rPr>
        <w:t>Upon initial subscription, our clients receive a term license for the period of their membership to substantially all of the patent assets in our portfolio at the time of subscription. In addition, clients receive term licenses to substantially all of the patent assets we acquire during the period of their membership. Our subscription agreements also typically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to all patent assets they believe are materially relevant to their businesses.</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spacing w:after="0" w:line="10" w:lineRule="exact"/>
        <w:rPr>
          <w:sz w:val="20"/>
          <w:szCs w:val="20"/>
          <w:color w:val="auto"/>
        </w:rPr>
      </w:pPr>
    </w:p>
    <w:p>
      <w:pPr>
        <w:ind w:right="20" w:firstLine="446"/>
        <w:spacing w:after="0" w:line="255" w:lineRule="auto"/>
        <w:rPr>
          <w:sz w:val="20"/>
          <w:szCs w:val="20"/>
          <w:color w:val="auto"/>
        </w:rPr>
      </w:pPr>
      <w:r>
        <w:rPr>
          <w:rFonts w:ascii="Times New Roman" w:cs="Times New Roman" w:eastAsia="Times New Roman" w:hAnsi="Times New Roman"/>
          <w:sz w:val="18"/>
          <w:szCs w:val="18"/>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10" w:lineRule="exact"/>
        <w:rPr>
          <w:sz w:val="20"/>
          <w:szCs w:val="20"/>
          <w:color w:val="auto"/>
        </w:rPr>
      </w:pPr>
    </w:p>
    <w:p>
      <w:pPr>
        <w:ind w:right="120" w:firstLine="446"/>
        <w:spacing w:after="0" w:line="266" w:lineRule="auto"/>
        <w:rPr>
          <w:sz w:val="20"/>
          <w:szCs w:val="20"/>
          <w:color w:val="auto"/>
        </w:rPr>
      </w:pPr>
      <w:r>
        <w:rPr>
          <w:rFonts w:ascii="Times New Roman" w:cs="Times New Roman" w:eastAsia="Times New Roman" w:hAnsi="Times New Roman"/>
          <w:sz w:val="18"/>
          <w:szCs w:val="18"/>
          <w:color w:val="auto"/>
        </w:rPr>
        <w:t>Subscription fees are typically reset annually based on a client’s reported revenue and operating income measured as of the end of its last fiscal year. If a client who is not already paying the minimum due under our fee schedule experiences reduced operating results, its subscription fee for the next year will decline. As a result, our revenue stream may be affected by conditions outside of our control that impact the operating results of our clients.</w:t>
      </w:r>
    </w:p>
    <w:p>
      <w:pPr>
        <w:spacing w:after="0" w:line="176" w:lineRule="exact"/>
        <w:rPr>
          <w:sz w:val="20"/>
          <w:szCs w:val="20"/>
          <w:color w:val="auto"/>
        </w:rPr>
      </w:pPr>
    </w:p>
    <w:p>
      <w:pPr>
        <w:ind w:right="140" w:firstLine="446"/>
        <w:spacing w:after="0" w:line="282" w:lineRule="auto"/>
        <w:rPr>
          <w:sz w:val="20"/>
          <w:szCs w:val="20"/>
          <w:color w:val="auto"/>
        </w:rPr>
      </w:pPr>
      <w:r>
        <w:rPr>
          <w:rFonts w:ascii="Times New Roman" w:cs="Times New Roman" w:eastAsia="Times New Roman" w:hAnsi="Times New Roman"/>
          <w:sz w:val="18"/>
          <w:szCs w:val="18"/>
          <w:color w:val="auto"/>
        </w:rPr>
        <w:t>Our fee schedules generally provide that our subscription fee as a percentage of the client’s operating income decreases as their operating income goes up. In addition, many of our clients’ fee schedules are subject to an annual cap. As a result, if one of our clients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acquires another client, our future revenue could be reduced as a result of the application of our fee schedule to the combined entity rather than to each entity separately. Any reduction in subscription fees could harm our business and operating results.</w:t>
      </w:r>
    </w:p>
    <w:p>
      <w:pPr>
        <w:spacing w:after="0" w:line="15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very limited flexibility to change the pricing of our solution for existing clients and may not be able to respond effectively to changes in our market. This limited flexibility could have an adverse effect on our operating results.</w:t>
      </w:r>
    </w:p>
    <w:p>
      <w:pPr>
        <w:spacing w:after="0" w:line="10" w:lineRule="exact"/>
        <w:rPr>
          <w:sz w:val="20"/>
          <w:szCs w:val="20"/>
          <w:color w:val="auto"/>
        </w:rPr>
      </w:pPr>
    </w:p>
    <w:p>
      <w:pPr>
        <w:ind w:right="40" w:firstLine="446"/>
        <w:spacing w:after="0" w:line="255" w:lineRule="auto"/>
        <w:rPr>
          <w:sz w:val="20"/>
          <w:szCs w:val="20"/>
          <w:color w:val="auto"/>
        </w:rPr>
      </w:pPr>
      <w:r>
        <w:rPr>
          <w:rFonts w:ascii="Times New Roman" w:cs="Times New Roman" w:eastAsia="Times New Roman" w:hAnsi="Times New Roman"/>
          <w:sz w:val="18"/>
          <w:szCs w:val="18"/>
          <w:color w:val="auto"/>
        </w:rPr>
        <w:t>Under many of our existing subscription agreements, our annual subscription fee is based on a published fee schedule applicable to all of our clients that commence their membership while that fee schedule is in effect. Clients under such agreements are able to renew their memberships perpetually under the fee schedule in effect at the time that they became members with periodic adjustments by us only based on changes in the Consumer Price Index. This means that any increases to our fee schedule generally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18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expand our membership base to include small and mid-size companies, we may not be able to maintain our growth and our business and results of operations may be harmed.</w:t>
      </w:r>
    </w:p>
    <w:p>
      <w:pPr>
        <w:spacing w:after="0" w:line="10"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Many of our current clients are very large companies. The number of companies of that size is limited and, in order for us to continue our growth, we need to expand our membership base to include small and mid-size companies. There is no guarantee that we will be successful in those efforts. Small and mid-size companies often have more limited budgets available for solutions of the type we offer compared to large companies. Furthermore, small and mid-size companies are generally not subject to as much patent litigation as large companies and, therefore, may not perceive that the benefits of our solution justify its cost. They may also have concerns that we will focus our patent acquisition efforts on patent assets that are of more benefit to our larger clients who pay us higher subscription fees. If we are unable to successfully expand our membership base to include more small and mid-size companies, our growth may slow, and our business may be harmed.</w:t>
      </w:r>
    </w:p>
    <w:p>
      <w:pPr>
        <w:spacing w:after="0" w:line="185"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investing management time and resources into developing products designed to provide insurance against NPE patent infringement claims. We have limited prior experience in designing or providing insurance products. If we are not successful in selling a significant amount of these insurance products, we will not realize the anticipated benefit of these investments, which could have an adverse effect on our growth prospects, and our business may be harmed.</w:t>
      </w:r>
    </w:p>
    <w:p>
      <w:pPr>
        <w:spacing w:after="0" w:line="32" w:lineRule="exact"/>
        <w:rPr>
          <w:sz w:val="20"/>
          <w:szCs w:val="20"/>
          <w:color w:val="auto"/>
        </w:rPr>
      </w:pPr>
    </w:p>
    <w:p>
      <w:pPr>
        <w:ind w:right="160" w:firstLine="446"/>
        <w:spacing w:after="0" w:line="255" w:lineRule="auto"/>
        <w:rPr>
          <w:sz w:val="20"/>
          <w:szCs w:val="20"/>
          <w:color w:val="auto"/>
        </w:rPr>
      </w:pPr>
      <w:r>
        <w:rPr>
          <w:rFonts w:ascii="Times New Roman" w:cs="Times New Roman" w:eastAsia="Times New Roman" w:hAnsi="Times New Roman"/>
          <w:sz w:val="18"/>
          <w:szCs w:val="18"/>
          <w:color w:val="auto"/>
        </w:rPr>
        <w:t>We are investing management time and financial resources in the development of products designed to provide insurance against some of the costs resulting from NPE patent claims. We are providing capital to develop and operate this business. We have limited prior experience in designing insurance products, operating an insurance business, attracting policyholders or establishing the pricing or terms of insurance policies and selling insurance policies in combination with membership subscriptions. We cannot assure you that our patent insurance products will appeal to a sufficient number of our existing clients or attract enough new clients to build a sustainable insurance business. If we are unsuccessful in managing this business, we may not realize the anticipated benefits of our investments of capital and management attention, which could have an adverse effect on our financial performance and growth prospects and our business may be harmed.</w:t>
      </w:r>
    </w:p>
    <w:p>
      <w:pPr>
        <w:spacing w:after="0" w:line="185"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various actuarial models in pricing our insurance product and estimating the frequency and severity of related loss events, but actual results could differ materially from the model outputs. Incurring losses that exceed our predictions could adversely affect our financial condition and results of operations.</w:t>
      </w:r>
    </w:p>
    <w:p>
      <w:pPr>
        <w:spacing w:after="0" w:line="26" w:lineRule="exact"/>
        <w:rPr>
          <w:sz w:val="20"/>
          <w:szCs w:val="20"/>
          <w:color w:val="auto"/>
        </w:rPr>
      </w:pPr>
    </w:p>
    <w:p>
      <w:pPr>
        <w:ind w:right="60" w:firstLine="446"/>
        <w:spacing w:after="0" w:line="255" w:lineRule="auto"/>
        <w:rPr>
          <w:sz w:val="20"/>
          <w:szCs w:val="20"/>
          <w:color w:val="auto"/>
        </w:rPr>
      </w:pPr>
      <w:r>
        <w:rPr>
          <w:rFonts w:ascii="Times New Roman" w:cs="Times New Roman" w:eastAsia="Times New Roman" w:hAnsi="Times New Roman"/>
          <w:sz w:val="18"/>
          <w:szCs w:val="18"/>
          <w:color w:val="auto"/>
        </w:rPr>
        <w:t>We employ various predictive modeling, stochastic modeling and/or actuarial techniques to analyze and estimate losses and the risks associated with insurance policies that we underwrite or reinsure. We use the modeled outputs and related analyses to assist us in making underwriting, pricing and reinsurance decisions. The modeled outputs and related analyses are subject to numerous assumptions, uncertainties and the inherent limitations of any statistical analysis. Consequently, modeled results may differ materially from our actual experience. If, based upon these models or otherwise, we under price our products or underestimate the frequency and/or severity of loss events, our results of operations or financial condition may be adversely affected, which could have a material adverse effect on our results of operations. If, based upon these models or otherwise, we over price our products or overestimate the risks we are exposed to, new business growth and retention of our existing business may be adversely affected.</w:t>
      </w:r>
    </w:p>
    <w:p>
      <w:pPr>
        <w:spacing w:after="0" w:line="18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26" w:lineRule="exact"/>
        <w:rPr>
          <w:sz w:val="20"/>
          <w:szCs w:val="20"/>
          <w:color w:val="auto"/>
        </w:rPr>
      </w:pPr>
    </w:p>
    <w:p>
      <w:pPr>
        <w:ind w:right="20" w:firstLine="446"/>
        <w:spacing w:after="0" w:line="261" w:lineRule="auto"/>
        <w:rPr>
          <w:sz w:val="20"/>
          <w:szCs w:val="20"/>
          <w:color w:val="auto"/>
        </w:rPr>
      </w:pPr>
      <w:r>
        <w:rPr>
          <w:rFonts w:ascii="Times New Roman" w:cs="Times New Roman" w:eastAsia="Times New Roman" w:hAnsi="Times New Roman"/>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assets we have acquired may become less valuable or obsolete before we have had the opportunity to obtain significant value from those assets.</w:t>
      </w:r>
    </w:p>
    <w:p>
      <w:pPr>
        <w:spacing w:after="0" w:line="225" w:lineRule="exact"/>
        <w:rPr>
          <w:sz w:val="20"/>
          <w:szCs w:val="20"/>
          <w:color w:val="auto"/>
        </w:rPr>
      </w:pPr>
    </w:p>
    <w:p>
      <w:pPr>
        <w:ind w:firstLine="446"/>
        <w:spacing w:after="0" w:line="266" w:lineRule="auto"/>
        <w:rPr>
          <w:sz w:val="20"/>
          <w:szCs w:val="20"/>
          <w:color w:val="auto"/>
        </w:rPr>
      </w:pPr>
      <w:r>
        <w:rPr>
          <w:rFonts w:ascii="Times New Roman" w:cs="Times New Roman" w:eastAsia="Times New Roman" w:hAnsi="Times New Roman"/>
          <w:sz w:val="18"/>
          <w:szCs w:val="18"/>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76" w:lineRule="exact"/>
        <w:rPr>
          <w:sz w:val="20"/>
          <w:szCs w:val="20"/>
          <w:color w:val="auto"/>
        </w:rPr>
      </w:pPr>
    </w:p>
    <w:p>
      <w:pPr>
        <w:jc w:val="both"/>
        <w:ind w:right="100" w:firstLine="446"/>
        <w:spacing w:after="0" w:line="261" w:lineRule="auto"/>
        <w:rPr>
          <w:sz w:val="20"/>
          <w:szCs w:val="20"/>
          <w:color w:val="auto"/>
        </w:rPr>
      </w:pPr>
      <w:r>
        <w:rPr>
          <w:rFonts w:ascii="Times New Roman" w:cs="Times New Roman" w:eastAsia="Times New Roman" w:hAnsi="Times New Roman"/>
          <w:sz w:val="18"/>
          <w:szCs w:val="18"/>
          <w:color w:val="auto"/>
        </w:rPr>
        <w:t>If clients do not perceive that the patent assets we acquire are relevant to their businesses, we will have difficulty attracting new clients and retaining existing clients, and our operating results will be harmed. Similarly, if clients are not satisfied with the amount of capital we deploy to acquire patent assets, they may choose not to renew their subscriptions. These risks are greater if we elect to invest a significant amount of our capital in only a few acquisitions of patent assets.</w:t>
      </w:r>
    </w:p>
    <w:p>
      <w:pPr>
        <w:spacing w:after="0" w:line="176"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10" w:lineRule="exact"/>
        <w:rPr>
          <w:sz w:val="20"/>
          <w:szCs w:val="20"/>
          <w:color w:val="auto"/>
        </w:rPr>
      </w:pPr>
    </w:p>
    <w:p>
      <w:pPr>
        <w:ind w:right="40" w:firstLine="446"/>
        <w:spacing w:after="0" w:line="258" w:lineRule="auto"/>
        <w:rPr>
          <w:sz w:val="20"/>
          <w:szCs w:val="20"/>
          <w:color w:val="auto"/>
        </w:rPr>
      </w:pPr>
      <w:r>
        <w:rPr>
          <w:rFonts w:ascii="Times New Roman" w:cs="Times New Roman" w:eastAsia="Times New Roman" w:hAnsi="Times New Roman"/>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84" w:lineRule="exact"/>
        <w:rPr>
          <w:sz w:val="20"/>
          <w:szCs w:val="20"/>
          <w:color w:val="auto"/>
        </w:rPr>
      </w:pPr>
    </w:p>
    <w:p>
      <w:pPr>
        <w:ind w:firstLine="446"/>
        <w:spacing w:after="0" w:line="255" w:lineRule="auto"/>
        <w:rPr>
          <w:sz w:val="20"/>
          <w:szCs w:val="20"/>
          <w:color w:val="auto"/>
        </w:rPr>
      </w:pPr>
      <w:r>
        <w:rPr>
          <w:rFonts w:ascii="Times New Roman" w:cs="Times New Roman" w:eastAsia="Times New Roman" w:hAnsi="Times New Roman"/>
          <w:sz w:val="18"/>
          <w:szCs w:val="18"/>
          <w:color w:val="auto"/>
        </w:rPr>
        <w:t>In addition to competing for new clients, we also compete to acquire patent assets. Our primary competitors in the market for patent assets are varied and include other entities that seek to accumulate patent assets, including NPEs such as Acacia Research, Intellectual Ventures and IP Navigation. Many of our current or potential competitors have longer operating histories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 Many of these operating companies have significantly greater financial resources than we have and can acquire patent assets at prices that we may not be able to pay.</w:t>
      </w:r>
    </w:p>
    <w:p>
      <w:pPr>
        <w:spacing w:after="0" w:line="189" w:lineRule="exact"/>
        <w:rPr>
          <w:sz w:val="20"/>
          <w:szCs w:val="20"/>
          <w:color w:val="auto"/>
        </w:rPr>
      </w:pPr>
    </w:p>
    <w:p>
      <w:pPr>
        <w:ind w:firstLine="446"/>
        <w:spacing w:after="0" w:line="266" w:lineRule="auto"/>
        <w:rPr>
          <w:sz w:val="20"/>
          <w:szCs w:val="20"/>
          <w:color w:val="auto"/>
        </w:rPr>
      </w:pPr>
      <w:r>
        <w:rPr>
          <w:rFonts w:ascii="Times New Roman" w:cs="Times New Roman" w:eastAsia="Times New Roman" w:hAnsi="Times New Roman"/>
          <w:sz w:val="18"/>
          <w:szCs w:val="18"/>
          <w:color w:val="auto"/>
        </w:rPr>
        <w:t>We expect to face more direct competition in the future from other established and emerging companies. In addition, as a relatively new company in the patent risk management market, we have limited insight into trends that may develop and affect our business. As a result, we may make errors in predicting and reacting to relevant business trends, making us unable to compete effectively against others.</w:t>
      </w:r>
    </w:p>
    <w:p>
      <w:pPr>
        <w:spacing w:after="0" w:line="176" w:lineRule="exact"/>
        <w:rPr>
          <w:sz w:val="20"/>
          <w:szCs w:val="20"/>
          <w:color w:val="auto"/>
        </w:rPr>
      </w:pPr>
    </w:p>
    <w:p>
      <w:pPr>
        <w:ind w:right="160" w:firstLine="446"/>
        <w:spacing w:after="0" w:line="258" w:lineRule="auto"/>
        <w:rPr>
          <w:sz w:val="20"/>
          <w:szCs w:val="20"/>
          <w:color w:val="auto"/>
        </w:rPr>
      </w:pPr>
      <w:r>
        <w:rPr>
          <w:rFonts w:ascii="Times New Roman" w:cs="Times New Roman" w:eastAsia="Times New Roman" w:hAnsi="Times New Roman"/>
          <w:sz w:val="18"/>
          <w:szCs w:val="18"/>
          <w:color w:val="auto"/>
        </w:rPr>
        <w:t>Our current or potential competitors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acquisitions of patent assets are time consuming, complex and costly, which could adversely affect our operating results.</w:t>
      </w:r>
    </w:p>
    <w:p>
      <w:pPr>
        <w:spacing w:after="0" w:line="81" w:lineRule="exact"/>
        <w:rPr>
          <w:sz w:val="20"/>
          <w:szCs w:val="20"/>
          <w:color w:val="auto"/>
        </w:rPr>
      </w:pPr>
    </w:p>
    <w:p>
      <w:pPr>
        <w:ind w:right="100" w:firstLine="446"/>
        <w:spacing w:after="0" w:line="255" w:lineRule="auto"/>
        <w:rPr>
          <w:sz w:val="20"/>
          <w:szCs w:val="20"/>
          <w:color w:val="auto"/>
        </w:rPr>
      </w:pPr>
      <w:r>
        <w:rPr>
          <w:rFonts w:ascii="Times New Roman" w:cs="Times New Roman" w:eastAsia="Times New Roman" w:hAnsi="Times New Roman"/>
          <w:sz w:val="18"/>
          <w:szCs w:val="18"/>
          <w:color w:val="auto"/>
        </w:rPr>
        <w:t>Certain of our acquisitions of patent assets are time consuming, complex and costly to consummate. We utilize many different transaction structures in our acquisitions and the terms of the acquisition agreements tend to be very heavily negotiated. As a result, we may incur significant operating expenses during the negotiations even where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189" w:lineRule="exact"/>
        <w:rPr>
          <w:sz w:val="20"/>
          <w:szCs w:val="20"/>
          <w:color w:val="auto"/>
        </w:rPr>
      </w:pPr>
    </w:p>
    <w:p>
      <w:pPr>
        <w:ind w:right="120" w:firstLine="446"/>
        <w:spacing w:after="0" w:line="256" w:lineRule="auto"/>
        <w:rPr>
          <w:sz w:val="20"/>
          <w:szCs w:val="20"/>
          <w:color w:val="auto"/>
        </w:rPr>
      </w:pPr>
      <w:r>
        <w:rPr>
          <w:rFonts w:ascii="Times New Roman" w:cs="Times New Roman" w:eastAsia="Times New Roman" w:hAnsi="Times New Roman"/>
          <w:sz w:val="18"/>
          <w:szCs w:val="18"/>
          <w:color w:val="auto"/>
        </w:rPr>
        <w:t>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syndicated acquisitions are complex and can be large and high profile. We may incur significant costs to organize and negotiate a syndicated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10"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If Congress, the U.S.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or risk of bringing patent enforcement actions. As a result, assertions and the threat of assertions by NPEs may decrease. If this occurs, companies may seek to resolve patent claims on an individual basis and be less willing to subscribe to our solution or renew their memberships. Furthermore, even if companies are interested in subscribing to our solution or maintaining their memberships, companies may be unwilling to pay the subscription fees that we propose. Any of these events could result in a material adverse effect on our business and operating results.</w:t>
      </w:r>
    </w:p>
    <w:p>
      <w:pPr>
        <w:spacing w:after="0" w:line="18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is new and complex, requiring estimates and judgments by our management. Our estimates and judgments are subject to changes that could adversely affect our operating results.</w:t>
      </w:r>
    </w:p>
    <w:p>
      <w:pPr>
        <w:spacing w:after="0" w:line="10" w:lineRule="exact"/>
        <w:rPr>
          <w:sz w:val="20"/>
          <w:szCs w:val="20"/>
          <w:color w:val="auto"/>
        </w:rPr>
      </w:pPr>
    </w:p>
    <w:p>
      <w:pPr>
        <w:ind w:right="80" w:firstLine="446"/>
        <w:spacing w:after="0" w:line="255" w:lineRule="auto"/>
        <w:rPr>
          <w:sz w:val="20"/>
          <w:szCs w:val="20"/>
          <w:color w:val="auto"/>
        </w:rPr>
      </w:pPr>
      <w:r>
        <w:rPr>
          <w:rFonts w:ascii="Times New Roman" w:cs="Times New Roman" w:eastAsia="Times New Roman" w:hAnsi="Times New Roman"/>
          <w:sz w:val="18"/>
          <w:szCs w:val="18"/>
          <w:color w:val="auto"/>
        </w:rPr>
        <w:t>Our patent risk management business model is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be required to spend considerable time and expense defending our position and we may be unable to successfully defend our accounting or tax treatment, any of which could adversely affect our business and operating results.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continue to increase our operating expenses to support and expand our operations, and those increased expenses may negatively impact our profitability.</w:t>
      </w:r>
    </w:p>
    <w:p>
      <w:pPr>
        <w:spacing w:after="0" w:line="10" w:lineRule="exact"/>
        <w:rPr>
          <w:sz w:val="20"/>
          <w:szCs w:val="20"/>
          <w:color w:val="auto"/>
        </w:rPr>
      </w:pPr>
    </w:p>
    <w:p>
      <w:pPr>
        <w:ind w:right="80" w:firstLine="446"/>
        <w:spacing w:after="0" w:line="256" w:lineRule="auto"/>
        <w:rPr>
          <w:sz w:val="20"/>
          <w:szCs w:val="20"/>
          <w:color w:val="auto"/>
        </w:rPr>
      </w:pPr>
      <w:r>
        <w:rPr>
          <w:rFonts w:ascii="Times New Roman" w:cs="Times New Roman" w:eastAsia="Times New Roman" w:hAnsi="Times New Roman"/>
          <w:sz w:val="18"/>
          <w:szCs w:val="18"/>
          <w:color w:val="auto"/>
        </w:rPr>
        <w:t>We expect to increase future expenditures to develop and expand our business, including making substantial expenditures to develop new solutions. To further one of those new solutions, in August 2012 we formed a risk retention group which issues insurance policies to cover the costs of NPE patent claims, and in March 2014 we formed a reinsurance company to bear some underwriting risk on insurance policies that the Company issues on behalf of a Lloyd’s of London underwriting syndicate. We began placing new policies under the reinsurance model in May 2014. Developing and offering these new solutions may cause us to incur substantial additional operating expenses. Our efforts to develop this and other new solutions will result in an increase in our operating expenses with no assurance that such solutions will result in additional revenue that is sufficient to offset the additional expenses we incur.</w:t>
      </w:r>
    </w:p>
    <w:p>
      <w:pPr>
        <w:spacing w:after="0" w:line="188" w:lineRule="exact"/>
        <w:rPr>
          <w:sz w:val="20"/>
          <w:szCs w:val="20"/>
          <w:color w:val="auto"/>
        </w:rPr>
      </w:pPr>
    </w:p>
    <w:p>
      <w:pPr>
        <w:jc w:val="both"/>
        <w:ind w:right="40" w:firstLine="446"/>
        <w:spacing w:after="0" w:line="266" w:lineRule="auto"/>
        <w:rPr>
          <w:sz w:val="20"/>
          <w:szCs w:val="20"/>
          <w:color w:val="auto"/>
        </w:rPr>
      </w:pPr>
      <w:r>
        <w:rPr>
          <w:rFonts w:ascii="Times New Roman" w:cs="Times New Roman" w:eastAsia="Times New Roman" w:hAnsi="Times New Roman"/>
          <w:sz w:val="18"/>
          <w:szCs w:val="18"/>
          <w:color w:val="auto"/>
        </w:rPr>
        <w:t>We also plan to incur additional operating expenses as we hire new personnel. Because we intend to continue to hire, we expect our operating expenses to increase. If we are not successful in generating additional revenue that is sufficient to offset these operating expense increases, our operating results may be harmed.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Following the launch of insurance products for NPE patent infringement claims, we now face the risks associated with operating an insurance business.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these risks, our results of operations and financial condition may be adversely affected.</w:t>
      </w:r>
    </w:p>
    <w:p>
      <w:pPr>
        <w:spacing w:after="0" w:line="58" w:lineRule="exact"/>
        <w:rPr>
          <w:sz w:val="20"/>
          <w:szCs w:val="20"/>
          <w:color w:val="auto"/>
        </w:rPr>
      </w:pPr>
    </w:p>
    <w:p>
      <w:pPr>
        <w:ind w:firstLine="446"/>
        <w:spacing w:after="0" w:line="254" w:lineRule="auto"/>
        <w:rPr>
          <w:sz w:val="20"/>
          <w:szCs w:val="20"/>
          <w:color w:val="auto"/>
        </w:rPr>
      </w:pPr>
      <w:r>
        <w:rPr>
          <w:rFonts w:ascii="Times New Roman" w:cs="Times New Roman" w:eastAsia="Times New Roman" w:hAnsi="Times New Roman"/>
          <w:sz w:val="18"/>
          <w:szCs w:val="18"/>
          <w:color w:val="auto"/>
        </w:rPr>
        <w:t>In August 2012, we began to offer insurance products for NPE patent claims, and therefore face new risks associated with the operation of an insurance business. We have no prior experience in operating an insurance business, which includes assuming underwriting and reinsurance risk and setting premiums. There are many estimates and forecasts involved in predicting underwriting and reinsurance risk and setting premiums, many of which are subject to substantial uncertainty and which could cause our expenses and earnings to vary significantly from quarter to quarter. If we do not estimate our underwriting and reinsurance risks and set our premiums successfully, we may incur larger losses on our policies than we expect, which could have an adverse effect on our results of operations and financial condition. Under accounting principles generally accepted in the United States of America, while premiums earned from our insurance policies are recognized ratably, losses are recognized as incurred. This will increase the variability of our operating results until such time as our insurance business operates at scale. Furthermore, the insurance market is highly regulated, so operation of an insurance business will expose us to additional laws and regulations. Compliance with such laws and regulations may be costly, which could affect our results of operations.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10" w:lineRule="exact"/>
        <w:rPr>
          <w:sz w:val="20"/>
          <w:szCs w:val="20"/>
          <w:color w:val="auto"/>
        </w:rPr>
      </w:pPr>
    </w:p>
    <w:p>
      <w:pPr>
        <w:ind w:right="200" w:firstLine="446"/>
        <w:spacing w:after="0" w:line="261" w:lineRule="auto"/>
        <w:rPr>
          <w:sz w:val="20"/>
          <w:szCs w:val="20"/>
          <w:color w:val="auto"/>
        </w:rPr>
      </w:pPr>
      <w:r>
        <w:rPr>
          <w:rFonts w:ascii="Times New Roman" w:cs="Times New Roman" w:eastAsia="Times New Roman" w:hAnsi="Times New Roman"/>
          <w:sz w:val="18"/>
          <w:szCs w:val="18"/>
          <w:color w:val="auto"/>
        </w:rPr>
        <w:t>In order to attract new clients and retain existing clients, we need to enhance and improve our existing solution and introduce new solutions that meet the needs of our clients. We have in the past, and may in the future, seek to acquire or invest in businesses, products or technologies that we believe could complement or expand our service offerings, enhance our technical capabilities or otherwise offer growth opportunities. For example, we recently acquired DCML Services Corporation, a provider of data, intelligence and consulting on NPEs.</w:t>
      </w:r>
    </w:p>
    <w:p>
      <w:pPr>
        <w:spacing w:after="0" w:line="180" w:lineRule="exact"/>
        <w:rPr>
          <w:sz w:val="20"/>
          <w:szCs w:val="20"/>
          <w:color w:val="auto"/>
        </w:rPr>
      </w:pPr>
    </w:p>
    <w:p>
      <w:pPr>
        <w:ind w:firstLine="446"/>
        <w:spacing w:after="0" w:line="256" w:lineRule="auto"/>
        <w:rPr>
          <w:sz w:val="20"/>
          <w:szCs w:val="20"/>
          <w:color w:val="auto"/>
        </w:rPr>
      </w:pPr>
      <w:r>
        <w:rPr>
          <w:rFonts w:ascii="Times New Roman" w:cs="Times New Roman" w:eastAsia="Times New Roman" w:hAnsi="Times New Roman"/>
          <w:sz w:val="18"/>
          <w:szCs w:val="18"/>
          <w:color w:val="auto"/>
        </w:rPr>
        <w:t>The development and implementation of new solutions will continue to require substantial time and resources, as well as require us to operate businesses that would be new to our organization. These or any other new solutions may not be introduced in a timely 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1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10" w:lineRule="exact"/>
        <w:rPr>
          <w:sz w:val="20"/>
          <w:szCs w:val="20"/>
          <w:color w:val="auto"/>
        </w:rPr>
      </w:pPr>
    </w:p>
    <w:p>
      <w:pPr>
        <w:ind w:right="280" w:firstLine="446"/>
        <w:spacing w:after="0" w:line="261" w:lineRule="auto"/>
        <w:rPr>
          <w:sz w:val="20"/>
          <w:szCs w:val="20"/>
          <w:color w:val="auto"/>
        </w:rPr>
      </w:pPr>
      <w:r>
        <w:rPr>
          <w:rFonts w:ascii="Times New Roman" w:cs="Times New Roman" w:eastAsia="Times New Roman" w:hAnsi="Times New Roman"/>
          <w:sz w:val="18"/>
          <w:szCs w:val="18"/>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0" w:lineRule="exact"/>
        <w:rPr>
          <w:sz w:val="20"/>
          <w:szCs w:val="20"/>
          <w:color w:val="auto"/>
        </w:rPr>
      </w:pPr>
    </w:p>
    <w:p>
      <w:pPr>
        <w:ind w:right="60" w:firstLine="446"/>
        <w:spacing w:after="0" w:line="258"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products or technologies that we believe could complement or expand our client offerings,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We may not be able to integrate the acquired personnel, operations and technologies successfully or effectively manage the combined business following the completion of the acquisition.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not achieve the anticipated benefits from a business acquisition due to a number of factors, including:</w:t>
      </w:r>
    </w:p>
    <w:p>
      <w:pPr>
        <w:spacing w:after="0" w:line="63" w:lineRule="exact"/>
        <w:rPr>
          <w:sz w:val="20"/>
          <w:szCs w:val="20"/>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operations, technologies, services and personnel;</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acquisition-related costs;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legal, financial and accounting challenges and complexities in areas such as tax planning, cash management and financial reporting;</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parts of our business; and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substantial portions of our available cash to consummate the acquisition.</w:t>
      </w:r>
    </w:p>
    <w:p>
      <w:pPr>
        <w:spacing w:after="0" w:line="225" w:lineRule="exact"/>
        <w:rPr>
          <w:sz w:val="20"/>
          <w:szCs w:val="20"/>
          <w:color w:val="auto"/>
        </w:rPr>
      </w:pPr>
    </w:p>
    <w:p>
      <w:pPr>
        <w:ind w:right="460" w:firstLine="446"/>
        <w:spacing w:after="0" w:line="282" w:lineRule="auto"/>
        <w:rPr>
          <w:sz w:val="20"/>
          <w:szCs w:val="20"/>
          <w:color w:val="auto"/>
        </w:rPr>
      </w:pPr>
      <w:r>
        <w:rPr>
          <w:rFonts w:ascii="Times New Roman" w:cs="Times New Roman" w:eastAsia="Times New Roman" w:hAnsi="Times New Roman"/>
          <w:sz w:val="18"/>
          <w:szCs w:val="18"/>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patent or other litigation proceedings related to our clients. Our involvement could cause us to expend significant resources.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could also require us to disclose information related to our clients, which could cause such clients not to renew their subscriptions with us.</w:t>
      </w:r>
    </w:p>
    <w:p>
      <w:pPr>
        <w:spacing w:after="0" w:line="58" w:lineRule="exact"/>
        <w:rPr>
          <w:sz w:val="20"/>
          <w:szCs w:val="20"/>
          <w:color w:val="auto"/>
        </w:rPr>
      </w:pPr>
    </w:p>
    <w:p>
      <w:pPr>
        <w:ind w:right="80" w:firstLine="446"/>
        <w:spacing w:after="0" w:line="256" w:lineRule="auto"/>
        <w:rPr>
          <w:sz w:val="20"/>
          <w:szCs w:val="20"/>
          <w:color w:val="auto"/>
        </w:rPr>
      </w:pPr>
      <w:r>
        <w:rPr>
          <w:rFonts w:ascii="Times New Roman" w:cs="Times New Roman" w:eastAsia="Times New Roman" w:hAnsi="Times New Roman"/>
          <w:sz w:val="18"/>
          <w:szCs w:val="18"/>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We may incur significant costs in defending claims made against us and the result may not be favorable.</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 unfavorable outcome of any claim could result in proliferation of similar claims against us. The expense and disclosure associated with our involvement in litigation could have an adverse effect on our business, prospects, financial condition, operating results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Interpretations of current laws and the passage of future laws could harm our business and operating results.</w:t>
      </w:r>
    </w:p>
    <w:p>
      <w:pPr>
        <w:spacing w:after="0" w:line="81" w:lineRule="exact"/>
        <w:rPr>
          <w:sz w:val="20"/>
          <w:szCs w:val="20"/>
          <w:color w:val="auto"/>
        </w:rPr>
      </w:pPr>
    </w:p>
    <w:p>
      <w:pPr>
        <w:ind w:right="20" w:firstLine="446"/>
        <w:spacing w:after="0" w:line="254" w:lineRule="auto"/>
        <w:rPr>
          <w:sz w:val="20"/>
          <w:szCs w:val="20"/>
          <w:color w:val="auto"/>
        </w:rPr>
      </w:pPr>
      <w:r>
        <w:rPr>
          <w:rFonts w:ascii="Times New Roman" w:cs="Times New Roman" w:eastAsia="Times New Roman" w:hAnsi="Times New Roman"/>
          <w:sz w:val="18"/>
          <w:szCs w:val="18"/>
          <w:color w:val="auto"/>
        </w:rPr>
        <w:t>Because of our limited operating history and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89" w:lineRule="exact"/>
        <w:rPr>
          <w:sz w:val="20"/>
          <w:szCs w:val="20"/>
          <w:color w:val="auto"/>
        </w:rPr>
      </w:pPr>
    </w:p>
    <w:p>
      <w:pPr>
        <w:ind w:right="180" w:firstLine="446"/>
        <w:spacing w:after="0" w:line="261" w:lineRule="auto"/>
        <w:rPr>
          <w:sz w:val="20"/>
          <w:szCs w:val="20"/>
          <w:color w:val="auto"/>
        </w:rPr>
      </w:pPr>
      <w:r>
        <w:rPr>
          <w:rFonts w:ascii="Times New Roman" w:cs="Times New Roman" w:eastAsia="Times New Roman" w:hAnsi="Times New Roman"/>
          <w:sz w:val="18"/>
          <w:szCs w:val="18"/>
          <w:color w:val="auto"/>
        </w:rPr>
        <w:t>Additionally, we face risks from laws that could be passed in the future.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7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receive a significant amount of our revenues from a limited number of clients, and if we are not able to obtain membership renewals from these clients, our revenue may decrease substantially.</w:t>
      </w:r>
    </w:p>
    <w:p>
      <w:pPr>
        <w:spacing w:after="0" w:line="10" w:lineRule="exact"/>
        <w:rPr>
          <w:sz w:val="20"/>
          <w:szCs w:val="20"/>
          <w:color w:val="auto"/>
        </w:rPr>
      </w:pPr>
    </w:p>
    <w:p>
      <w:pPr>
        <w:ind w:right="40" w:firstLine="446"/>
        <w:spacing w:after="0" w:line="261" w:lineRule="auto"/>
        <w:rPr>
          <w:sz w:val="20"/>
          <w:szCs w:val="20"/>
          <w:color w:val="auto"/>
        </w:rPr>
      </w:pPr>
      <w:r>
        <w:rPr>
          <w:rFonts w:ascii="Times New Roman" w:cs="Times New Roman" w:eastAsia="Times New Roman" w:hAnsi="Times New Roman"/>
          <w:sz w:val="18"/>
          <w:szCs w:val="18"/>
          <w:color w:val="auto"/>
        </w:rPr>
        <w:t>We receive a significant amount of our revenue from a limited number of clients. For example, during the nine months ended September 30, 2014, our 10 highest revenue-generating clients accounted for approximately 28% of our total revenue. We expect that a significant portion of our revenue will continue to come from a relatively small number of clients for the foreseeable future. If any of these clients chooses not to renew its membership, or if our subscription fees from one of these clients decline, our revenue may correspondingly decrease and our operating results may be adversely affected.</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10" w:lineRule="exact"/>
        <w:rPr>
          <w:sz w:val="20"/>
          <w:szCs w:val="20"/>
          <w:color w:val="auto"/>
        </w:rPr>
      </w:pPr>
    </w:p>
    <w:p>
      <w:pPr>
        <w:ind w:right="180" w:firstLine="446"/>
        <w:spacing w:after="0" w:line="258" w:lineRule="auto"/>
        <w:rPr>
          <w:sz w:val="20"/>
          <w:szCs w:val="20"/>
          <w:color w:val="auto"/>
        </w:rPr>
      </w:pPr>
      <w:r>
        <w:rPr>
          <w:rFonts w:ascii="Times New Roman" w:cs="Times New Roman" w:eastAsia="Times New Roman" w:hAnsi="Times New Roman"/>
          <w:sz w:val="18"/>
          <w:szCs w:val="18"/>
          <w:color w:val="auto"/>
        </w:rPr>
        <w:t>Our business is dependent on our ability to acquire patent assets that are valuable to our existing and potential clients. Following the acquisition of patent assets, we expend significant time and resources to maintain the effectiveness of those assets by paying maintenance fees and making filings with the United States Patent and Trademark Office. In some cases, the patent assets we acquire include patent applications which require us to invest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widespread brand awareness cost-effectively, we may not attract new clients and our business and operating results may suffer.</w:t>
      </w:r>
    </w:p>
    <w:p>
      <w:pPr>
        <w:spacing w:after="0" w:line="81" w:lineRule="exact"/>
        <w:rPr>
          <w:sz w:val="20"/>
          <w:szCs w:val="20"/>
          <w:color w:val="auto"/>
        </w:rPr>
      </w:pPr>
    </w:p>
    <w:p>
      <w:pPr>
        <w:ind w:right="20" w:firstLine="446"/>
        <w:spacing w:after="0" w:line="256" w:lineRule="auto"/>
        <w:rPr>
          <w:sz w:val="20"/>
          <w:szCs w:val="20"/>
          <w:color w:val="auto"/>
        </w:rPr>
      </w:pPr>
      <w:r>
        <w:rPr>
          <w:rFonts w:ascii="Times New Roman" w:cs="Times New Roman" w:eastAsia="Times New Roman" w:hAnsi="Times New Roman"/>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1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10" w:lineRule="exact"/>
        <w:rPr>
          <w:sz w:val="20"/>
          <w:szCs w:val="20"/>
          <w:color w:val="auto"/>
        </w:rPr>
      </w:pPr>
    </w:p>
    <w:p>
      <w:pPr>
        <w:ind w:right="160" w:firstLine="446"/>
        <w:spacing w:after="0" w:line="261"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identify, attract, train, integrate and retain highly qualified employees would harm our business.</w:t>
      </w:r>
    </w:p>
    <w:p>
      <w:pPr>
        <w:spacing w:after="0" w:line="81" w:lineRule="exact"/>
        <w:rPr>
          <w:sz w:val="20"/>
          <w:szCs w:val="20"/>
          <w:color w:val="auto"/>
        </w:rPr>
      </w:pPr>
    </w:p>
    <w:p>
      <w:pPr>
        <w:ind w:right="80" w:firstLine="446"/>
        <w:spacing w:after="0" w:line="255" w:lineRule="auto"/>
        <w:rPr>
          <w:sz w:val="20"/>
          <w:szCs w:val="20"/>
          <w:color w:val="auto"/>
        </w:rPr>
      </w:pPr>
      <w:r>
        <w:rPr>
          <w:rFonts w:ascii="Times New Roman" w:cs="Times New Roman" w:eastAsia="Times New Roman" w:hAnsi="Times New Roman"/>
          <w:sz w:val="18"/>
          <w:szCs w:val="18"/>
          <w:color w:val="auto"/>
        </w:rPr>
        <w:t>Our future success depends on our ability to identify, attract, train, integrate and retain highly qualified technical, sales and marketing, managerial and administrative personnel. In particular, our ability to increase our revenue is dependent on our ability to hire personnel who can identify and acquire valuable patent assets and attract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10" w:lineRule="exact"/>
        <w:rPr>
          <w:sz w:val="20"/>
          <w:szCs w:val="20"/>
          <w:color w:val="auto"/>
        </w:rPr>
      </w:pPr>
    </w:p>
    <w:p>
      <w:pPr>
        <w:ind w:right="20" w:firstLine="446"/>
        <w:spacing w:after="0" w:line="254" w:lineRule="auto"/>
        <w:rPr>
          <w:sz w:val="20"/>
          <w:szCs w:val="20"/>
          <w:color w:val="auto"/>
        </w:rPr>
      </w:pPr>
      <w:r>
        <w:rPr>
          <w:rFonts w:ascii="Times New Roman" w:cs="Times New Roman" w:eastAsia="Times New Roman" w:hAnsi="Times New Roman"/>
          <w:sz w:val="18"/>
          <w:szCs w:val="18"/>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of 2002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of 2002. Our compliance with Section 404 requires that we incur substantial accounting expense and expend significant management time on compliance-related issues. While neither we nor our independent registered public accounting firm have identified deficiencies in our internal control over financial reporting that are deemed to be material weaknesses, there can be no assurance that material weaknesses will not subsequently be identified.</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Weak global economic conditions may adversely affect demand for our solution or fees payable under our subscription agreements, which could adversely affect our financial condition and operating results.</w:t>
      </w:r>
    </w:p>
    <w:p>
      <w:pPr>
        <w:spacing w:after="0" w:line="10" w:lineRule="exact"/>
        <w:rPr>
          <w:sz w:val="20"/>
          <w:szCs w:val="20"/>
          <w:color w:val="auto"/>
        </w:rPr>
      </w:pPr>
    </w:p>
    <w:p>
      <w:pPr>
        <w:ind w:right="80" w:firstLine="446"/>
        <w:spacing w:after="0" w:line="256" w:lineRule="auto"/>
        <w:rPr>
          <w:sz w:val="20"/>
          <w:szCs w:val="20"/>
          <w:color w:val="auto"/>
        </w:rPr>
      </w:pPr>
      <w:r>
        <w:rPr>
          <w:rFonts w:ascii="Times New Roman" w:cs="Times New Roman" w:eastAsia="Times New Roman" w:hAnsi="Times New Roman"/>
          <w:sz w:val="18"/>
          <w:szCs w:val="18"/>
          <w:color w:val="auto"/>
        </w:rPr>
        <w:t>Our operations and performance depend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public company, we incur significant increased costs that may adversely affect our operating results and financial condition.</w:t>
      </w:r>
    </w:p>
    <w:p>
      <w:pPr>
        <w:spacing w:after="0" w:line="81" w:lineRule="exact"/>
        <w:rPr>
          <w:sz w:val="20"/>
          <w:szCs w:val="20"/>
          <w:color w:val="auto"/>
        </w:rPr>
      </w:pPr>
    </w:p>
    <w:p>
      <w:pPr>
        <w:ind w:right="80" w:firstLine="446"/>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accounting, legal and other expenses that we did not incur as a private company, including costs associated with our public company reporting requirements. We have also incurred, and anticipate that we will continue to incur, costs associated with corporate governance requirements, including requirements under the Sarbanes-Oxley Act of 2002 and the Dodd-Frank Wall Street Reform and Consumer Protection Act, as well as rules implemented by the SEC and the NASDAQ Stock Market. Furthermore,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on our board committees or as executive officers.</w:t>
      </w:r>
    </w:p>
    <w:p>
      <w:pPr>
        <w:spacing w:after="0" w:line="189" w:lineRule="exact"/>
        <w:rPr>
          <w:sz w:val="20"/>
          <w:szCs w:val="20"/>
          <w:color w:val="auto"/>
        </w:rPr>
      </w:pPr>
    </w:p>
    <w:p>
      <w:pPr>
        <w:ind w:right="140" w:firstLine="446"/>
        <w:spacing w:after="0" w:line="261" w:lineRule="auto"/>
        <w:rPr>
          <w:sz w:val="20"/>
          <w:szCs w:val="20"/>
          <w:color w:val="auto"/>
        </w:rPr>
      </w:pPr>
      <w:r>
        <w:rPr>
          <w:rFonts w:ascii="Times New Roman" w:cs="Times New Roman" w:eastAsia="Times New Roman" w:hAnsi="Times New Roman"/>
          <w:sz w:val="18"/>
          <w:szCs w:val="18"/>
          <w:color w:val="auto"/>
        </w:rPr>
        <w:t>We are investing resources to comply with evolving laws and regulations, and this investment may result in increased general and administrative expenses and a diversion of management’s time and attention from revenue-generating activities to compliance activities. Such increased expenses, the difficulty of attracting and retaining qualified officers and directors, and the diversion of management’s attention could adversely affect our operating results and financial condition.</w:t>
      </w:r>
    </w:p>
    <w:p>
      <w:pPr>
        <w:spacing w:after="0" w:line="176" w:lineRule="exact"/>
        <w:rPr>
          <w:sz w:val="20"/>
          <w:szCs w:val="20"/>
          <w:color w:val="auto"/>
        </w:rPr>
      </w:pPr>
    </w:p>
    <w:p>
      <w:pPr>
        <w:jc w:val="both"/>
        <w:ind w:right="6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26" w:lineRule="exact"/>
        <w:rPr>
          <w:sz w:val="20"/>
          <w:szCs w:val="20"/>
          <w:color w:val="auto"/>
        </w:rPr>
      </w:pPr>
    </w:p>
    <w:p>
      <w:pPr>
        <w:ind w:right="520" w:firstLine="446"/>
        <w:spacing w:after="0" w:line="261"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to respond to business challenges, including the need to acquire patent assets,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20"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 which could have an adverse effect on our business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could vary as a result of the methods, estimates and judgments we use in applying our accounting policies.</w:t>
      </w:r>
    </w:p>
    <w:p>
      <w:pPr>
        <w:spacing w:after="0" w:line="8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continue offering an “A” rated NPE insurance product.</w:t>
      </w:r>
    </w:p>
    <w:p>
      <w:pPr>
        <w:spacing w:after="0" w:line="81"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In May 2014, we began offering an “A” rated NPE insurance product. If we are unable to maintain our relationship with one or more “A” rated insurance companies, we may be unable to continue offering an “A” rated NPE insurance product, which could have an adverse effect on new insurance business growth and retention of our existing insurance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 coverage may not be available to us in the future at commercially reasonable rates or at all.</w:t>
      </w:r>
    </w:p>
    <w:p>
      <w:pPr>
        <w:spacing w:after="0" w:line="81" w:lineRule="exact"/>
        <w:rPr>
          <w:sz w:val="20"/>
          <w:szCs w:val="20"/>
          <w:color w:val="auto"/>
        </w:rPr>
      </w:pPr>
    </w:p>
    <w:p>
      <w:pPr>
        <w:ind w:right="120" w:firstLine="446"/>
        <w:spacing w:after="0" w:line="256" w:lineRule="auto"/>
        <w:rPr>
          <w:sz w:val="20"/>
          <w:szCs w:val="20"/>
          <w:color w:val="auto"/>
        </w:rPr>
      </w:pPr>
      <w:r>
        <w:rPr>
          <w:rFonts w:ascii="Times New Roman" w:cs="Times New Roman" w:eastAsia="Times New Roman" w:hAnsi="Times New Roman"/>
          <w:sz w:val="18"/>
          <w:szCs w:val="18"/>
          <w:color w:val="auto"/>
        </w:rPr>
        <w:t>As of September 30, 2014, we had secured quota share reinsurance for 50% of the risk underwritten through our risk retention group. In addition, we act as reinsurer for a portion of the risk underwritten through our "A" rated NPE insurance product. The availability and cost of reinsurance that we purchase are subject to prevailing market conditions that are beyond our control. No assurances can be made that reinsurance will remain continuously available to us in amounts that we consider sufficient and at rates that we consider acceptable, which would cause us to increase the amount of risk we retain, reduce the amount of business we underwrite or look for alternatives to reinsurance. This, in turn, could have a material adverse effect on our financial condition or results of operations.</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10" w:lineRule="exact"/>
        <w:rPr>
          <w:sz w:val="20"/>
          <w:szCs w:val="20"/>
          <w:color w:val="auto"/>
        </w:rPr>
      </w:pPr>
    </w:p>
    <w:p>
      <w:pPr>
        <w:ind w:right="140" w:firstLine="446"/>
        <w:spacing w:after="0" w:line="256" w:lineRule="auto"/>
        <w:rPr>
          <w:sz w:val="20"/>
          <w:szCs w:val="20"/>
          <w:color w:val="auto"/>
        </w:rPr>
      </w:pPr>
      <w:r>
        <w:rPr>
          <w:rFonts w:ascii="Times New Roman" w:cs="Times New Roman" w:eastAsia="Times New Roman" w:hAnsi="Times New Roman"/>
          <w:sz w:val="18"/>
          <w:szCs w:val="18"/>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 and on our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7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10" w:lineRule="exact"/>
        <w:rPr>
          <w:sz w:val="20"/>
          <w:szCs w:val="20"/>
          <w:color w:val="auto"/>
        </w:rPr>
      </w:pPr>
    </w:p>
    <w:p>
      <w:pPr>
        <w:ind w:right="40" w:firstLine="446"/>
        <w:spacing w:after="0" w:line="261" w:lineRule="auto"/>
        <w:rPr>
          <w:sz w:val="20"/>
          <w:szCs w:val="20"/>
          <w:color w:val="auto"/>
        </w:rPr>
      </w:pPr>
      <w:r>
        <w:rPr>
          <w:rFonts w:ascii="Times New Roman" w:cs="Times New Roman" w:eastAsia="Times New Roman" w:hAnsi="Times New Roman"/>
          <w:sz w:val="18"/>
          <w:szCs w:val="18"/>
          <w:color w:val="auto"/>
        </w:rPr>
        <w:t>Since our initial public offering in May 2011, our stock price has traded as high as $31.41 per share and as low as $8.55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Quarterly Report on Form 10-Q and others such as:</w:t>
      </w:r>
    </w:p>
    <w:p>
      <w:pPr>
        <w:spacing w:after="0" w:line="18" w:lineRule="exact"/>
        <w:rPr>
          <w:sz w:val="20"/>
          <w:szCs w:val="20"/>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condition and operating results;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estimates of our operating results or changes in recommendations by any securities analysts that elect to follow our common stock;</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loss of significant clients;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06" w:lineRule="exact"/>
        <w:rPr>
          <w:sz w:val="20"/>
          <w:szCs w:val="20"/>
          <w:color w:val="auto"/>
        </w:rPr>
      </w:pPr>
    </w:p>
    <w:p>
      <w:pPr>
        <w:ind w:left="820" w:right="800" w:hanging="326"/>
        <w:spacing w:after="0" w:line="281"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or modification of laws, regulations, policies, procedures or programs applicable to our business, including those related to the enforcement of patent claims;</w:t>
      </w:r>
    </w:p>
    <w:p>
      <w:pPr>
        <w:spacing w:after="0" w:line="1" w:lineRule="exact"/>
        <w:rPr>
          <w:rFonts w:ascii="Times New Roman" w:cs="Times New Roman" w:eastAsia="Times New Roman" w:hAnsi="Times New Roman"/>
          <w:sz w:val="18"/>
          <w:szCs w:val="18"/>
          <w:color w:val="auto"/>
        </w:rPr>
      </w:pPr>
    </w:p>
    <w:p>
      <w:pPr>
        <w:ind w:left="820" w:right="60" w:hanging="326"/>
        <w:spacing w:after="0" w:line="281"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products and services, acquisitions, strategic alliances or significant agreements by us or by our competitors;</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members of our Board of Directors, management team or other key personnel;</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and the economy as a whole;</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or resulting from inconsistent trading volume levels of our shares;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and</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opening or closing of our employee trading window.</w:t>
      </w:r>
    </w:p>
    <w:p>
      <w:pPr>
        <w:spacing w:after="0" w:line="225" w:lineRule="exact"/>
        <w:rPr>
          <w:sz w:val="20"/>
          <w:szCs w:val="20"/>
          <w:color w:val="auto"/>
        </w:rPr>
      </w:pPr>
    </w:p>
    <w:p>
      <w:pPr>
        <w:ind w:right="180" w:firstLine="446"/>
        <w:spacing w:after="0" w:line="266" w:lineRule="auto"/>
        <w:rPr>
          <w:sz w:val="20"/>
          <w:szCs w:val="20"/>
          <w:color w:val="auto"/>
        </w:rPr>
      </w:pPr>
      <w:r>
        <w:rPr>
          <w:rFonts w:ascii="Times New Roman" w:cs="Times New Roman" w:eastAsia="Times New Roman" w:hAnsi="Times New Roman"/>
          <w:sz w:val="18"/>
          <w:szCs w:val="18"/>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continue to publish research or publish unfavorable research about our business, our stock price and trading volume could decline.</w:t>
      </w:r>
    </w:p>
    <w:p>
      <w:pPr>
        <w:spacing w:after="0" w:line="10"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analysts publish about us or our business. A limited number of securities analysts currently publish research reports on us. If one or more of the analysts who covers us downgrades our stock or publishes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10" w:lineRule="exact"/>
        <w:rPr>
          <w:sz w:val="20"/>
          <w:szCs w:val="20"/>
          <w:color w:val="auto"/>
        </w:rPr>
      </w:pPr>
    </w:p>
    <w:p>
      <w:pPr>
        <w:ind w:right="80" w:firstLine="446"/>
        <w:spacing w:after="0" w:line="282" w:lineRule="auto"/>
        <w:rPr>
          <w:sz w:val="20"/>
          <w:szCs w:val="20"/>
          <w:color w:val="auto"/>
        </w:rPr>
      </w:pPr>
      <w:r>
        <w:rPr>
          <w:rFonts w:ascii="Times New Roman" w:cs="Times New Roman" w:eastAsia="Times New Roman" w:hAnsi="Times New Roman"/>
          <w:sz w:val="18"/>
          <w:szCs w:val="18"/>
          <w:color w:val="auto"/>
        </w:rPr>
        <w:t>If our existing stockholders, particularly our directors and executive officers, sell substantial amounts of our common stock in the public market, or are perceived by the public market as intending to sell substantial amounts of our common stock, the trading price of our common stock could decline.</w:t>
      </w:r>
    </w:p>
    <w:p>
      <w:pPr>
        <w:spacing w:after="0" w:line="162" w:lineRule="exact"/>
        <w:rPr>
          <w:sz w:val="20"/>
          <w:szCs w:val="20"/>
          <w:color w:val="auto"/>
        </w:rPr>
      </w:pPr>
    </w:p>
    <w:p>
      <w:pPr>
        <w:jc w:val="both"/>
        <w:ind w:right="180" w:firstLine="446"/>
        <w:spacing w:after="0" w:line="266" w:lineRule="auto"/>
        <w:rPr>
          <w:sz w:val="20"/>
          <w:szCs w:val="20"/>
          <w:color w:val="auto"/>
        </w:rPr>
      </w:pPr>
      <w:r>
        <w:rPr>
          <w:rFonts w:ascii="Times New Roman" w:cs="Times New Roman" w:eastAsia="Times New Roman" w:hAnsi="Times New Roman"/>
          <w:sz w:val="18"/>
          <w:szCs w:val="18"/>
          <w:color w:val="auto"/>
        </w:rPr>
        <w:t>As of September 30, 2014, some of our existing stockholders have demand and piggyback rights to require us to register with the SEC approximately 1,670,000 shares of our common stock. If we register these shares of common stock, the stockholders would be able to sell those shares freely in the public market.</w:t>
      </w:r>
    </w:p>
    <w:p>
      <w:pPr>
        <w:spacing w:after="0" w:line="176" w:lineRule="exact"/>
        <w:rPr>
          <w:sz w:val="20"/>
          <w:szCs w:val="20"/>
          <w:color w:val="auto"/>
        </w:rPr>
      </w:pPr>
    </w:p>
    <w:p>
      <w:pPr>
        <w:ind w:right="440" w:firstLine="446"/>
        <w:spacing w:after="0" w:line="282" w:lineRule="auto"/>
        <w:rPr>
          <w:sz w:val="20"/>
          <w:szCs w:val="20"/>
          <w:color w:val="auto"/>
        </w:rPr>
      </w:pPr>
      <w:r>
        <w:rPr>
          <w:rFonts w:ascii="Times New Roman" w:cs="Times New Roman" w:eastAsia="Times New Roman" w:hAnsi="Times New Roman"/>
          <w:sz w:val="18"/>
          <w:szCs w:val="18"/>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162" w:lineRule="exact"/>
        <w:rPr>
          <w:sz w:val="20"/>
          <w:szCs w:val="20"/>
          <w:color w:val="auto"/>
        </w:rPr>
      </w:pPr>
    </w:p>
    <w:p>
      <w:pPr>
        <w:ind w:right="340" w:firstLine="446"/>
        <w:spacing w:after="0" w:line="282" w:lineRule="auto"/>
        <w:rPr>
          <w:sz w:val="20"/>
          <w:szCs w:val="20"/>
          <w:color w:val="auto"/>
        </w:rPr>
      </w:pPr>
      <w:r>
        <w:rPr>
          <w:rFonts w:ascii="Times New Roman" w:cs="Times New Roman" w:eastAsia="Times New Roman" w:hAnsi="Times New Roman"/>
          <w:sz w:val="18"/>
          <w:szCs w:val="18"/>
          <w:color w:val="auto"/>
        </w:rPr>
        <w:t>If any of these additional shares described are sold, or if it is perceived that they will be sold, in the public market, the trading price of our common stock could decline.</w:t>
      </w:r>
    </w:p>
    <w:p>
      <w:pPr>
        <w:spacing w:after="0" w:line="15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our stock price has been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26" w:lineRule="exact"/>
        <w:rPr>
          <w:sz w:val="20"/>
          <w:szCs w:val="20"/>
          <w:color w:val="auto"/>
        </w:rPr>
      </w:pPr>
    </w:p>
    <w:p>
      <w:pPr>
        <w:ind w:firstLine="446"/>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 which could adversely affect our operating results, financial condition and stock price.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0" w:lineRule="exact"/>
        <w:rPr>
          <w:sz w:val="20"/>
          <w:szCs w:val="20"/>
          <w:color w:val="auto"/>
        </w:rPr>
      </w:pPr>
    </w:p>
    <w:p>
      <w:pPr>
        <w:ind w:right="140" w:firstLine="446"/>
        <w:spacing w:after="0" w:line="258"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22" w:lineRule="exact"/>
        <w:rPr>
          <w:sz w:val="20"/>
          <w:szCs w:val="20"/>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could be issued by our Board of Directors to thwart a takeover attempt;</w:t>
      </w:r>
    </w:p>
    <w:p>
      <w:pPr>
        <w:spacing w:after="0" w:line="63" w:lineRule="exact"/>
        <w:rPr>
          <w:rFonts w:ascii="Times New Roman" w:cs="Times New Roman" w:eastAsia="Times New Roman" w:hAnsi="Times New Roman"/>
          <w:sz w:val="18"/>
          <w:szCs w:val="18"/>
          <w:color w:val="auto"/>
        </w:rPr>
      </w:pPr>
    </w:p>
    <w:p>
      <w:pPr>
        <w:ind w:left="820" w:hanging="326"/>
        <w:spacing w:after="0" w:line="281"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directors only be removed from office for cause and only upon a majority stockholder vote;</w:t>
      </w:r>
    </w:p>
    <w:p>
      <w:pPr>
        <w:spacing w:after="0" w:line="63" w:lineRule="exact"/>
        <w:rPr>
          <w:rFonts w:ascii="Times New Roman" w:cs="Times New Roman" w:eastAsia="Times New Roman" w:hAnsi="Times New Roman"/>
          <w:sz w:val="18"/>
          <w:szCs w:val="18"/>
          <w:color w:val="auto"/>
        </w:rPr>
      </w:pPr>
    </w:p>
    <w:p>
      <w:pPr>
        <w:ind w:left="820" w:right="100" w:hanging="326"/>
        <w:spacing w:after="0" w:line="281"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including newly created directorships, may be filled only by a majority vote of directors then in office;</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special meetings of stockholders;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requiring all actions to be taken at a meeting of the stockholders;</w:t>
      </w:r>
    </w:p>
    <w:p>
      <w:pPr>
        <w:spacing w:after="0" w:line="63"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stockholders with the ability to cumulate their votes;</w:t>
      </w:r>
    </w:p>
    <w:p>
      <w:pPr>
        <w:spacing w:after="0" w:line="63" w:lineRule="exact"/>
        <w:rPr>
          <w:rFonts w:ascii="Times New Roman" w:cs="Times New Roman" w:eastAsia="Times New Roman" w:hAnsi="Times New Roman"/>
          <w:sz w:val="18"/>
          <w:szCs w:val="18"/>
          <w:color w:val="auto"/>
        </w:rPr>
      </w:pPr>
    </w:p>
    <w:p>
      <w:pPr>
        <w:ind w:left="820" w:right="160" w:hanging="326"/>
        <w:spacing w:after="0" w:line="281"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stockholder voting to effect certain amendments to our amended and restated certificate of incorporation and amended and restated bylaws; and</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notification of stockholder nominations and proposals.</w:t>
      </w:r>
    </w:p>
    <w:p>
      <w:pPr>
        <w:spacing w:after="0" w:line="22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10" w:lineRule="exact"/>
        <w:rPr>
          <w:sz w:val="20"/>
          <w:szCs w:val="20"/>
          <w:color w:val="auto"/>
        </w:rPr>
      </w:pPr>
    </w:p>
    <w:p>
      <w:pPr>
        <w:jc w:val="both"/>
        <w:ind w:right="120" w:firstLine="446"/>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4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95"/>
        </w:trPr>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1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4"/>
                <w:szCs w:val="24"/>
                <w:color w:val="auto"/>
              </w:rPr>
            </w:pPr>
          </w:p>
        </w:tc>
        <w:tc>
          <w:tcPr>
            <w:tcW w:w="50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Amended and Restated Certificate of Incorporation of RPX Corporation</w:t>
            </w:r>
          </w:p>
        </w:tc>
        <w:tc>
          <w:tcPr>
            <w:tcW w:w="0" w:type="dxa"/>
            <w:vAlign w:val="bottom"/>
          </w:tcPr>
          <w:p>
            <w:pPr>
              <w:spacing w:after="0"/>
              <w:rPr>
                <w:sz w:val="1"/>
                <w:szCs w:val="1"/>
                <w:color w:val="auto"/>
              </w:rPr>
            </w:pPr>
          </w:p>
        </w:tc>
      </w:tr>
      <w:tr>
        <w:trPr>
          <w:trHeight w:val="392"/>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Amended and Restated Bylaws of RPX Corporation</w:t>
            </w:r>
          </w:p>
        </w:tc>
        <w:tc>
          <w:tcPr>
            <w:tcW w:w="0" w:type="dxa"/>
            <w:vAlign w:val="bottom"/>
          </w:tcPr>
          <w:p>
            <w:pPr>
              <w:spacing w:after="0"/>
              <w:rPr>
                <w:sz w:val="1"/>
                <w:szCs w:val="1"/>
                <w:color w:val="auto"/>
              </w:rPr>
            </w:pPr>
          </w:p>
        </w:tc>
      </w:tr>
      <w:tr>
        <w:trPr>
          <w:trHeight w:val="352"/>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31.1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Certification of Chief Executive Officer Pursuant to Rule 13-14(a) or 15(d)-14(a)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Sarbanes-Oxley Act of 2002.</w:t>
            </w:r>
          </w:p>
        </w:tc>
        <w:tc>
          <w:tcPr>
            <w:tcW w:w="0" w:type="dxa"/>
            <w:vAlign w:val="bottom"/>
          </w:tcPr>
          <w:p>
            <w:pPr>
              <w:spacing w:after="0"/>
              <w:rPr>
                <w:sz w:val="1"/>
                <w:szCs w:val="1"/>
                <w:color w:val="auto"/>
              </w:rPr>
            </w:pPr>
          </w:p>
        </w:tc>
      </w:tr>
      <w:tr>
        <w:trPr>
          <w:trHeight w:val="28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Certification of Chief Financial Officer Pursuant to Rule 13-14(a) or 15(d)-14(a) of</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the Securities Exchange Act of 1934 as Adopted Pursuant to Section 302 of the</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Sarbanes-Oxley Act of 2002.</w:t>
            </w:r>
          </w:p>
        </w:tc>
        <w:tc>
          <w:tcPr>
            <w:tcW w:w="0" w:type="dxa"/>
            <w:vAlign w:val="bottom"/>
          </w:tcPr>
          <w:p>
            <w:pPr>
              <w:spacing w:after="0"/>
              <w:rPr>
                <w:sz w:val="1"/>
                <w:szCs w:val="1"/>
                <w:color w:val="auto"/>
              </w:rPr>
            </w:pPr>
          </w:p>
        </w:tc>
      </w:tr>
      <w:tr>
        <w:trPr>
          <w:trHeight w:val="28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32.1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Certification of Chief Executive Officer Pursuant to 18 U.S.C. Section 1350, as</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284"/>
        </w:trPr>
        <w:tc>
          <w:tcPr>
            <w:tcW w:w="1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32.2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Certification of Chief Financial Officer Pursuant to 18 U.S.C. Section 1350, as</w:t>
            </w: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324"/>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101.INS+</w:t>
            </w: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XBRL Instance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101.SCH+</w:t>
            </w: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XBRL Taxonomy Extension Schema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101.CAL+</w:t>
            </w: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101.DEF+</w:t>
            </w: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101.LAB+</w:t>
            </w: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101.PRE+</w:t>
            </w:r>
          </w:p>
        </w:tc>
        <w:tc>
          <w:tcPr>
            <w:tcW w:w="5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vMerge w:val="restart"/>
          </w:tcPr>
          <w:p>
            <w:pPr>
              <w:spacing w:after="0"/>
              <w:rPr>
                <w:sz w:val="13"/>
                <w:szCs w:val="13"/>
                <w:color w:val="auto"/>
              </w:rPr>
            </w:pPr>
          </w:p>
        </w:tc>
        <w:tc>
          <w:tcPr>
            <w:tcW w:w="10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90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Filing</w:t>
            </w:r>
          </w:p>
        </w:tc>
        <w:tc>
          <w:tcPr>
            <w:tcW w:w="1240" w:type="dxa"/>
            <w:vAlign w:val="bottom"/>
          </w:tcPr>
          <w:p>
            <w:pPr>
              <w:ind w:left="340"/>
              <w:spacing w:after="0" w:line="151" w:lineRule="exact"/>
              <w:rPr>
                <w:sz w:val="20"/>
                <w:szCs w:val="20"/>
                <w:color w:val="auto"/>
              </w:rPr>
            </w:pPr>
            <w:r>
              <w:rPr>
                <w:rFonts w:ascii="Times New Roman" w:cs="Times New Roman" w:eastAsia="Times New Roman" w:hAnsi="Times New Roman"/>
                <w:sz w:val="14"/>
                <w:szCs w:val="14"/>
                <w:b w:val="1"/>
                <w:bCs w:val="1"/>
                <w:color w:val="auto"/>
              </w:rPr>
              <w:t>Provided</w:t>
            </w:r>
          </w:p>
        </w:tc>
        <w:tc>
          <w:tcPr>
            <w:tcW w:w="0" w:type="dxa"/>
            <w:vAlign w:val="bottom"/>
          </w:tcPr>
          <w:p>
            <w:pPr>
              <w:spacing w:after="0"/>
              <w:rPr>
                <w:sz w:val="1"/>
                <w:szCs w:val="1"/>
                <w:color w:val="auto"/>
              </w:rPr>
            </w:pPr>
          </w:p>
        </w:tc>
      </w:tr>
      <w:tr>
        <w:trPr>
          <w:trHeight w:val="195"/>
        </w:trPr>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80"/>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w:t>
            </w: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S-1/A</w:t>
            </w:r>
          </w:p>
        </w:tc>
        <w:tc>
          <w:tcPr>
            <w:tcW w:w="10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4/18/2011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X</w:t>
      </w:r>
    </w:p>
    <w:p>
      <w:pPr>
        <w:sectPr>
          <w:pgSz w:w="11900" w:h="16838" w:orient="portrait"/>
          <w:cols w:equalWidth="0" w:num="2">
            <w:col w:w="6200" w:space="120"/>
            <w:col w:w="510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9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670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RPX CORPORATION</w:t>
            </w:r>
          </w:p>
        </w:tc>
      </w:tr>
      <w:tr>
        <w:trPr>
          <w:trHeight w:val="270"/>
        </w:trPr>
        <w:tc>
          <w:tcPr>
            <w:tcW w:w="3500" w:type="dxa"/>
            <w:vAlign w:val="bottom"/>
          </w:tcPr>
          <w:p>
            <w:pPr>
              <w:spacing w:after="0"/>
              <w:rPr>
                <w:sz w:val="23"/>
                <w:szCs w:val="23"/>
                <w:color w:val="auto"/>
              </w:rPr>
            </w:pPr>
          </w:p>
        </w:tc>
        <w:tc>
          <w:tcPr>
            <w:tcW w:w="26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(Registrant)</w:t>
            </w:r>
          </w:p>
        </w:tc>
        <w:tc>
          <w:tcPr>
            <w:tcW w:w="4060" w:type="dxa"/>
            <w:vAlign w:val="bottom"/>
          </w:tcPr>
          <w:p>
            <w:pPr>
              <w:spacing w:after="0"/>
              <w:rPr>
                <w:sz w:val="23"/>
                <w:szCs w:val="23"/>
                <w:color w:val="auto"/>
              </w:rPr>
            </w:pPr>
          </w:p>
        </w:tc>
      </w:tr>
      <w:tr>
        <w:trPr>
          <w:trHeight w:val="59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2014</w:t>
            </w:r>
          </w:p>
        </w:tc>
        <w:tc>
          <w:tcPr>
            <w:tcW w:w="26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JOHN A. AMSTER</w:t>
            </w:r>
          </w:p>
        </w:tc>
      </w:tr>
      <w:tr>
        <w:trPr>
          <w:trHeight w:val="27"/>
        </w:trPr>
        <w:tc>
          <w:tcPr>
            <w:tcW w:w="35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John A. Amster</w:t>
            </w:r>
          </w:p>
        </w:tc>
      </w:tr>
      <w:tr>
        <w:trPr>
          <w:trHeight w:val="270"/>
        </w:trPr>
        <w:tc>
          <w:tcPr>
            <w:tcW w:w="35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35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2014</w:t>
            </w:r>
          </w:p>
        </w:tc>
        <w:tc>
          <w:tcPr>
            <w:tcW w:w="26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NED D. SEGAL</w:t>
            </w:r>
          </w:p>
        </w:tc>
      </w:tr>
      <w:tr>
        <w:trPr>
          <w:trHeight w:val="27"/>
        </w:trPr>
        <w:tc>
          <w:tcPr>
            <w:tcW w:w="35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Ned D. Segal</w:t>
            </w:r>
          </w:p>
        </w:tc>
      </w:tr>
      <w:tr>
        <w:trPr>
          <w:trHeight w:val="270"/>
        </w:trPr>
        <w:tc>
          <w:tcPr>
            <w:tcW w:w="35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70"/>
        </w:trPr>
        <w:tc>
          <w:tcPr>
            <w:tcW w:w="35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02"/>
        </w:trPr>
        <w:tc>
          <w:tcPr>
            <w:tcW w:w="3500" w:type="dxa"/>
            <w:vAlign w:val="bottom"/>
          </w:tcPr>
          <w:p>
            <w:pPr>
              <w:spacing w:after="0"/>
              <w:rPr>
                <w:sz w:val="24"/>
                <w:szCs w:val="24"/>
                <w:color w:val="auto"/>
              </w:rPr>
            </w:pPr>
          </w:p>
        </w:tc>
        <w:tc>
          <w:tcPr>
            <w:tcW w:w="26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37</w:t>
            </w:r>
          </w:p>
        </w:tc>
        <w:tc>
          <w:tcPr>
            <w:tcW w:w="4060" w:type="dxa"/>
            <w:vAlign w:val="bottom"/>
          </w:tcPr>
          <w:p>
            <w:pPr>
              <w:spacing w:after="0"/>
              <w:rPr>
                <w:sz w:val="24"/>
                <w:szCs w:val="24"/>
                <w:color w:val="auto"/>
              </w:rPr>
            </w:pPr>
          </w:p>
        </w:tc>
      </w:tr>
    </w:tbl>
    <w:p>
      <w:pPr>
        <w:sectPr>
          <w:pgSz w:w="11900" w:h="16838" w:orient="portrait"/>
          <w:cols w:equalWidth="0" w:num="1">
            <w:col w:w="10780"/>
          </w:cols>
          <w:pgMar w:left="240" w:top="121" w:right="87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Amster, certify that:</w:t>
      </w:r>
    </w:p>
    <w:p>
      <w:pPr>
        <w:spacing w:after="0" w:line="90" w:lineRule="exact"/>
        <w:rPr>
          <w:sz w:val="20"/>
          <w:szCs w:val="20"/>
          <w:color w:val="auto"/>
        </w:rPr>
      </w:pPr>
    </w:p>
    <w:p>
      <w:pPr>
        <w:ind w:left="880" w:hanging="467"/>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RPX Corporation;</w:t>
      </w:r>
    </w:p>
    <w:p>
      <w:pPr>
        <w:spacing w:after="0" w:line="90" w:lineRule="exact"/>
        <w:rPr>
          <w:rFonts w:ascii="Times New Roman" w:cs="Times New Roman" w:eastAsia="Times New Roman" w:hAnsi="Times New Roman"/>
          <w:sz w:val="18"/>
          <w:szCs w:val="18"/>
          <w:color w:val="auto"/>
        </w:rPr>
      </w:pPr>
    </w:p>
    <w:p>
      <w:pPr>
        <w:jc w:val="both"/>
        <w:ind w:left="880" w:right="80" w:hanging="467"/>
        <w:spacing w:after="0" w:line="266"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880" w:right="40" w:hanging="467"/>
        <w:spacing w:after="0" w:line="282"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880" w:right="80" w:hanging="467"/>
        <w:spacing w:after="0" w:line="266"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1300" w:right="80" w:hanging="428"/>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220" w:hanging="428"/>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1300" w:right="380" w:hanging="428"/>
        <w:spacing w:after="0" w:line="282"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300" w:right="80" w:hanging="428"/>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880" w:right="40" w:hanging="467"/>
        <w:spacing w:after="0" w:line="282"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620" w:hanging="428"/>
        <w:spacing w:after="0" w:line="282"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320" w:hanging="428"/>
        <w:spacing w:after="0" w:line="282"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2014</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Ned D. Segal, certify that:</w:t>
      </w:r>
    </w:p>
    <w:p>
      <w:pPr>
        <w:spacing w:after="0" w:line="90" w:lineRule="exact"/>
        <w:rPr>
          <w:sz w:val="20"/>
          <w:szCs w:val="20"/>
          <w:color w:val="auto"/>
        </w:rPr>
      </w:pPr>
    </w:p>
    <w:p>
      <w:pPr>
        <w:ind w:left="880" w:hanging="467"/>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RPX Corporation;</w:t>
      </w:r>
    </w:p>
    <w:p>
      <w:pPr>
        <w:spacing w:after="0" w:line="90" w:lineRule="exact"/>
        <w:rPr>
          <w:rFonts w:ascii="Times New Roman" w:cs="Times New Roman" w:eastAsia="Times New Roman" w:hAnsi="Times New Roman"/>
          <w:sz w:val="18"/>
          <w:szCs w:val="18"/>
          <w:color w:val="auto"/>
        </w:rPr>
      </w:pPr>
    </w:p>
    <w:p>
      <w:pPr>
        <w:jc w:val="both"/>
        <w:ind w:left="880" w:right="80" w:hanging="467"/>
        <w:spacing w:after="0" w:line="266"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880" w:right="40" w:hanging="467"/>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880" w:right="80" w:hanging="467"/>
        <w:spacing w:after="0" w:line="266"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1300" w:right="80" w:hanging="428"/>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300" w:right="220" w:hanging="428"/>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jc w:val="both"/>
        <w:ind w:left="1300" w:right="380" w:hanging="428"/>
        <w:spacing w:after="0" w:line="282"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300" w:right="80" w:hanging="428"/>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880" w:right="40" w:hanging="467"/>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300" w:right="620" w:hanging="428"/>
        <w:spacing w:after="0" w:line="282"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320" w:hanging="428"/>
        <w:spacing w:after="0" w:line="282"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2014</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NED D.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Ned D. Segal</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September 30, 2014 of RPX Corporation, (the “Company”) as filed with the Securities and Exchange Commission on the date hereof (the “Report”), I, John A. Amster, Chief Executive Officer of the Company, certify, pursuant to 18 U.S.C. Section 1350, as adopted pursuant to Section 906 of the Sarbanes-Oxley Act of 2002, that:</w:t>
      </w:r>
    </w:p>
    <w:p>
      <w:pPr>
        <w:spacing w:after="0" w:line="41" w:lineRule="exact"/>
        <w:rPr>
          <w:sz w:val="20"/>
          <w:szCs w:val="20"/>
          <w:color w:val="auto"/>
        </w:rPr>
      </w:pPr>
    </w:p>
    <w:p>
      <w:pPr>
        <w:ind w:left="880" w:hanging="467"/>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880" w:hanging="467"/>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2014</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September 30, 2014 of RPX Corporation, (the “Company”) as filed with the Securities and Exchange Commission on the date hereof (the “Report”), I, Ned D. Segal, Senior Vice President &amp; Chief Financial Officer of the Company, certify, pursuant to 18 U.S.C. Section 1350, as adopted pursuant to Section 906 of the Sarbanes-Oxley Act of 2002, that:</w:t>
      </w:r>
    </w:p>
    <w:p>
      <w:pPr>
        <w:spacing w:after="0" w:line="41" w:lineRule="exact"/>
        <w:rPr>
          <w:sz w:val="20"/>
          <w:szCs w:val="20"/>
          <w:color w:val="auto"/>
        </w:rPr>
      </w:pPr>
    </w:p>
    <w:p>
      <w:pPr>
        <w:ind w:left="880" w:hanging="467"/>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880" w:hanging="467"/>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2014</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NED D.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Ned D. Segal</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2"/>
    </w:lvl>
  </w:abstractNum>
  <w:abstractNum w:abstractNumId="3">
    <w:nsid w:val="41A7C4C9"/>
    <w:multiLevelType w:val="hybridMultilevel"/>
    <w:lvl w:ilvl="0">
      <w:lvlJc w:val="left"/>
      <w:lvlText w:val="%1."/>
      <w:numFmt w:val="decimal"/>
      <w:start w:val="3"/>
    </w:lvl>
  </w:abstractNum>
  <w:abstractNum w:abstractNumId="4">
    <w:nsid w:val="6B68079A"/>
    <w:multiLevelType w:val="hybridMultilevel"/>
    <w:lvl w:ilvl="0">
      <w:lvlJc w:val="left"/>
      <w:lvlText w:val="%1."/>
      <w:numFmt w:val="decimal"/>
      <w:start w:val="4"/>
    </w:lvl>
  </w:abstractNum>
  <w:abstractNum w:abstractNumId="5">
    <w:nsid w:val="4E6AFB66"/>
    <w:multiLevelType w:val="hybridMultilevel"/>
    <w:lvl w:ilvl="0">
      <w:lvlJc w:val="left"/>
      <w:lvlText w:val="%1."/>
      <w:numFmt w:val="decimal"/>
      <w:start w:val="5"/>
    </w:lvl>
  </w:abstractNum>
  <w:abstractNum w:abstractNumId="6">
    <w:nsid w:val="25E45D32"/>
    <w:multiLevelType w:val="hybridMultilevel"/>
    <w:lvl w:ilvl="0">
      <w:lvlJc w:val="left"/>
      <w:lvlText w:val="%1."/>
      <w:numFmt w:val="decimal"/>
      <w:start w:val="6"/>
    </w:lvl>
  </w:abstractNum>
  <w:abstractNum w:abstractNumId="7">
    <w:nsid w:val="519B500D"/>
    <w:multiLevelType w:val="hybridMultilevel"/>
    <w:lvl w:ilvl="0">
      <w:lvlJc w:val="left"/>
      <w:lvlText w:val="%1."/>
      <w:numFmt w:val="decimal"/>
      <w:start w:val="7"/>
    </w:lvl>
  </w:abstractNum>
  <w:abstractNum w:abstractNumId="8">
    <w:nsid w:val="431BD7B7"/>
    <w:multiLevelType w:val="hybridMultilevel"/>
    <w:lvl w:ilvl="0">
      <w:lvlJc w:val="left"/>
      <w:lvlText w:val="%1."/>
      <w:numFmt w:val="decimal"/>
      <w:start w:val="8"/>
    </w:lvl>
  </w:abstractNum>
  <w:abstractNum w:abstractNumId="9">
    <w:nsid w:val="3F2DBA31"/>
    <w:multiLevelType w:val="hybridMultilevel"/>
    <w:lvl w:ilvl="0">
      <w:lvlJc w:val="left"/>
      <w:lvlText w:val="%1."/>
      <w:numFmt w:val="decimal"/>
      <w:start w:val="11"/>
    </w:lvl>
  </w:abstractNum>
  <w:abstractNum w:abstractNumId="10">
    <w:nsid w:val="7C83E458"/>
    <w:multiLevelType w:val="hybridMultilevel"/>
    <w:lvl w:ilvl="0">
      <w:lvlJc w:val="left"/>
      <w:lvlText w:val="%1."/>
      <w:numFmt w:val="decimal"/>
      <w:start w:val="12"/>
    </w:lvl>
  </w:abstractNum>
  <w:abstractNum w:abstractNumId="11">
    <w:nsid w:val="257130A3"/>
    <w:multiLevelType w:val="hybridMultilevel"/>
    <w:lvl w:ilvl="0">
      <w:lvlJc w:val="left"/>
      <w:lvlText w:val="%1."/>
      <w:numFmt w:val="decimal"/>
      <w:start w:val="13"/>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4"/>
    </w:lvl>
  </w:abstractNum>
  <w:abstractNum w:abstractNumId="14">
    <w:nsid w:val="628C895D"/>
    <w:multiLevelType w:val="hybridMultilevel"/>
    <w:lvl w:ilvl="0">
      <w:lvlJc w:val="left"/>
      <w:lvlText w:val="%1."/>
      <w:numFmt w:val="decimal"/>
      <w:start w:val="15"/>
    </w:lvl>
  </w:abstractNum>
  <w:abstractNum w:abstractNumId="15">
    <w:nsid w:val="333AB105"/>
    <w:multiLevelType w:val="hybridMultilevel"/>
    <w:lvl w:ilvl="0">
      <w:lvlJc w:val="left"/>
      <w:lvlText w:val="%1."/>
      <w:numFmt w:val="decimal"/>
      <w:start w:val="16"/>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2019-12-08T00:26:21Z</dcterms:created>
  <dcterms:modified xsi:type="dcterms:W3CDTF">2019-12-08T00:26:21Z</dcterms:modified>
</cp:coreProperties>
</file>