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80"/>
          </w:cols>
          <w:pgMar w:left="240" w:top="233" w:right="2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3" w:lineRule="exact"/>
        <w:rPr>
          <w:sz w:val="24"/>
          <w:szCs w:val="24"/>
          <w:color w:val="auto"/>
        </w:rPr>
      </w:pPr>
    </w:p>
    <w:p>
      <w:pPr>
        <w:sectPr>
          <w:pgSz w:w="11900" w:h="16838" w:orient="portrait"/>
          <w:cols w:equalWidth="0" w:num="4">
            <w:col w:w="2080" w:space="720"/>
            <w:col w:w="3600" w:space="720"/>
            <w:col w:w="3260" w:space="720"/>
            <w:col w:w="280"/>
          </w:cols>
          <w:pgMar w:left="240" w:top="233"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3420" w:space="720"/>
            <w:col w:w="3260" w:space="720"/>
            <w:col w:w="280"/>
          </w:cols>
          <w:pgMar w:left="240" w:top="233" w:right="279" w:bottom="1440" w:gutter="0" w:footer="0" w:header="0"/>
          <w:type w:val="continuous"/>
        </w:sect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59" w:lineRule="exact"/>
        <w:rPr>
          <w:sz w:val="24"/>
          <w:szCs w:val="24"/>
          <w:color w:val="auto"/>
        </w:rPr>
      </w:pPr>
    </w:p>
    <w:p>
      <w:pPr>
        <w:sectPr>
          <w:pgSz w:w="11900" w:h="16838" w:orient="portrait"/>
          <w:cols w:equalWidth="0" w:num="2">
            <w:col w:w="806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54,806,951 shares of the registrant’s common stock issued and outstanding as of July 31, 2015.</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and December 31,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Operations for the Three and Six Months Ended June 30, 2015 and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and Six Months Ended June 30, 2015 and 2014</w:t>
              </w:r>
            </w:hyperlink>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2015 and 2014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4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rPr>
              <w:t>PART I. FINANCIAL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5"/>
              </w:rPr>
              <w:t>RPX Corporation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8"/>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239,514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24,793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350,776</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242,198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236,349</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26,100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686,171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3"/>
            <w:vMerge w:val="continue"/>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133,316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148,448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157,019</w:t>
            </w:r>
          </w:p>
        </w:tc>
        <w:tc>
          <w:tcPr>
            <w:tcW w:w="0" w:type="dxa"/>
            <w:vAlign w:val="bottom"/>
          </w:tcPr>
          <w:p>
            <w:pPr>
              <w:spacing w:after="0"/>
              <w:rPr>
                <w:sz w:val="1"/>
                <w:szCs w:val="1"/>
                <w:color w:val="auto"/>
              </w:rPr>
            </w:pP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9)</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326,280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181,389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158,868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518,801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485,045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686,171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642,064</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55,687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54,776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55,457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54,622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8,030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holding losses on available-for-sale securities arising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during the period, net of tax</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7,814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25,929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19,240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4"/>
          </w:tcPr>
          <w:p>
            <w:pPr>
              <w:jc w:val="right"/>
              <w:ind w:right="435"/>
              <w:spacing w:after="0"/>
              <w:rPr>
                <w:sz w:val="20"/>
                <w:szCs w:val="20"/>
                <w:color w:val="auto"/>
              </w:rPr>
            </w:pPr>
            <w:r>
              <w:rPr>
                <w:rFonts w:ascii="Arial" w:cs="Arial" w:eastAsia="Arial" w:hAnsi="Arial"/>
                <w:sz w:val="17"/>
                <w:szCs w:val="17"/>
                <w:b w:val="1"/>
                <w:bCs w:val="1"/>
                <w:color w:val="auto"/>
                <w:w w:val="99"/>
              </w:rPr>
              <w:t>Six Months Ended June 30,</w:t>
            </w:r>
          </w:p>
        </w:tc>
      </w:tr>
      <w:tr>
        <w:trPr>
          <w:trHeight w:val="31"/>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2014</w:t>
            </w: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26,061</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19,259</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69,991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59,289</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8,868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(2,006)</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sale of patent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3,181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3,380</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Fair value adjustment on deferred payment obligations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26,414</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(12,097)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(5,274)</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(6,636)</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108,068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100,305</w:t>
            </w: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(137,663)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(106,618)</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98,920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(2,169)</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Decrease in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(790)</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Acquisitions of patent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(73,948)</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sale of patent assets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860</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Acquisition of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(89,191)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(83,601)</w:t>
            </w: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Repayments of principal on deferred payment obligations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 and other common stock issuances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4,294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2,399</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2,006</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4,976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1,730</w:t>
            </w: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18,434</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78,019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100,155</w:t>
            </w: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101,872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118,589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patent assets purchased and accrued but not paid</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fixed assets purchased and accrued but not paid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other assets purchased and accrued but not paid</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Unpaid cash consideration for business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542</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Nonmonetary exchange for investments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5,935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9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96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some portion of the underwriting risk on insurance policies that the Company issues on behalf of a Lloyd’s of London underwriting syndicate. The Company began placing new policies under the reinsurance model in May 2014. As of, and for the six months ended June 30, 2015, the effect of the insurance policies that the Company has issued or assumed through our reinsurance business was not material to the Company’s results of operations, financial condition or cash flows.</w:t>
      </w:r>
    </w:p>
    <w:p>
      <w:pPr>
        <w:spacing w:after="0" w:line="15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accompanying condensed consolidated balance sheet as of June 30, 2015, the condensed consolidated statements of operations, the condensed consolidated statements of comprehensive income and the condensed consolidated statements of cash flows for the six months ended June 30, 2015 and 2014, are unaudited. The condensed consolidated balance sheet as of December 31, 2014 was derived from the audited consolidated financial statements which are included in the Company’s Form 10-K for the fiscal year ended December 31, 2014, which was filed with the U.S. Securities and Exchange Commission (“SEC”) on March 2, 2015. The unaudited condensed consolidated financial statements should be read in conjunction with the audited financial statements and accompanying notes included in the Company’s Annual Report on Form 10-K for the year ended December 31, 2014.</w:t>
      </w:r>
    </w:p>
    <w:p>
      <w:pPr>
        <w:spacing w:after="0" w:line="16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six months ended June 30, 2015 are not necessarily indicative of the results that may be expected for any subsequent interim period or for the year ending December 31, 2015.</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31, 2016. The Company is currently evaluating the impact of the adoption of ASU 2014-09 on its consolidated financial statements.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There have been no material changes to the Company’s significant accounting policies during the six months ended June 30, 2015,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March 2,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Basic and diluted net income per share are computed by dividing the net income by the weighted-average number of shares of common stock outstanding during the period. Diluted net income per share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20" w:type="dxa"/>
            <w:vAlign w:val="bottom"/>
          </w:tcPr>
          <w:p>
            <w:pPr>
              <w:spacing w:after="0"/>
              <w:rPr>
                <w:sz w:val="19"/>
                <w:szCs w:val="19"/>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54,490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53,203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54,334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53,004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54,490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54,334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53,004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treasury-stock method</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w w:val="90"/>
              </w:rPr>
              <w:t>Weighted-average shares used in computing diluted net income per</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55,687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54,776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55,457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54,622</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ind w:left="520"/>
              <w:spacing w:after="0"/>
              <w:rPr>
                <w:sz w:val="20"/>
                <w:szCs w:val="20"/>
                <w:color w:val="auto"/>
              </w:rPr>
            </w:pPr>
            <w:r>
              <w:rPr>
                <w:rFonts w:ascii="Arial" w:cs="Arial" w:eastAsia="Arial" w:hAnsi="Arial"/>
                <w:sz w:val="16"/>
                <w:szCs w:val="16"/>
                <w:b w:val="1"/>
                <w:bCs w:val="1"/>
                <w:color w:val="auto"/>
                <w:w w:val="93"/>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762</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851"/>
        </w:trPr>
        <w:tc>
          <w:tcPr>
            <w:tcW w:w="6160" w:type="dxa"/>
            <w:vAlign w:val="bottom"/>
            <w:gridSpan w:val="2"/>
          </w:tcPr>
          <w:p>
            <w:pPr>
              <w:ind w:left="566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June 30, 2015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150,771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150,740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150,740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65,142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65,099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65,099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270,849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4,355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left="659"/>
              <w:spacing w:after="0"/>
              <w:rPr>
                <w:sz w:val="20"/>
                <w:szCs w:val="20"/>
                <w:color w:val="auto"/>
              </w:rPr>
            </w:pPr>
            <w:r>
              <w:rPr>
                <w:rFonts w:ascii="Arial" w:cs="Arial" w:eastAsia="Arial" w:hAnsi="Arial"/>
                <w:sz w:val="16"/>
                <w:szCs w:val="16"/>
                <w:b w:val="1"/>
                <w:bCs w:val="1"/>
                <w:color w:val="auto"/>
                <w:w w:val="91"/>
              </w:rPr>
              <w:t>December 31, 2014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48,095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239,621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Company's financial assets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net in the Company’s condensed consolidated statements of operations and have not been material for all periods presented.</w:t>
      </w:r>
    </w:p>
    <w:p>
      <w:pPr>
        <w:spacing w:after="0" w:line="18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As of June 30, 2015 and December 31, 2014, approximately 79% and 76%, respectively, of our marketable securities investments mature within one year and 21% and 24%, respectively, mature within one to five years. As of June 30, 2015, no individual securities incurred continuous unrealized losses for greater than 12 months.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2015 and December 31, 2014, the Company had short-term cost method investments of $3.7 million and nil, respectively. As of June 30,</w:t>
      </w:r>
    </w:p>
    <w:p>
      <w:pPr>
        <w:spacing w:after="0" w:line="46"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2015 and December 31, 2014, the Company had short-term investments classified as held-to-maturity of $5.0 million and nil, respectively, which had no unrealized gains or losses since acquired. Cost method and held-to-maturity investments are recorded at amortized cost in short-term investments in the Company's condensed consolidated balance sheets.</w:t>
      </w:r>
    </w:p>
    <w:p>
      <w:pPr>
        <w:spacing w:after="0" w:line="190" w:lineRule="exact"/>
        <w:rPr>
          <w:sz w:val="20"/>
          <w:szCs w:val="20"/>
          <w:color w:val="auto"/>
        </w:rPr>
      </w:pPr>
    </w:p>
    <w:p>
      <w:pPr>
        <w:ind w:right="260" w:firstLine="446"/>
        <w:spacing w:after="0" w:line="342" w:lineRule="auto"/>
        <w:rPr>
          <w:sz w:val="20"/>
          <w:szCs w:val="20"/>
          <w:color w:val="auto"/>
        </w:rPr>
      </w:pPr>
      <w:r>
        <w:rPr>
          <w:rFonts w:ascii="Arial" w:cs="Arial" w:eastAsia="Arial" w:hAnsi="Arial"/>
          <w:sz w:val="16"/>
          <w:szCs w:val="16"/>
          <w:color w:val="auto"/>
        </w:rPr>
        <w:t>In connection with the Rockstar Transaction (see Note 9, "Commitments and Contingencies"), the Company received funding of $6.3 million from a syndicate participant. At June 30, 2015, the fair value of the loan from the syndicate participant was $3.7 million and was categorized as Level 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jc w:val="both"/>
        <w:ind w:right="340" w:firstLine="446"/>
        <w:spacing w:after="0" w:line="264" w:lineRule="auto"/>
        <w:rPr>
          <w:sz w:val="20"/>
          <w:szCs w:val="20"/>
          <w:color w:val="auto"/>
        </w:rPr>
      </w:pPr>
      <w:r>
        <w:rPr>
          <w:rFonts w:ascii="Arial" w:cs="Arial" w:eastAsia="Arial" w:hAnsi="Arial"/>
          <w:sz w:val="18"/>
          <w:szCs w:val="18"/>
          <w:color w:val="auto"/>
        </w:rPr>
        <w:t>Level 3 financial liabilities consist of repayment obligations to a third party for which determination of fair value requires significant judgment and estimation. Changes in fair value measurement categorized within Level 3 of the fair value hierarchy are analyzed each period for changes in estimates or assumptions and recorded as the Company deems appropriate.</w:t>
      </w:r>
    </w:p>
    <w:p>
      <w:pPr>
        <w:spacing w:after="0" w:line="181"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Company uses the Black-Scholes option valuation model to value deferred payment obligations at inception and subsequent valuation dates. This model incorporates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is determined by the estimated settlement date of the liability. Changes in the fair value are recorded in the Company's condensed consolidated statements of operations. As of June 30, 2015, there were no transfers in or out of Level 3 from other levels of the fair value hierarchy.</w:t>
      </w:r>
    </w:p>
    <w:p>
      <w:pPr>
        <w:spacing w:after="0" w:line="12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665,290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739,288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(497,090)</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236,349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242,198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June 30, 2015, the estimated economic useful lives of the Company’s patent assets generally ranged from 24 to 60 months. As of June 30, 2015, the weighted-average estimated economic useful life at the time of acquisition of all patents acquired since the Company’s inception was 45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June 30, 2015,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104,029</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14,852</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242,198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Amortization expense was $35.1 million and $30.1 million for the three months ended June 30, 2015 and 2014, respectively, and $68.2 million and $57.7 million for the six months ended June 30, 2015 and 2014, respectively.</w:t>
      </w:r>
    </w:p>
    <w:p>
      <w:pPr>
        <w:spacing w:after="0" w:line="17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On December 22, 2014, the Company and RPX Clearinghouse LLC (a wholly-owned subsidiary of the Company) entered into an Asset Purchase Agreement by and among Rockstar Consortium US LP, Rockstar Consortium LLC, Bockstar Technologies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Constellation Technologies LLC, MobileStar Technologies LLC, and NetStar Technologies LLC (the “Sellers”), for the purchase of substantially all of the patent assets owned or controlled by the Sellers (the “Rockstar Transaction”), as well as other ancillary agreements, including but not limited to an Escrow Agreement by and among the Sellers, Citibank, N.A., acting as escrow agent, RPX Clearinghouse LLC and the Company (the “Escrow Agreement”). Upon the closing of the Rockstar Transaction, syndicate participants received non-exclusive licenses to the patent assets included in the Rockstar Transaction, and RPX Clearinghouse made the patent assets available for license to all other interested companies under fair, reasonable, and non-discriminatory terms. RPX Clearinghouse LLC paid the Sellers $25.0 million as a non-refundable deposit on December 26, 2014 upon the execution of the Asset Purchase Agreement. The third-party funding commitments described below were derived pursuant with the Escrow Agreement and the remaining closing conditions under the Asset Purchase Agreement were met on January 28, 2015 on which date the Rockstar Transaction was consummated and the Sellers received an additional payment of $875.0 million from escrow.</w:t>
      </w:r>
    </w:p>
    <w:p>
      <w:pPr>
        <w:spacing w:after="0" w:line="18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RPX Clearinghouse LLC received funding commitments for the Rockstar Transaction from a syndicate of more than 30 companies. The Company evaluated the contributions from syndicate members to determine whether they should be recorded on a gross or net basis. As a result, the Company accounted for these third-party funding commitments on a net basis as it acted as an agent to acquire patent rights from the Sellers on behalf of the syndicate who paid for such rights separately from a subscription agreement. The Company contributed approximately $29.0 million which was recorded as a patent asset upon closing of the Rockstar Transaction and is amortized over its estimated economic useful life of 60 months.</w:t>
      </w:r>
    </w:p>
    <w:p>
      <w:pPr>
        <w:spacing w:after="0" w:line="12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5,358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1,221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Depreciation and amortization expense was $0.4 million and $0.5 million for the three months ended June 30, 2015 and 2014, respectively, and $0.9 million and $1.0 million for the six months ended June 30, 2015 and 2014, respectively. Stock-based compensation capitalized as part of the cost of internal-use software was nil and $0.1 million for the three months ended June 30, 2015 and 2014, respectively, and nil and $0.1 million for the six months ended June 30, 2015 and 2014, respectively.</w:t>
      </w:r>
    </w:p>
    <w:p>
      <w:pPr>
        <w:spacing w:after="0" w:line="14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2015</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6"/>
                <w:szCs w:val="16"/>
                <w:b w:val="1"/>
                <w:bCs w:val="1"/>
                <w:color w:val="auto"/>
                <w:w w:val="97"/>
              </w:rPr>
              <w:t>Net Carrying</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12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1,562</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80"/>
        </w:trPr>
        <w:tc>
          <w:tcPr>
            <w:tcW w:w="9920" w:type="dxa"/>
            <w:vAlign w:val="bottom"/>
            <w:gridSpan w:val="2"/>
          </w:tcPr>
          <w:p>
            <w:pPr>
              <w:ind w:left="460"/>
              <w:spacing w:after="0"/>
              <w:rPr>
                <w:sz w:val="20"/>
                <w:szCs w:val="20"/>
                <w:color w:val="auto"/>
              </w:rPr>
            </w:pPr>
            <w:r>
              <w:rPr>
                <w:rFonts w:ascii="Arial" w:cs="Arial" w:eastAsia="Arial" w:hAnsi="Arial"/>
                <w:sz w:val="18"/>
                <w:szCs w:val="18"/>
                <w:color w:val="auto"/>
              </w:rPr>
              <w:t>As of June 30, 2015, the Company expects amortization expense in future periods to be as follows (in thousands):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1,288</w:t>
            </w:r>
          </w:p>
        </w:tc>
      </w:tr>
      <w:tr>
        <w:trPr>
          <w:trHeight w:val="27"/>
        </w:trPr>
        <w:tc>
          <w:tcPr>
            <w:tcW w:w="12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r>
      <w:tr>
        <w:trPr>
          <w:trHeight w:val="257"/>
        </w:trPr>
        <w:tc>
          <w:tcPr>
            <w:tcW w:w="9920" w:type="dxa"/>
            <w:vAlign w:val="bottom"/>
            <w:gridSpan w:val="2"/>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2,663</w:t>
            </w:r>
          </w:p>
        </w:tc>
      </w:tr>
      <w:tr>
        <w:trPr>
          <w:trHeight w:val="20"/>
        </w:trPr>
        <w:tc>
          <w:tcPr>
            <w:tcW w:w="12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Amortization expense was $0.4 million and $0.3 million for the three months ended June 30, 2015 and 2014, respectively, and $0.9 million and $0.6 million for the six months ended June 30, 2015 and 2014, respectively.</w:t>
      </w:r>
    </w:p>
    <w:p>
      <w:pPr>
        <w:spacing w:after="0" w:line="12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4,987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14,257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97" w:lineRule="auto"/>
        <w:tabs>
          <w:tab w:leader="none" w:pos="50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Company generally does not enter into long-term minimum purchase commitments. Its principal long-term commitments consist of obligations under operating leases for office space. There were no substantial changes to the Company’s contractual obligations or commitments during the six months ended June 30, 2015 as compared to those presented under the heading “Commitments and Contingencies” in Note 12 of the Notes to Consolidated Financial Statements in Part II, Item 8 of the Company’s Annual Report on Form 10-K filed with the SEC on March 2, 2015.</w:t>
      </w:r>
    </w:p>
    <w:p>
      <w:pPr>
        <w:spacing w:after="0" w:line="171"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Rent expense related to non-cancelable operating leases was $0.8 million and $0.9 million for the three months ended June 30, 2015 and 2014, respectively, net of sublease income of $0.2 million for each period, respectively. Rent expense related to non-cancelable operating leases was $1.7 million and $1.8 million for the six months ended June 30, 2015 and 2014, respectively, net of sublease income of $0.3 million for each period,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23" w:lineRule="exact"/>
        <w:rPr>
          <w:sz w:val="20"/>
          <w:szCs w:val="20"/>
          <w:color w:val="auto"/>
        </w:rPr>
      </w:pPr>
    </w:p>
    <w:p>
      <w:pPr>
        <w:ind w:right="140" w:firstLine="486"/>
        <w:spacing w:after="0" w:line="295" w:lineRule="auto"/>
        <w:rPr>
          <w:sz w:val="20"/>
          <w:szCs w:val="20"/>
          <w:color w:val="auto"/>
        </w:rPr>
      </w:pPr>
      <w:r>
        <w:rPr>
          <w:rFonts w:ascii="Arial" w:cs="Arial" w:eastAsia="Arial" w:hAnsi="Arial"/>
          <w:sz w:val="16"/>
          <w:szCs w:val="16"/>
          <w:color w:val="auto"/>
        </w:rPr>
        <w:t>In connection with the Rockstar Transaction (see Note 5, "Patent Assets, Net"), the Company acquired certain common stock, convertible preferred stock, and redeemable convertible preferred stock investments held by the Sellers. To fund the acquisition of these securities, the Company received funding of $6.3 million from a syndicate participant and seller financing of $5.9 million. These balances were considered loans in the Company's condensed consolidated balance sheets and were recorded as deferred payment obligations under current liabilities as they are expected to be repaid within 12 months.</w:t>
      </w:r>
    </w:p>
    <w:p>
      <w:pPr>
        <w:spacing w:after="0" w:line="16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loan received from the syndicate participant bears no interest. The terms of the obligation require repayment up to the $6.3 million received only to the extent of proceeds from the sale of the common and convertible preferred stock securities, which resulted in a difference between the funding received and the fair value of the loan. The Company elected to carry this loan at fair value and has categorized it as a Level 3 instrument due to the significance of unobservable inputs developed using company-specific information used to estimate the loan’s fair value. Changes in fair value are reported in other income, net in the Company's condensed consolidated statements of operations. During the six months ended June 30, 2015, the fair value of this loan decreased from $4.4 million to $3.7 million, resulting in a gain of $0.7 million recognized in other income, net in the condensed consolidated statements of operations.</w:t>
      </w:r>
    </w:p>
    <w:p>
      <w:pPr>
        <w:spacing w:after="0" w:line="16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loan received from the Sellers is carried at cost, bears no interest, and is repayable upon redemption or conversion of the redeemable convertible preferred stock. During the three months ended June 30, 2015, the Company repaid $0.9 million of the seller financing. At June 30, 2015, the loan was recorded at $5.0 million.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litigation or contingencies is both probable and reasonably estimable. No liability for litigation or contingencies was recorded as of June 30, 2015 or December 31, 2014.</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we terminated our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has subsequently continued the stay until July 2015. We are not currently able to determine whether there is a reasonable possibility that a loss has been incurred, nor can we estimate the potential loss or range of the potential loss that may result from this litigation.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June 30, 2015 or December 31, 2014.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by NPEs. As of June 30, 2015, the Company had a total of 62 active policies and had recorded a reserve of $0.5 million for known and incurred but not reported claims that represents estimated claim costs and related expenses.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regularly reviews its loss reserves using a variety of actuarial techniques and updates them as its loss experience develops.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Shares Available</w:t>
            </w: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Aggregate</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for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2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2014</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16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withheld related to net-share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of restricted stock units</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 June 30, 2015</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15,738</w:t>
            </w:r>
          </w:p>
        </w:tc>
      </w:tr>
      <w:tr>
        <w:trPr>
          <w:trHeight w:val="25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June 30, 2015</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12,016</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8"/>
                <w:szCs w:val="18"/>
                <w:color w:val="auto"/>
              </w:rPr>
              <w:t>Vested and expected to vest - June 30, 2015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15,402</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March 2015, the Company reserved an additional 1,000,000 shares of its common stock for future issuance under the 2011 Plan.</w:t>
      </w:r>
    </w:p>
    <w:p>
      <w:pPr>
        <w:spacing w:after="0" w:line="145"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aggregate intrinsic value of stock options exercised during the three months ended June 30, 2015 and 2014 was $4.3 million and $3.6 million, respectively, and $5.9 million and $5.3 million for stock options exercised during the six months ended June 30, 2015 and 2014, respectively. The total grant date fair value of stock options vested during the three months ended June 30, 2015 and 2014 was $0.8 million and $1.8 million, respectively, and $1.8 million and $3.5 million for stock options vested during the six months ended June 30, 2015 and 2014, respectively.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The summary of restricted stock unit (“RSU”) activity, which includes performance-based restricted stock units (“PBRSUs”), is as follows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2014</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June 30, 2015</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50,831</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total grant date fair value of RSUs vested during the three months ended June 30, 2015 and 2014 was $4.8 million and $5.5 million, respectively, and $7.1 million and $7.9 million for RSUs vested during the six months ended June 30, 2015 and 2014, respectively.</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six months ended June 30, 2015, the Company withheld issuing 150,422 shares of its common stock based on the value of the RSUs on their vesting dates as determined by the Company’s closing common stock price. Total payments for employees’ minimum tax obligations to taxing authorities were $2.3 million for the six months ended June 30, 2015,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PBRSUs granted during the six months ended June 30, 2015 contain both service and performance conditions that affect the quantity of awards that will vest. PBRSU's granted during the six months ended June 30, 2014 contain both service and market conditions that affect the quantity of awards that will vest. During the three months ended June 30, 2015 and 2014, the Company granted 54,375 and nil PBRSUs, respectively. During the six months ended June 30, 2015 and 2014, the Company granted 54,375 and 200,000 PBRSUs, respectively. The Company estimates the grant date fair value of PBRSUs which include market conditions using the Monte Carlo simulation model which are only applicable for the six months ended June 30, 2014. The weighted-average assumptions used to estimate the fair value of PBRSUs with market conditions and the resulting fair values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360" w:type="dxa"/>
            <w:vAlign w:val="bottom"/>
            <w:gridSpan w:val="4"/>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60" w:type="dxa"/>
            <w:vAlign w:val="bottom"/>
          </w:tcPr>
          <w:p>
            <w:pPr>
              <w:ind w:left="62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2"/>
              <w:spacing w:after="0"/>
              <w:rPr>
                <w:sz w:val="20"/>
                <w:szCs w:val="20"/>
                <w:color w:val="auto"/>
              </w:rPr>
            </w:pPr>
            <w:r>
              <w:rPr>
                <w:rFonts w:ascii="Arial" w:cs="Arial" w:eastAsia="Arial" w:hAnsi="Arial"/>
                <w:sz w:val="16"/>
                <w:szCs w:val="16"/>
                <w:b w:val="1"/>
                <w:bCs w:val="1"/>
                <w:color w:val="auto"/>
              </w:rPr>
              <w:t>2014</w:t>
            </w: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0.11%</w:t>
            </w:r>
          </w:p>
        </w:tc>
      </w:tr>
      <w:tr>
        <w:trPr>
          <w:trHeight w:val="27"/>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6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6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n/a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7.47</w:t>
            </w:r>
          </w:p>
        </w:tc>
      </w:tr>
    </w:tbl>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Stock-based compensation expense related to stock options granted to employees and directors was $0.7 million and $1.5 million for the three months ended June 30, 2015 and 2014, respectively, and $1.5 million and $3.0 million for the six months ended June 30, 2015 and 2014, respectively. Stock-based compensation expense related to RSUs granted to employees and directors was $3.7 million and $3.4 million for the three months ended June 30, 2015 and 2014, respectively, and $6.8 million and $5.6 million for the six months ended June 30, 2015 and 2014, respectively. Stock-based compensation expense related to PBRSUs granted to employees was $0.2 million for each of the three months ended June 30, 2015 and 2014, respectively, and $0.3 million and $0.4 million for the six months ended June 30, 2015 and 2014, respectively.</w:t>
      </w:r>
    </w:p>
    <w:p>
      <w:pPr>
        <w:spacing w:after="0" w:line="193"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As of June 30, 2015, there was $2.5 million and $36.7 million of unrecognized compensation cost related to stock options and RSUs, including PBRSUs, respectively, which is expected to be recognized over a weighted-average period of 1.0 year and 2.7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As of June 30, 2015, the Company repurchased $3.5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during the period presented as follows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 Repurchased</w:t>
            </w:r>
          </w:p>
        </w:tc>
        <w:tc>
          <w:tcPr>
            <w:tcW w:w="160" w:type="dxa"/>
            <w:vAlign w:val="bottom"/>
          </w:tcPr>
          <w:p>
            <w:pPr>
              <w:spacing w:after="0"/>
              <w:rPr>
                <w:sz w:val="18"/>
                <w:szCs w:val="18"/>
                <w:color w:val="auto"/>
              </w:rPr>
            </w:pPr>
          </w:p>
        </w:tc>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 Price per Share</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Value of Shares Repurchased</w:t>
            </w:r>
          </w:p>
        </w:tc>
      </w:tr>
      <w:tr>
        <w:trPr>
          <w:trHeight w:val="33"/>
        </w:trPr>
        <w:tc>
          <w:tcPr>
            <w:tcW w:w="47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2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Repurchase of shares of common stock</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3,541</w:t>
            </w:r>
          </w:p>
        </w:tc>
      </w:tr>
      <w:tr>
        <w:trPr>
          <w:trHeight w:val="27"/>
        </w:trPr>
        <w:tc>
          <w:tcPr>
            <w:tcW w:w="47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2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3,541</w:t>
            </w:r>
          </w:p>
        </w:tc>
      </w:tr>
      <w:tr>
        <w:trPr>
          <w:trHeight w:val="20"/>
        </w:trPr>
        <w:tc>
          <w:tcPr>
            <w:tcW w:w="47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39% and 37% for the three months ended June 30, 2015 and 2014, respectively and 38% and 37% for the six months ended June 30, 2015 and 2014,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consolidated financial statements as a result of this examination. The 2011 through 2013 tax periods remain open to examination by the Internal Revenue Service and the 2010 through 2013 tax periods remain open to examination by most state tax authorities. For the Company's foreign jurisdictions, the 2009 through 2014 tax years remain open to examination by their respective tax authorities.</w:t>
      </w:r>
    </w:p>
    <w:p>
      <w:pPr>
        <w:spacing w:after="0" w:line="12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During the three months ended June 30, 2015 and 2014, four and five members, respectively, of the Company’s Board of Directors also served on the boards of directors of RPX clients. During each of the six months ended June 30, 2015 and 2014, five members of the Company's Board of Directors also served on the boards of directors of RPX clients. The Company recognized subscription revenue from these clients in the amount of $2.3 million and $2.2 million for the three months ended June 30, 2015 and 2014, respectively, and $4.7 million and $4.3 million for the six months ended June 30, 2015 and 2014, respectively. As of December 31, 2014, there was $0.1 million of receivables due from these clients. There were no receivables due from these clients as of June 30, 2015.</w:t>
      </w:r>
    </w:p>
    <w:p>
      <w:pPr>
        <w:spacing w:after="0" w:line="14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80" w:type="dxa"/>
            <w:vAlign w:val="bottom"/>
            <w:gridSpan w:val="8"/>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w w:val="91"/>
              </w:rPr>
              <w:t>Six Months Ended June 30,</w:t>
            </w:r>
          </w:p>
        </w:tc>
        <w:tc>
          <w:tcPr>
            <w:tcW w:w="7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96,995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Korea</w:t>
            </w: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18,485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21,389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67,551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64,293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150,838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6"/>
        </w:trPr>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March 2, 2015.</w:t>
      </w:r>
    </w:p>
    <w:p>
      <w:pPr>
        <w:spacing w:after="0" w:line="181"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March 2, 2015.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4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During the six months ended June 30, 2015, our revenue grew to $150.8 million from $126.2 million for the six months ended June 30, 2014. Our client count increased by 21 clients during the six months ended June 30, 2015, bringing our total client network to 225 as of June 30, 2015. At June 30, 2015, we had deferred revenue of $142.6 million.</w:t>
      </w:r>
    </w:p>
    <w:p>
      <w:pPr>
        <w:spacing w:after="0" w:line="181"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six months ended June 30, 2015, we completed 45 acquisitions of patent assets and our gross and net acquisition spend totaled $945.3 million and $74.1 million, respectively. From our inception through June 30, 2015, we have completed 272 acquisitions of patent assets with gross and net acquisition spend of $1,860.2 million and $743.4 million, respectively.</w:t>
      </w:r>
    </w:p>
    <w:p>
      <w:pPr>
        <w:spacing w:after="0" w:line="193" w:lineRule="exact"/>
        <w:rPr>
          <w:sz w:val="20"/>
          <w:szCs w:val="20"/>
          <w:color w:val="auto"/>
        </w:rPr>
      </w:pPr>
    </w:p>
    <w:p>
      <w:pPr>
        <w:ind w:right="160" w:firstLine="446"/>
        <w:spacing w:after="0" w:line="271" w:lineRule="auto"/>
        <w:rPr>
          <w:sz w:val="20"/>
          <w:szCs w:val="20"/>
          <w:color w:val="auto"/>
        </w:rPr>
      </w:pPr>
      <w:r>
        <w:rPr>
          <w:rFonts w:ascii="Arial" w:cs="Arial" w:eastAsia="Arial" w:hAnsi="Arial"/>
          <w:sz w:val="17"/>
          <w:szCs w:val="17"/>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to better manage and mitigate the risk of NPE patent litigation. In connection with an evolution of the way that we sell insurance policies, during March 2014 we formed a reinsurance company to assume some portion of the underwriting risk on insurance policies that the we issue on behalf of a Lloyd’s of London underwriting syndicate. We began issuing new policies under the reinsurance model in May 2014. As of June 30, 2015, we had a total of 62 active insurance policies. The effect of the insurance policies that have been issued was not material to our results of operations or financial condition for the six months ended June 30, 2015 or 2014.</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Subscription revenue includes membership subscription services, premiums earned from insurance policies, and management fees.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offering a new insurance product and as a result now recognize only the portion of the underwriting risk that we assume. In addition, we receive management fees for marketing, underwriting, and claims management services. Although we expect this revenue to increase as we sell more policies in the future, for the three and six months ended June 30, 2015 and 2014, insurance premium revenue was not material to our results of operations.</w:t>
      </w:r>
    </w:p>
    <w:p>
      <w:pPr>
        <w:spacing w:after="0" w:line="1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recognize revenue from the sale of licenses and advisory fee income in connection with syndicated acquisitions, which we collectively refer to as fee-related revenue.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are expenses incurred to maintain our patents, prosecute our patent applications, conduct inter partes reviews and prior art searches, and amortization expenses for acquired intangible assets and internally developed software. With the launch of our insurance offering in August 2012, cost of revenue began to include premiums ceded to reinsurers and loss reserves. We began to issue new policies under the reinsurance model in May 2014 and under this model we do not cede premiums.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45 months.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Other income, net primarily consists of interest income earned on our cash, cash equivalents and short-term investments and changes in fair value of our deferred payment obligations.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 likely than not that our deferred tax assets will be fully realized. Accordingly, we have not applied a valuation allowance against our net deferred tax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estimates during the six months ended June 30, 2015, as compared to the critical accounting policies and estimates presented under the heading “Critical Accounting Policies and Estimates” in Part II, Item 7 of the Company’s Annual Report on Form 10-K filed with the SEC on March 2,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31, 2016. The Company is currently evaluating the impact of the adoption of ASU 2014-09 on its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60,462</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11,518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6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3"/>
          </w:tcPr>
          <w:p>
            <w:pPr>
              <w:jc w:val="right"/>
              <w:ind w:right="55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5540"/>
              <w:spacing w:after="0"/>
              <w:rPr>
                <w:sz w:val="20"/>
                <w:szCs w:val="20"/>
                <w:color w:val="auto"/>
              </w:rPr>
            </w:pPr>
            <w:r>
              <w:rPr>
                <w:rFonts w:ascii="Arial" w:cs="Arial" w:eastAsia="Arial" w:hAnsi="Arial"/>
                <w:sz w:val="16"/>
                <w:szCs w:val="16"/>
                <w:b w:val="1"/>
                <w:bCs w:val="1"/>
                <w:color w:val="auto"/>
                <w:w w:val="95"/>
              </w:rPr>
              <w:t>2015</w:t>
            </w:r>
          </w:p>
        </w:tc>
        <w:tc>
          <w:tcPr>
            <w:tcW w:w="17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r>
      <w:tr>
        <w:trPr>
          <w:trHeight w:val="33"/>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Gain on sale of patent assets, net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900" w:type="dxa"/>
            <w:vAlign w:val="bottom"/>
            <w:gridSpan w:val="2"/>
          </w:tcPr>
          <w:p>
            <w:pPr>
              <w:ind w:left="562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revenue for the three months ended June 30, 2015 was $67.6 million compared to $64.3 million during the same period a year prior, an increase of $3.3 million, or 5%. Subscription revenue, which includes membership subscription services, premiums earned from insurance policies, and management fees, for the three months ended June 30, 2015 was $67.6 million compared to $64.3 million for the three months ended June 30, 2014. The increase in subscription revenue was primarily attributable to an increase in membership fees and insurance premiums of $4.7 million from new clients who joined our network subsequent to June 30, 2014 offset by a decrease of $1.4 million from clients who joined our network prior to June 30, 2014. As of June 30, 2015, we had a total client network of 225 companies as compared to 184 as of June 30, 2014.</w:t>
      </w:r>
    </w:p>
    <w:p>
      <w:pPr>
        <w:spacing w:after="0" w:line="17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revenue for the six months ended June 30, 2015 was $150.8 million compared to $126.2 million during the same period a year prior, an increase of $24.6 million, or 19%. Subscription revenue, which includes membership subscription services, premiums earned from insurance policies, and management fees, for the six months ended June 30, 2015 was $133.8 million compared to $125.1 million for the six months ended June 30, 2014. The increase in subscription revenue was primarily attributable to an increase in membership fees and insurance premiums of $8.3 million from new clients who joined our network subsequent to June 30, 2014 and $0.4 million from clients who joined our network prior to June 30, 2014. Revenue for the six months ended June 30, 2015 and 2014 included fee-related revenue of $17.0 million and $1.1 million, respectively. This increase in fee-related revenue was primarily attributable to the success fee earned in relation to a particularly large syndicated acquisition as well as the sale of perpetual licenses to this portfolio.</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cost of revenue for the three months ended June 30, 2015 was $37.0 million compared to $31.5 million during the same period a year prior, an increase of $5.5 million, or 17%. The increase was primarily attributable to a $5.0 million increase in patent amortization expense as a result of an increase in our patent assets and shorter than historical amortization periods for certain patent assets acquired subsequent to June 30, 2014. Patent assets acquired during the three months ended June 30, 2015 had a weighted-average amortization period of 25 months compared with the historical weighted-average since our inception of 45 months. This increase is also attributable to a $0.8 million increase in expenses incurred to maintain and prosecute patents and patent applications included in our portfolio and a $0.2 million increase in expenses incurred to conduct inter partes reviews and prior art searches offset by $0.5 million decrease in costs related to our insurance business.</w:t>
      </w:r>
    </w:p>
    <w:p>
      <w:pPr>
        <w:spacing w:after="0" w:line="17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cost of revenue for the six months ended June 30, 2015 was $71.7 million compared to $60.5 million during the same period a year prior, an increase of $11.2 million, or 19%. The increase was primarily attributable to a $10.5 million increase in patent amortization expense as a result of an increase in our patent assets, and shorter than historical amortization periods for certain patent assets acquired subsequent to June 30, 2014. Patent assets acquired during the six months ended June 30, 2015 had a weighted-average amortization period of 40 months compared with the historical weighted-average since our inception of 45 months. This increase is also attributable to a $1.0 million increase in expenses incurred to maintain and prosecute patents and patent applications included in our portfolio and a $0.3 million increase in expenses incurred to conduct inter partes reviews and prior art searches offset by $0.6 million decrease in costs related to our insurance business.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Our selling, general and administrative expenses for the three months ended June 30, 2015 were $19.0 million compared to $18.6 million during the same period a year prior, an increase of $0.4 million, or 2%. The increase was primarily due to a $0.4 million increase in personnel-related costs primarily attributable to increasing our headcount to 153 employees as of June 30, 2015 as we continued to expand the parts of our organization that support our clients.</w:t>
      </w:r>
    </w:p>
    <w:p>
      <w:pPr>
        <w:spacing w:after="0" w:line="147"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Our selling, general and administrative expenses for the six months ended June 30, 2015 were $38.5 million compared to $35.8 million during the same period a year prior, an increase of $2.7 million, or 8%. The increase was primarily due to a $1.9 million increase in personnel-related costs primarily attributable to increasing our headcount to 153 employees as of June 30, 2015. The remaining increase was due to increases in general corporate expenses.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Our other income, net for the three months ended June 30, 2015 was $0.9 million compared to $0.1 million during the same period a year prior, an increase of $0.8 million. The increase was primarily due to a $0.7 million fair value adjustment on our deferred payment obligations.</w:t>
      </w:r>
    </w:p>
    <w:p>
      <w:pPr>
        <w:spacing w:after="0" w:line="147"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Our other income, net for the six months ended June 30, 2015 was $1.1 million compared to $0.2 million during the same period a year prior, an increase of $0.9 million. The increase was primarily due to a $0.7 million fair value adjustment on our deferred payment obligations.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provision for income taxes was $5.1 million and $5.6 million for the three months ended June 30, 2015 and 2014, respectively, and $16.2 million and $11.5 million for the six months ended June 30, 2015 and 2014, respectively. Our effective tax rate, including the impact of discrete benefit items, was 39% and 37% for the three months ended June 30, 2015 and 2014, respectively, and 38% and 37% for the six months ended June 30, 2015 and 2014,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80" w:firstLine="446"/>
        <w:spacing w:after="0" w:line="289" w:lineRule="auto"/>
        <w:rPr>
          <w:sz w:val="20"/>
          <w:szCs w:val="20"/>
          <w:color w:val="auto"/>
        </w:rPr>
      </w:pPr>
      <w:r>
        <w:rPr>
          <w:rFonts w:ascii="Arial" w:cs="Arial" w:eastAsia="Arial" w:hAnsi="Arial"/>
          <w:sz w:val="16"/>
          <w:szCs w:val="16"/>
          <w:color w:val="auto"/>
        </w:rPr>
        <w:t>We have financed substantially all of our operations and patent asset acquisitions through subscription and other fees collected from our clients, patent-seller financing, and the sale of equity securities. As of June 30, 2015, we had $101.9 million of cash and cash equivalents and $279.3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18,434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six months ended June 30, 2015 was $108.1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$79.0 million, changes in working capital and non-current assets and liabilities of $3.0 million and net income of $26.1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primarily consisted of $70.0 million of depreciation and amortization, $8.5 million of stock-based compensation, and $3.2 million of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offset by a reduction of $1.2 million due to excess tax benefit from stock-based compensation, a $0.6 million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assets, a $0.2 million net increase in our deferred taxes, and a $0.7 million fair value adjustment on our deferred payment obligations.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and non-current assets and liabilities resulted primarily from a $13.2 million decrease in accounts receivable, a $6.3 million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and a $0.4 million increase in accounts payable, partially offset by a $12.1 million increase in prepaid expenses and other assets and a $4.9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decrease in our accrued and other liabilities. The decrease in accounts receivable was due to $161.4 million in cash collections,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billings to new and existing clients of $148.2 million. The increase in deferred revenue was due to revenue recognized during the period of $134.4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$140.7 million in billings to new and existing clients. The amount of deferred revenue in any given period varies with the addition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clients, the mix of payment terms that we offer and the timing of invoicing existing clients.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six months ended June 30, 2014 was $100.3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$67.4 million, changes in working capital and non-current assets and liabilities of $13.7 million and net income of $19.3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primarily consisted of $59.3 million of depreciation and amortization, $8.9 million of stock-based compensation, $3.4 million of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a reduction of $2.0 million due to excess tax benefit from stock-based compensation and a $1.0 million net decrease in our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liabilities. The change in working capital and non-current assets and liabilities resulted primarily from a $26.4 million decrease in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$6.6 million decrease in deferred revenue, a $5.3 million increase in prepaid expenses and other assets and a $0.8 million decrease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and other liabilities. The decrease in accounts receivable was due to $145.1 million in cash collections, partially offset by billings to new and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of $118.7 million. The decrease in deferred revenue was due to revenue and other adjustments recognized during the period of $125.3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$118.7 million in billings to new and existing clients. The amount of deferred revenue in any given period varies with the addition of new clients,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mix of payment terms that we offer and the timing of invoicing existing clients.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Cash used in investing activities for the six months ended June 30, 2015 was $89.2 million, of which $48.9 million was used to acquire patent assets, $37.1 million represented net purchases of short-term marketable securities, $2.5 million was used for acquisitions of other assets, $1.1 million was used to acquire property and equipment, and $0.4 million was used for the final payment of the acquisition of DCML Services Corporation. This decrease was partially offset by $0.7 million in proceeds from the sale of patent assets and $0.3 million decrease in restricted cash.</w:t>
      </w:r>
    </w:p>
    <w:p>
      <w:pPr>
        <w:spacing w:after="0" w:line="171"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Cash used in investing activities for the six months ended June 30, 2014 was $83.6 million, of which $73.9 million was used to acquire patent assets, $7.7 million represented net purchases of short-term marketable securities, $2.2 million was used in the acquisition of DCML Services Corporation, and $0.8 million was used to acquire property and equipment. This decrease was partially offset by $0.9 million in proceeds from the sale of patent assets.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Cash provided by financing activities for the six months ended June 30, 2015 was $5.0 million, of which $6.3 million was from proceeds from deferred payment obligations, $4.3 million was the result of proceeds from the exercise of stock options and other common stock issuances and $1.2 million was due to excess tax benefit from stock-based compensation. This increase was partially offset by $3.5 million used to repurchase our common stock under our share repurchase program, $2.3 million in taxes paid related to net-share settlements of restricted stock units, and $0.9 million used for repayments of deferred payment obligations.</w:t>
      </w:r>
    </w:p>
    <w:p>
      <w:pPr>
        <w:spacing w:after="0" w:line="188"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Cash provided by financing activities for the six months ended June 30, 2014 was $1.7 million, of which $2.4 million was the result of proceeds from the exercise of stock options and other common stock issuances and $2.0 million was due to excess tax benefit from stock-based compensation. This increase was partially offset by $2.7 million in taxes paid related to net-share settlements of restricted stock units.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7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generally do not enter into long-term minimum purchase commitments. Our principal long-term commitments consist of obligations under operating leases for office space. There were no substantial changes to our contractual obligations and commitments during the six months ended June 30, 2015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March 2, 2015.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June 30, 2015, we had repurchased an aggregate of 238,000 shares of common stock in the open market for $3.5 million under the share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At June 30, 2015,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international offices are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$381.2 million as of June 30, 2015.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June 30, 2015, our short-term investments of $279.3 million were primarily invested in municipal and corporate bonds maturing between 90 days and 12 months, U.S. government and agency securities, commercial paper, and equity securities. As of June 30, 2015,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2015, we had not recorded an impairment related to our investments in the condensed consolidated statement of operations.</w:t>
      </w:r>
    </w:p>
    <w:p>
      <w:pPr>
        <w:spacing w:after="0" w:line="19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If overall interest rates had changed by 10% during the six months ended June 30, 2015,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six months ended June 30, 2015. There can be no assurance that future inflation will not have an adverse impact on our consolidated results of operations or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2015, our Chief Executive Officer and Chief Financial Officer concluded that, as of such date, the Company’s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2015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Refer to Note 9,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right="1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100" w:hanging="326"/>
        <w:spacing w:after="0" w:line="325"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8"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If the market for our solution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June 30, 2015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33"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2"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otherwise offer growth opportunities. For example, in June 2014 we acquired DCML Services Corporation, a provider of data, intelligence and consulting on NPEs.</w:t>
      </w:r>
    </w:p>
    <w:p>
      <w:pPr>
        <w:spacing w:after="0" w:line="17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40" w:firstLine="446"/>
        <w:spacing w:after="0" w:line="297"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58"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with our involvement in litigation could have an adverse effect on our business, prospects, financial condition, operating results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six months ended June 30, 2015, our 10 highest revenue-generating clients accounted for approximately 28%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1"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 w:lineRule="exact"/>
        <w:rPr>
          <w:sz w:val="20"/>
          <w:szCs w:val="20"/>
          <w:color w:val="auto"/>
        </w:rPr>
      </w:pPr>
    </w:p>
    <w:p>
      <w:pPr>
        <w:ind w:right="40" w:firstLine="270"/>
        <w:spacing w:after="0" w:line="285"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73"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NPE insurance product.</w:t>
      </w:r>
    </w:p>
    <w:p>
      <w:pPr>
        <w:spacing w:after="0" w:line="77"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6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As of June 30, 2015, some of our existing stockholders have demand and piggyback rights to require us to register with the SEC approximately 1,280,000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In February 2015, our board of directors approved a share repurchase program of up to $75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June 30, 2015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April 30,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151,078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151,078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72,500,851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31, 2015</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71,611,914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71,459,902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80" w:firstLine="8"/>
        <w:spacing w:after="0" w:line="271" w:lineRule="auto"/>
        <w:tabs>
          <w:tab w:leader="none" w:pos="19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As of June 30, 2015, the Company repurchased $3.5 million of the outstanding common stock. Under the program, shares may be repurchased in privately negotiated and/or open market transactions, including under plans complying with Rule 10b5-1 under the Securities Exchange Act of 1934, as amended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-708025</wp:posOffset>
            </wp:positionV>
            <wp:extent cx="1003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-708025</wp:posOffset>
            </wp:positionV>
            <wp:extent cx="1020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3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w:t>
            </w:r>
          </w:p>
        </w:tc>
        <w:tc>
          <w:tcPr>
            <w:tcW w:w="5040" w:type="dxa"/>
            <w:vAlign w:val="bottom"/>
          </w:tcPr>
          <w:p>
            <w:pPr>
              <w:ind w:left="40"/>
              <w:spacing w:after="0"/>
              <w:rPr>
                <w:sz w:val="20"/>
                <w:szCs w:val="20"/>
                <w:color w:val="auto"/>
              </w:rPr>
            </w:pPr>
            <w:r>
              <w:rPr>
                <w:rFonts w:ascii="Arial" w:cs="Arial" w:eastAsia="Arial" w:hAnsi="Arial"/>
                <w:sz w:val="14"/>
                <w:szCs w:val="14"/>
                <w:color w:val="auto"/>
                <w:w w:val="97"/>
              </w:rPr>
              <w:t>Asset Purchase Agreement (Redacted), dated December 22, 2014, by and among</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Rockstar Consortium US LP, Rockstar Consortium LLC, Bockstar Technologies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LLC, Constellation Technologies LLC, MobileStar Technologies LLC, NetStar</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Technologies LLC, RPX Clearinghouse LLC, and the Registrant</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8-K/A</w:t>
            </w:r>
          </w:p>
        </w:tc>
        <w:tc>
          <w:tcPr>
            <w:tcW w:w="1020" w:type="dxa"/>
            <w:vAlign w:val="bottom"/>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4/9/2015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194" w:lineRule="exact"/>
        <w:rPr>
          <w:sz w:val="20"/>
          <w:szCs w:val="20"/>
          <w:color w:val="auto"/>
        </w:rPr>
      </w:pPr>
    </w:p>
    <w:p>
      <w:pPr>
        <w:sectPr>
          <w:pgSz w:w="11900" w:h="16838" w:orient="portrait"/>
          <w:cols w:equalWidth="0" w:num="2">
            <w:col w:w="6200" w:space="120"/>
            <w:col w:w="5100"/>
          </w:cols>
          <w:pgMar w:left="240" w:top="125" w:right="239" w:bottom="1440" w:gutter="0" w:footer="0" w:header="0"/>
        </w:sectPr>
      </w:pPr>
    </w:p>
    <w:p>
      <w:pPr>
        <w:spacing w:after="0"/>
        <w:rPr>
          <w:sz w:val="20"/>
          <w:szCs w:val="20"/>
          <w:color w:val="auto"/>
        </w:rPr>
      </w:pPr>
      <w:r>
        <w:rPr>
          <w:rFonts w:ascii="Arial" w:cs="Arial" w:eastAsia="Arial" w:hAnsi="Arial"/>
          <w:sz w:val="11"/>
          <w:szCs w:val="11"/>
          <w:color w:val="auto"/>
        </w:rPr>
        <w:t>† Portions of this exhibit have been omitted and filed separately with the Securities and Exchange Commission pursuant to a request for confidential treatment that has been granted.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820" w:type="dxa"/>
            <w:vAlign w:val="bottom"/>
            <w:gridSpan w:val="3"/>
          </w:tcPr>
          <w:p>
            <w:pPr>
              <w:ind w:left="1740"/>
              <w:spacing w:after="0"/>
              <w:rPr>
                <w:sz w:val="20"/>
                <w:szCs w:val="20"/>
                <w:color w:val="auto"/>
              </w:rPr>
            </w:pPr>
            <w:r>
              <w:rPr>
                <w:rFonts w:ascii="Arial" w:cs="Arial" w:eastAsia="Arial" w:hAnsi="Arial"/>
                <w:sz w:val="18"/>
                <w:szCs w:val="18"/>
                <w:color w:val="auto"/>
              </w:rPr>
              <w:t>RPX CORPORATION</w:t>
            </w:r>
          </w:p>
        </w:tc>
      </w:tr>
      <w:tr>
        <w:trPr>
          <w:trHeight w:val="270"/>
        </w:trPr>
        <w:tc>
          <w:tcPr>
            <w:tcW w:w="3380" w:type="dxa"/>
            <w:vAlign w:val="bottom"/>
          </w:tcPr>
          <w:p>
            <w:pPr>
              <w:spacing w:after="0"/>
              <w:rPr>
                <w:sz w:val="23"/>
                <w:szCs w:val="23"/>
                <w:color w:val="auto"/>
              </w:rPr>
            </w:pP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380" w:type="dxa"/>
            <w:vAlign w:val="bottom"/>
          </w:tcPr>
          <w:p>
            <w:pPr>
              <w:spacing w:after="0"/>
              <w:rPr>
                <w:sz w:val="20"/>
                <w:szCs w:val="20"/>
                <w:color w:val="auto"/>
              </w:rPr>
            </w:pPr>
            <w:r>
              <w:rPr>
                <w:rFonts w:ascii="Arial" w:cs="Arial" w:eastAsia="Arial" w:hAnsi="Arial"/>
                <w:sz w:val="18"/>
                <w:szCs w:val="18"/>
                <w:color w:val="auto"/>
              </w:rPr>
              <w:t>Date:  August 4, 2015</w:t>
            </w: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380" w:type="dxa"/>
            <w:vAlign w:val="bottom"/>
          </w:tcPr>
          <w:p>
            <w:pPr>
              <w:spacing w:after="0"/>
              <w:rPr>
                <w:sz w:val="20"/>
                <w:szCs w:val="20"/>
                <w:color w:val="auto"/>
              </w:rPr>
            </w:pPr>
            <w:r>
              <w:rPr>
                <w:rFonts w:ascii="Arial" w:cs="Arial" w:eastAsia="Arial" w:hAnsi="Arial"/>
                <w:sz w:val="18"/>
                <w:szCs w:val="18"/>
                <w:color w:val="auto"/>
              </w:rPr>
              <w:t>Date:  August 4, 2015</w:t>
            </w:r>
          </w:p>
        </w:tc>
        <w:tc>
          <w:tcPr>
            <w:tcW w:w="27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HEATH</w:t>
            </w:r>
          </w:p>
        </w:tc>
      </w:tr>
      <w:tr>
        <w:trPr>
          <w:trHeight w:val="27"/>
        </w:trPr>
        <w:tc>
          <w:tcPr>
            <w:tcW w:w="3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Heath</w:t>
            </w:r>
          </w:p>
        </w:tc>
      </w:tr>
    </w:tbl>
    <w:p>
      <w:pPr>
        <w:spacing w:after="0" w:line="4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80"/>
          </w:cols>
          <w:pgMar w:left="240" w:top="125" w:right="8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Heath, certify that:</w:t>
      </w:r>
    </w:p>
    <w:p>
      <w:pPr>
        <w:spacing w:after="0" w:line="90"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2015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2015 of RPX Corporation, (the “Company”) as filed with the Securities and Exchange Commission on the date hereof (the “Report”), I, Robert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2019-12-29T16:11:48Z</dcterms:created>
  <dcterms:modified xsi:type="dcterms:W3CDTF">2019-12-29T16:11:48Z</dcterms:modified>
</cp:coreProperties>
</file>