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40" w:hanging="132"/>
        <w:spacing w:after="0"/>
        <w:tabs>
          <w:tab w:leader="none" w:pos="140" w:val="left"/>
        </w:tabs>
        <w:numPr>
          <w:ilvl w:val="0"/>
          <w:numId w:val="1"/>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80"/>
          </w:cols>
          <w:pgMar w:left="240" w:top="233" w:right="27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8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80"/>
          </w:cols>
          <w:pgMar w:left="240" w:top="233" w:right="2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jc w:val="both"/>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x ] NO [ ]</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1020" w:type="dxa"/>
            <w:vAlign w:val="bottom"/>
          </w:tcPr>
          <w:p>
            <w:pPr>
              <w:jc w:val="center"/>
              <w:ind w:left="419"/>
              <w:spacing w:after="0"/>
              <w:rPr>
                <w:sz w:val="20"/>
                <w:szCs w:val="20"/>
                <w:color w:val="auto"/>
              </w:rPr>
            </w:pPr>
            <w:r>
              <w:rPr>
                <w:rFonts w:ascii="Arial" w:cs="Arial" w:eastAsia="Arial" w:hAnsi="Arial"/>
                <w:sz w:val="16"/>
                <w:szCs w:val="16"/>
                <w:color w:val="auto"/>
              </w:rPr>
              <w:t>[ x ]</w:t>
            </w:r>
          </w:p>
        </w:tc>
        <w:tc>
          <w:tcPr>
            <w:tcW w:w="4280" w:type="dxa"/>
            <w:vAlign w:val="bottom"/>
          </w:tcPr>
          <w:p>
            <w:pPr>
              <w:spacing w:after="0"/>
              <w:rPr>
                <w:sz w:val="17"/>
                <w:szCs w:val="17"/>
                <w:color w:val="auto"/>
              </w:rPr>
            </w:pPr>
          </w:p>
        </w:tc>
        <w:tc>
          <w:tcPr>
            <w:tcW w:w="2720" w:type="dxa"/>
            <w:vAlign w:val="bottom"/>
          </w:tcPr>
          <w:p>
            <w:pPr>
              <w:ind w:left="40"/>
              <w:spacing w:after="0"/>
              <w:rPr>
                <w:sz w:val="20"/>
                <w:szCs w:val="20"/>
                <w:color w:val="auto"/>
              </w:rPr>
            </w:pPr>
            <w:r>
              <w:rPr>
                <w:rFonts w:ascii="Arial" w:cs="Arial" w:eastAsia="Arial" w:hAnsi="Arial"/>
                <w:sz w:val="16"/>
                <w:szCs w:val="16"/>
                <w:color w:val="auto"/>
              </w:rPr>
              <w:t>Accelerated filer</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432"/>
        </w:trPr>
        <w:tc>
          <w:tcPr>
            <w:tcW w:w="21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 ]</w:t>
            </w:r>
          </w:p>
        </w:tc>
        <w:tc>
          <w:tcPr>
            <w:tcW w:w="4280" w:type="dxa"/>
            <w:vAlign w:val="bottom"/>
          </w:tcPr>
          <w:p>
            <w:pPr>
              <w:ind w:left="100"/>
              <w:spacing w:after="0"/>
              <w:rPr>
                <w:sz w:val="20"/>
                <w:szCs w:val="20"/>
                <w:color w:val="auto"/>
              </w:rPr>
            </w:pPr>
            <w:r>
              <w:rPr>
                <w:rFonts w:ascii="Arial" w:cs="Arial" w:eastAsia="Arial" w:hAnsi="Arial"/>
                <w:sz w:val="16"/>
                <w:szCs w:val="16"/>
                <w:color w:val="auto"/>
              </w:rPr>
              <w:t>(Do not check if a smaller reporting company)</w:t>
            </w:r>
          </w:p>
        </w:tc>
        <w:tc>
          <w:tcPr>
            <w:tcW w:w="2720" w:type="dxa"/>
            <w:vAlign w:val="bottom"/>
          </w:tcPr>
          <w:p>
            <w:pPr>
              <w:ind w:left="40"/>
              <w:spacing w:after="0"/>
              <w:rPr>
                <w:sz w:val="20"/>
                <w:szCs w:val="20"/>
                <w:color w:val="auto"/>
              </w:rPr>
            </w:pPr>
            <w:r>
              <w:rPr>
                <w:rFonts w:ascii="Arial" w:cs="Arial" w:eastAsia="Arial" w:hAnsi="Arial"/>
                <w:sz w:val="16"/>
                <w:szCs w:val="16"/>
                <w:color w:val="auto"/>
              </w:rPr>
              <w:t>Smaller reporting company</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8"/>
        </w:trPr>
        <w:tc>
          <w:tcPr>
            <w:tcW w:w="7420" w:type="dxa"/>
            <w:vAlign w:val="bottom"/>
            <w:gridSpan w:val="3"/>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720" w:type="dxa"/>
            <w:vAlign w:val="bottom"/>
          </w:tcPr>
          <w:p>
            <w:pPr>
              <w:ind w:left="60"/>
              <w:spacing w:after="0"/>
              <w:rPr>
                <w:sz w:val="20"/>
                <w:szCs w:val="20"/>
                <w:color w:val="auto"/>
              </w:rPr>
            </w:pPr>
            <w:r>
              <w:rPr>
                <w:rFonts w:ascii="Arial" w:cs="Arial" w:eastAsia="Arial" w:hAnsi="Arial"/>
                <w:sz w:val="16"/>
                <w:szCs w:val="16"/>
                <w:color w:val="auto"/>
              </w:rPr>
              <w:t>YES [ ]  NO [ x ]</w:t>
            </w:r>
          </w:p>
        </w:tc>
        <w:tc>
          <w:tcPr>
            <w:tcW w:w="1080" w:type="dxa"/>
            <w:vAlign w:val="bottom"/>
          </w:tcPr>
          <w:p>
            <w:pPr>
              <w:spacing w:after="0"/>
              <w:rPr>
                <w:sz w:val="24"/>
                <w:szCs w:val="24"/>
                <w:color w:val="auto"/>
              </w:rPr>
            </w:pPr>
          </w:p>
        </w:tc>
      </w:tr>
      <w:tr>
        <w:trPr>
          <w:trHeight w:val="243"/>
        </w:trPr>
        <w:tc>
          <w:tcPr>
            <w:tcW w:w="7420" w:type="dxa"/>
            <w:vAlign w:val="bottom"/>
            <w:gridSpan w:val="3"/>
          </w:tcPr>
          <w:p>
            <w:pPr>
              <w:spacing w:after="0"/>
              <w:rPr>
                <w:sz w:val="20"/>
                <w:szCs w:val="20"/>
                <w:color w:val="auto"/>
              </w:rPr>
            </w:pPr>
            <w:r>
              <w:rPr>
                <w:rFonts w:ascii="Arial" w:cs="Arial" w:eastAsia="Arial" w:hAnsi="Arial"/>
                <w:sz w:val="16"/>
                <w:szCs w:val="16"/>
                <w:color w:val="auto"/>
                <w:w w:val="93"/>
              </w:rPr>
              <w:t>There were 49,152,648 shares of the registrant’s common stock issued and outstanding as of October 28, 2016.</w:t>
            </w:r>
          </w:p>
        </w:tc>
        <w:tc>
          <w:tcPr>
            <w:tcW w:w="27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2016 and 2015 (unaudited)</w:t>
              </w:r>
            </w:hyperlink>
          </w:p>
        </w:tc>
        <w:tc>
          <w:tcPr>
            <w:tcW w:w="1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for the Three and Nine Months Ended September 30, 2016 and 2015</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00" w:type="dxa"/>
            <w:vAlign w:val="bottom"/>
          </w:tcPr>
          <w:p>
            <w:pPr>
              <w:spacing w:after="0"/>
              <w:rPr>
                <w:sz w:val="17"/>
                <w:szCs w:val="17"/>
                <w:color w:val="auto"/>
              </w:rPr>
            </w:pPr>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2016 and 2015 (unaudited)</w:t>
              </w:r>
            </w:hyperlink>
          </w:p>
        </w:tc>
        <w:tc>
          <w:tcPr>
            <w:tcW w:w="86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74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rPr>
              <w:t>PART I. FINANCIAL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74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5"/>
              </w:rPr>
              <w:t>RPX Corporation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74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74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88"/>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74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1"/>
              </w:rPr>
              <w:t>(unaudited)</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94,983</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231,015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34,326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13,905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12,643</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353,247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254,560</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4,733</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156,347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19,978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16,619</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6,896</w:t>
            </w:r>
          </w:p>
        </w:tc>
      </w:tr>
      <w:tr>
        <w:trPr>
          <w:trHeight w:val="297"/>
        </w:trPr>
        <w:tc>
          <w:tcPr>
            <w:tcW w:w="378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assets</w:t>
            </w:r>
          </w:p>
        </w:tc>
        <w:tc>
          <w:tcPr>
            <w:tcW w:w="45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713,456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658,561</w:t>
            </w:r>
          </w:p>
        </w:tc>
      </w:tr>
      <w:tr>
        <w:trPr>
          <w:trHeight w:val="23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14,842</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110,921</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payment obligations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2,383</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129,572</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4,731</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89,885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7,779</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228,973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142,082</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357,484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344,610</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172,115</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484,483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516,479</w:t>
            </w:r>
          </w:p>
        </w:tc>
      </w:tr>
      <w:tr>
        <w:trPr>
          <w:trHeight w:val="250"/>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5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713,456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147,566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109,383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interest and other income (expense), net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49,713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50,932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50,247</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55,703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51,462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55,547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Unrealized holding gains (losses) on available-for-sale securities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arising during the period,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(4,258)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33,694</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235"/>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16,502</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33,895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129,312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107,026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13,128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(1,404)</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sale of patent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1,564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4,838</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Unrealized foreign currency loss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Fair value adjustments on deferred payment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(1,317)</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Gain on extinguishment of deferred payment obligation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Realized loss on exchange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902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14,117</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(9,790)</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718</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Accrued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(2,833)</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(13,063)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(18,878)</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138,532</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(205,393)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Maturities of investments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48,073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182,725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Sales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(228,453)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Decrease in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(1,617)</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Acquisitions of patent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(84,068)</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sale of patent assets</w:t>
            </w: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650</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 of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(171,008)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(110,331)</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Repayment of principal on deferred payment obligations</w:t>
            </w: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issuance of term debt</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Repayment of principal on term debt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acquisition payment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3,657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4,646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1,404</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Payments of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Repurchase of common stock</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(50,752)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(9,367)</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(1,652)</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Foreign-currency effect on cash and cash equivalents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26,549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94,983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78,019</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104,568</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patent assets purchased and accrued but not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fixed assets purchased and accrued but not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Patent assets received in barter transactions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Nonmonetary exchange of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5,935</w:t>
            </w: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occasionally enters into agreements to acquire covenants not to sue in order to further mitigate its clients’ litigation risk. The acquired patents, licenses to patents, patent rights and agreements for covenants not to sue are collectively referred to as “patent assets.” The Company’s patent risk management clients pay an annual subscription fee and in return, receive a license from the Company to substantially all of its patent assets and access to its proprietary patent market intelligence and data. In some instances, the Company accepts a payment from a client to finance part or all of an acquisition involving patent assets that may cost more than the Company is prepared to spend with its own capital resources or that are relevant only to a very small number of clients. In these instances, the Company facilitates syndicated transactions that include cash contributions from participating clients in addition to their annual subscription fees.</w:t>
      </w:r>
    </w:p>
    <w:p>
      <w:pPr>
        <w:spacing w:after="0" w:line="169"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In addition to the Company’s core solution, the Company underwrites patent infringement liability insurance policies to insure against certain costs of litigation through its reinsurance company which assumes a portion of the underwriting risk on insurance policies that the Company issues on behalf of a Lloyd’s of London underwriting syndicate. As of and for the nine months ended September 30, 2016, the effect of the insurance policies that the Company has issued or assumed through its reinsurance business was not material to the Company’s results of operations, financial condition or cash flows.</w:t>
      </w:r>
    </w:p>
    <w:p>
      <w:pPr>
        <w:spacing w:after="0" w:line="15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January 2016, the Company acquired Inventus Solutions, Inc. ("Inventus"), now a wholly-owned subsidiary of the Company, and began offering its discovery services solution which provides technology-enabled services to assist leading law firms and corporate legal departments manage costs and risks related to the litigation discovery process. The Company's discovery services solution includes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7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accompanying condensed consolidated balance sheet as of September 30, 2016, the condensed consolidated statements of operations and the condensed consolidated statements of comprehensive income for the three and nine months ended September 30, 2016 and 2015, and the condensed consolidated statements of cash flows for the nine months ended September 30, 2016 and 2015, are unaudited. The condensed consolidated balance sheet as of December 31, 2015 was derived from the audited consolidated financial statements which are included in the Company’s Annual Report on Form 10-K for the fiscal year ended December 31, 2015, which was filed with the U.S. Securities and Exchange Commission (“SEC”) on February 26, 2016. The unaudited condensed consolidated financial statements should be read in conjunction with the audited financial statements and accompanying notes included in the Company’s Annual Report on Form 10-K for the year ended December 31, 2015.</w:t>
      </w:r>
    </w:p>
    <w:p>
      <w:pPr>
        <w:spacing w:after="0" w:line="17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or nine months ended September 30, 2016 are not necessarily indicative of the results that may be expected for any subsequent interim period or for the year ending December 31, 2016.</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Other than the adoption of the revenue recognition policies related to the acquired discovery services solution disclosed below, there have been no material changes to the Company’s significant accounting policies during the nine months ended September 30, 2016,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26, 2016.</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 xml:space="preserve">The Company recognizes revenue from its discovery services solution in accordance with Accounting Standards Codification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Under ASC 605, revenue is recognized when persuasive evidence of an arrangement exists, the related services are provided,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fixed or determinable, and collectability is reasonably assured.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Company's significant sources of revenue from its discovery services solution:</w:t>
      </w:r>
    </w:p>
    <w:p>
      <w:pPr>
        <w:spacing w:after="0" w:line="225" w:lineRule="exact"/>
        <w:rPr>
          <w:sz w:val="20"/>
          <w:szCs w:val="20"/>
          <w:color w:val="auto"/>
        </w:rPr>
      </w:pP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hosting fees based on data stored and number of users;</w:t>
      </w:r>
    </w:p>
    <w:p>
      <w:pPr>
        <w:spacing w:after="0" w:line="23" w:lineRule="exact"/>
        <w:rPr>
          <w:rFonts w:ascii="Arial" w:cs="Arial" w:eastAsia="Arial" w:hAnsi="Arial"/>
          <w:sz w:val="18"/>
          <w:szCs w:val="18"/>
          <w:color w:val="auto"/>
        </w:rPr>
      </w:pPr>
    </w:p>
    <w:p>
      <w:pPr>
        <w:ind w:left="1540" w:hanging="249"/>
        <w:spacing w:after="0" w:line="250"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 review services which assist clients in the manual review of data responsive to a legal matter; and</w:t>
      </w:r>
    </w:p>
    <w:p>
      <w:pPr>
        <w:spacing w:after="0" w:line="9" w:lineRule="exact"/>
        <w:rPr>
          <w:rFonts w:ascii="Arial" w:cs="Arial" w:eastAsia="Arial" w:hAnsi="Arial"/>
          <w:sz w:val="18"/>
          <w:szCs w:val="18"/>
          <w:color w:val="auto"/>
        </w:rPr>
      </w:pP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printing and binding services (paper-based services).</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enters into agreements pursuant to which the Company offers various discovery services. Clients are generally billed monthly based on contractual unit prices and volumes for services delivered. The agreements are typically for an indefinite period of time, however, they are cancelable at will by either party. The Company is entitled to all fees incurred for services performed. The majority of the Company's discovery services revenue comes from two types of billing arrangements: usage based and fixed fee.</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processionals at agreed upon rates.</w:t>
      </w:r>
    </w:p>
    <w:p>
      <w:pPr>
        <w:spacing w:after="0" w:line="18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 fixed-fee billing arrangements, the Company agrees to a pre-established monthly fee over a specified term in exchange for various services. The fees are not tied to the attainment of any contractually defined objectives and the monthly fee is nonrefundable.</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Based on an evaluation of the discovery services delivered to each client, the Company has determined that each deliverable has stand-alone value to the client as each of the Company’s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 The Company recognizes revenue from these arrangements based on contractually stated prices. The Company allocates revenue to the various units of accounting in its arrangements based on the best estimate of selling price for each unit of accounting, which are consistent with the stated prices in those arrangements.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discovery services arrangements do not include any substantive general rights of return or other contingencies.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Statement of Cash Flows (Topic 230):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The standard is intended to eliminate diversity in practice in how certain cash receipts and cash payments are presented and classified in the statement of cash flows. ASU 2016-15 will be effective for fiscal years beginning after December 15, 2017. Early adoption is permitted for all entities. The Company is currently evaluating the impact of this guidance on its consolidated financial statements.</w:t>
      </w:r>
    </w:p>
    <w:p>
      <w:pPr>
        <w:spacing w:after="0" w:line="188"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("ASU 2016-13") on measurement of credit losses on financial instruments. This ASU requires financial assets measured at amortized cost to be presented at the net amount expected to be collected and available-for-sale debt securities to record credit losses through an allowance for credit losses. ASU 2016-13 will be effective for fiscal years, and interim periods within those fiscal years, beginning after December 15, 2019. Early adoption is permitted as early as of the fiscal years beginning after December 15, 2018. The Company is currently evaluating the impact of this guidance on its consolidated financial statements.</w:t>
      </w:r>
    </w:p>
    <w:p>
      <w:pPr>
        <w:spacing w:after="0" w:line="17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This ASU affects entities that issue share-based payment awards to their employees. ASU 2016-09 is designed to simplify several aspects of accounting for share-based payment award transactions that include the income tax consequences, classification of awards as either equity or liabilities, classification on the statement of cash flows, and forfeiture rate calculations. ASU 2016-09 will become effective for annual and interim periods beginning after December 15, 2016, and early adoption is permitted in any interim or annual period. The Company is currently evaluating the impact of this guidance on its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The new standard is effective for interim and annual periods beginning after December 15, 2018 and early adoption is permitted. The Company is currently evaluating the impact of this guidance on its consolidated financial statements.</w:t>
      </w:r>
    </w:p>
    <w:p>
      <w:pPr>
        <w:spacing w:after="0" w:line="188" w:lineRule="exact"/>
        <w:rPr>
          <w:sz w:val="20"/>
          <w:szCs w:val="20"/>
          <w:color w:val="auto"/>
        </w:rPr>
      </w:pPr>
    </w:p>
    <w:p>
      <w:pPr>
        <w:jc w:val="both"/>
        <w:ind w:right="400" w:firstLine="486"/>
        <w:spacing w:after="0" w:line="30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which amends guidance related to certain aspects of the recognition, measurement, presentation,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financial instruments. This update is effective for fiscal years beginning after December 15, 2018, and interim periods in those years. Early adoption is permitted. The Company is currently evaluating the impact of this guidance on its consolidated financial statements.</w:t>
      </w:r>
    </w:p>
    <w:p>
      <w:pPr>
        <w:spacing w:after="0" w:line="15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including identifying performance obligations in the contract, estimating the amount of variable consideration to include in the transaction price and allocating the transaction price to each separate performance obligation. Entities have the option of using either a full retrospective or modified retrospective approach to adopt the new standards. In March 2016, the FASB issued ASU 2016-08, </w:t>
      </w:r>
      <w:r>
        <w:rPr>
          <w:rFonts w:ascii="Arial" w:cs="Arial" w:eastAsia="Arial" w:hAnsi="Arial"/>
          <w:sz w:val="17"/>
          <w:szCs w:val="17"/>
          <w:i w:val="1"/>
          <w:iCs w:val="1"/>
          <w:color w:val="auto"/>
        </w:rPr>
        <w:t>Revenue from Contracts with Customers (Topic 606): Principal versus Agent Considerations (Reporting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Gross versus Net), </w:t>
      </w:r>
      <w:r>
        <w:rPr>
          <w:rFonts w:ascii="Arial" w:cs="Arial" w:eastAsia="Arial" w:hAnsi="Arial"/>
          <w:sz w:val="17"/>
          <w:szCs w:val="17"/>
          <w:color w:val="auto"/>
        </w:rPr>
        <w:t>which clarifies the implementation guidance for gross versus net considerations in ASU 2014-09. In April 2016, the FASB issued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which amends the guidance in ASU 2014-09 related to identifying performance obligations and accounting for licenses of intellectual property. In May 2016, the FASB issued ASU No. 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 which provides clarification on assessing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collectability criterion, presentation of sales taxes, measurement date for noncash consideration, and completed contracts at transition. These ASUs will be effective for annual and interim periods beginning after December 15, 2017 and early adoption is permitted for annual and interim periods beginning after December 15, 2016. The Company is currently evaluating the impact of this guidance on its consolidated financial statements and has not yet selected the method of transition.</w:t>
      </w:r>
    </w:p>
    <w:p>
      <w:pPr>
        <w:spacing w:after="0" w:line="13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200" w:type="dxa"/>
            <w:vAlign w:val="bottom"/>
          </w:tcPr>
          <w:p>
            <w:pPr>
              <w:spacing w:after="0"/>
              <w:rPr>
                <w:sz w:val="19"/>
                <w:szCs w:val="19"/>
                <w:color w:val="auto"/>
              </w:rPr>
            </w:pPr>
          </w:p>
        </w:tc>
        <w:tc>
          <w:tcPr>
            <w:tcW w:w="1300" w:type="dxa"/>
            <w:vAlign w:val="bottom"/>
            <w:vMerge w:val="restart"/>
          </w:tcPr>
          <w:p>
            <w:pPr>
              <w:jc w:val="right"/>
              <w:ind w:right="32"/>
              <w:spacing w:after="0"/>
              <w:rPr>
                <w:sz w:val="20"/>
                <w:szCs w:val="20"/>
                <w:color w:val="auto"/>
              </w:rPr>
            </w:pPr>
            <w:r>
              <w:rPr>
                <w:rFonts w:ascii="Arial" w:cs="Arial" w:eastAsia="Arial" w:hAnsi="Arial"/>
                <w:sz w:val="18"/>
                <w:szCs w:val="18"/>
                <w:color w:val="auto"/>
              </w:rPr>
              <w:t>49,713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54,800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50,932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54,491</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49,713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50,932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Dilutive effect of stock options and restricted stock units using the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treasury-stock method</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9"/>
        </w:trPr>
        <w:tc>
          <w:tcPr>
            <w:tcW w:w="5160" w:type="dxa"/>
            <w:vAlign w:val="bottom"/>
          </w:tcPr>
          <w:p>
            <w:pPr>
              <w:ind w:left="280"/>
              <w:spacing w:after="0"/>
              <w:rPr>
                <w:sz w:val="20"/>
                <w:szCs w:val="20"/>
                <w:color w:val="auto"/>
              </w:rPr>
            </w:pPr>
            <w:r>
              <w:rPr>
                <w:rFonts w:ascii="Arial" w:cs="Arial" w:eastAsia="Arial" w:hAnsi="Arial"/>
                <w:sz w:val="18"/>
                <w:szCs w:val="18"/>
                <w:color w:val="auto"/>
                <w:w w:val="90"/>
              </w:rPr>
              <w:t>Weighted-average shares used in computing diluted net income per</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50,247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55,703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51,462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55,547</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30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weighted-average:</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681</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1,519</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r>
      <w:tr>
        <w:trPr>
          <w:trHeight w:val="27"/>
        </w:trPr>
        <w:tc>
          <w:tcPr>
            <w:tcW w:w="5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ind w:left="160"/>
              <w:spacing w:after="0"/>
              <w:rPr>
                <w:sz w:val="20"/>
                <w:szCs w:val="20"/>
                <w:color w:val="auto"/>
              </w:rPr>
            </w:pPr>
            <w:r>
              <w:rPr>
                <w:rFonts w:ascii="Arial" w:cs="Arial" w:eastAsia="Arial" w:hAnsi="Arial"/>
                <w:sz w:val="16"/>
                <w:szCs w:val="16"/>
                <w:b w:val="1"/>
                <w:bCs w:val="1"/>
                <w:color w:val="auto"/>
              </w:rPr>
              <w:t>September 30, 2016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80" w:type="dxa"/>
            <w:vAlign w:val="bottom"/>
            <w:gridSpan w:val="5"/>
          </w:tcPr>
          <w:p>
            <w:pPr>
              <w:ind w:left="52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20"/>
                <w:szCs w:val="2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16,542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11,156</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43,545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43,545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27,003</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2,192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10,864</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62,309</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ind w:left="740"/>
              <w:spacing w:after="0"/>
              <w:rPr>
                <w:sz w:val="20"/>
                <w:szCs w:val="20"/>
                <w:color w:val="auto"/>
              </w:rPr>
            </w:pPr>
            <w:r>
              <w:rPr>
                <w:rFonts w:ascii="Arial" w:cs="Arial" w:eastAsia="Arial" w:hAnsi="Arial"/>
                <w:sz w:val="16"/>
                <w:szCs w:val="16"/>
                <w:b w:val="1"/>
                <w:bCs w:val="1"/>
                <w:color w:val="auto"/>
                <w:w w:val="90"/>
              </w:rPr>
              <w:t>December 31, 2015</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100" w:type="dxa"/>
            <w:vAlign w:val="bottom"/>
            <w:gridSpan w:val="5"/>
          </w:tcPr>
          <w:p>
            <w:pPr>
              <w:ind w:left="5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64,295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64,295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133,033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132,937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132,937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30,488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280"/>
              <w:spacing w:after="0"/>
              <w:rPr>
                <w:sz w:val="20"/>
                <w:szCs w:val="20"/>
                <w:color w:val="auto"/>
              </w:rPr>
            </w:pPr>
            <w:r>
              <w:rPr>
                <w:rFonts w:ascii="Arial" w:cs="Arial" w:eastAsia="Arial" w:hAnsi="Arial"/>
                <w:sz w:val="16"/>
                <w:szCs w:val="16"/>
                <w:color w:val="auto"/>
              </w:rPr>
              <w:t>Deferred payment obligations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6,270</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3,887</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Company's financial assets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other income (expense), net in the Company’s condensed consolidated statements of operations and have not been material for all periods presented.</w:t>
      </w:r>
    </w:p>
    <w:p>
      <w:pPr>
        <w:spacing w:after="0" w:line="187" w:lineRule="exact"/>
        <w:rPr>
          <w:sz w:val="20"/>
          <w:szCs w:val="20"/>
          <w:color w:val="auto"/>
        </w:rPr>
      </w:pPr>
    </w:p>
    <w:p>
      <w:pPr>
        <w:ind w:right="460" w:firstLine="446"/>
        <w:spacing w:after="0" w:line="264" w:lineRule="auto"/>
        <w:rPr>
          <w:sz w:val="20"/>
          <w:szCs w:val="20"/>
          <w:color w:val="auto"/>
        </w:rPr>
      </w:pPr>
      <w:r>
        <w:rPr>
          <w:rFonts w:ascii="Arial" w:cs="Arial" w:eastAsia="Arial" w:hAnsi="Arial"/>
          <w:sz w:val="18"/>
          <w:szCs w:val="18"/>
          <w:color w:val="auto"/>
        </w:rPr>
        <w:t>As of September 30, 2016 and December 31, 2015, approximately 88% and 87%, respectively, of the Company's marketable security investments mature within one year and 12% and 13%, respectively, mature within one to five years. As of September 30, 2016, no individual securities incurred continuous unrealized losses for greater than 12 months.</w:t>
      </w:r>
    </w:p>
    <w:p>
      <w:pPr>
        <w:spacing w:after="0" w:line="1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As of September 30, 2016 and December 31, 2015, the Company had short-term cost method investments of nil and $0.6 million, respectively, which were recorded at amortized cost in short-term investments in the Company's condensed consolidated balance sheets.</w:t>
      </w:r>
    </w:p>
    <w:p>
      <w:pPr>
        <w:spacing w:after="0" w:line="170"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In connection with the Rockstar Transaction (see Note 12, "Commitments and Contingencies"), the Company received funding of $6.3 million from a syndicate participant. During the nine months ended September 30, 2016, the Company settled the loan from the syndicate participant.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Level 3 financial liabilities as of December 31, 2015 consisted of a repayment obligation to a third party for which determination of fair value required significant judgment and estimation. Balances categorized within Level 3 of the fair value hierarchy were analyzed each period for changes in estimates or assumptions and recorded as the Company deemed appropriate.</w:t>
      </w:r>
    </w:p>
    <w:p>
      <w:pPr>
        <w:spacing w:after="0" w:line="181"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As of December 31, 2015, the Company used the Black-Scholes option valuation model to estimate the fair value of the deferred payment obligation entered into in the Rockstar Transaction. This model incorporated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was determined by the estimated settlement date of the liability. Changes in the fair value were recorded in other income (expense), net in the Company's condensed consolidated statements of operations. As of September 30, 2016, the Company no longer holds any Level 3 financial assets or liabilities (see Note 12, "Commitments and Contingencies").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824,258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885,996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(569,698)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(679,372)</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254,560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206,624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patent asset portfolio on a straight-line basis over its estimated economic useful life. As of September 30, 2016, the estimated economic useful lives of the Company’s patent assets generally ranged from 24 to 60 months. As of September 30, 2016, the weighted-average estimated economic useful life at the time of acquisition of all patent assets acquired since the Company’s inception was 42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w w:val="98"/>
              </w:rPr>
              <w:t>As of September 30, 2016,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105,361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14,900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r>
      <w:tr>
        <w:trPr>
          <w:trHeight w:val="257"/>
        </w:trPr>
        <w:tc>
          <w:tcPr>
            <w:tcW w:w="9940" w:type="dxa"/>
            <w:vAlign w:val="bottom"/>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206,624</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Amortization expense related to the Company's patent assets was $40.4 million and $36.2 million for the three months ended September 30, 2016 and 2015, respectively, and $119.9 million and $104.4 million for the nine months ended September 30, 2016 and 2015, respectively.</w:t>
      </w:r>
    </w:p>
    <w:p>
      <w:pPr>
        <w:spacing w:after="0" w:line="10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1,799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11,658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Depreciation and amortization expense related to the Company's property and equipment was $0.9 million and $0.4 million for the three months ended September 30, 2016 and 2015, respectively, and $2.2 million and $1.3 million for the nine months ended September 30, 2016 and 2015,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ind w:right="300" w:firstLine="446"/>
        <w:spacing w:after="0" w:line="259" w:lineRule="auto"/>
        <w:rPr>
          <w:sz w:val="20"/>
          <w:szCs w:val="20"/>
          <w:color w:val="auto"/>
        </w:rPr>
      </w:pPr>
      <w:r>
        <w:rPr>
          <w:rFonts w:ascii="Arial" w:cs="Arial" w:eastAsia="Arial" w:hAnsi="Arial"/>
          <w:sz w:val="18"/>
          <w:szCs w:val="18"/>
          <w:color w:val="auto"/>
        </w:rPr>
        <w:t>On January 22, 2016, the Company completed its acquisition of all of the issued and outstanding shares of Inventus, to expand into the litigation discovery services market. The final purchase price for Inventus was approximately $232 million, net of working capital adjustments, which the Company paid in January 2016. The following table summarizes the cash paid and the preliminary estimated fair values of the assets and the liabilities assumed (in thousands) and the estimated useful lives of the acquired identifiable intangible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Preliminary Estimated</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4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 useful life</w:t>
            </w:r>
          </w:p>
        </w:tc>
      </w:tr>
      <w:tr>
        <w:trPr>
          <w:trHeight w:val="33"/>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9 - 10 years</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1 - 6 years</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 term assets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Company’s purchase price allocation for its acquisition of Inventus is preliminary and subject to revision as additional information about fair value of assets and liabilities becomes available. Additional information that existed as of the acquisition date but at that time was unknown to the Company may become known to the Company during the remainder of the measurement period, a period not to exceed 12 months from the acquisition date.</w:t>
      </w:r>
    </w:p>
    <w:p>
      <w:pPr>
        <w:spacing w:after="0" w:line="14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The intangible assets acquired are amortized on a straight-line basis which reflects the pattern in which the economic benefits of the intangible assets are expected to be utilized. The goodwill recorded is primarily attributable to the Company's opportunity to expand into the litigation discovery services market and is not expected to be deductible for tax purposes. For the nine months ended September 30, 2016, the Company recorded acquisition-related costs of $1.2 million which were expensed as incurred and included in selling, general and administrative expenses in the Company's condensed consolidated statements of operations. The Company has included the financial results of Inventus in its condensed consolidated financial statements which includes revenue of $18.0 million and $47.8 million for the three and nine months ended September 30, 2016, respectively, and operating income of $2.7 million and $6.3 million for the three and nine months ended September 30, 2016, respectively.</w:t>
      </w:r>
    </w:p>
    <w:p>
      <w:pPr>
        <w:spacing w:after="0" w:line="178" w:lineRule="exact"/>
        <w:rPr>
          <w:sz w:val="20"/>
          <w:szCs w:val="20"/>
          <w:color w:val="auto"/>
        </w:rPr>
      </w:pPr>
    </w:p>
    <w:p>
      <w:pPr>
        <w:ind w:right="140" w:firstLine="446"/>
        <w:spacing w:after="0" w:line="271"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(collectively, "Unified") as though it had been consolidated as of January 1, 2015. 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52070</wp:posOffset>
            </wp:positionV>
            <wp:extent cx="1972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03" w:lineRule="exact"/>
        <w:rPr>
          <w:sz w:val="20"/>
          <w:szCs w:val="20"/>
          <w:color w:val="auto"/>
        </w:rPr>
      </w:pPr>
    </w:p>
    <w:p>
      <w:pPr>
        <w:ind w:left="5740"/>
        <w:spacing w:after="0"/>
        <w:tabs>
          <w:tab w:leader="none" w:pos="73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52070</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ind w:left="240"/>
        <w:spacing w:after="0"/>
        <w:tabs>
          <w:tab w:leader="none" w:pos="180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39" w:lineRule="exact"/>
        <w:rPr>
          <w:sz w:val="20"/>
          <w:szCs w:val="20"/>
          <w:color w:val="auto"/>
        </w:rPr>
      </w:pPr>
    </w:p>
    <w:p>
      <w:pPr>
        <w:sectPr>
          <w:pgSz w:w="11900" w:h="16838" w:orient="portrait"/>
          <w:cols w:equalWidth="0" w:num="2">
            <w:col w:w="7980" w:space="720"/>
            <w:col w:w="27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254,245</w:t>
            </w:r>
          </w:p>
        </w:tc>
        <w:tc>
          <w:tcPr>
            <w:tcW w:w="5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17,091</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20,960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0.38</w:t>
            </w:r>
          </w:p>
        </w:tc>
      </w:tr>
      <w:tr>
        <w:trPr>
          <w:trHeight w:val="48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by operating segment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Patent Risk</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Management</w:t>
            </w: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Discovery Services</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Goodwill from business acquisition</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145,984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September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136,369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156,347</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reviews goodwill for impairment at least annually or more frequently if events or changes in circumstances indicate that the carrying value of goodwill may not be recoverable. As of September 30, 2016, no impairment of goodwill has been identified.</w:t>
      </w:r>
    </w:p>
    <w:p>
      <w:pPr>
        <w:spacing w:after="0" w:line="12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w w:val="97"/>
              </w:rPr>
              <w:t>September 30,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December 31, 2015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average Life</w:t>
            </w:r>
          </w:p>
        </w:tc>
        <w:tc>
          <w:tcPr>
            <w:tcW w:w="14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Net Carrying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(years)</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1"/>
              </w:rPr>
              <w:t>Amortization</w:t>
            </w:r>
          </w:p>
        </w:tc>
        <w:tc>
          <w:tcPr>
            <w:tcW w:w="16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Covenant not to compete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data and models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120" w:type="dxa"/>
            <w:vAlign w:val="bottom"/>
            <w:gridSpan w:val="16"/>
          </w:tcPr>
          <w:p>
            <w:pPr>
              <w:ind w:left="480"/>
              <w:spacing w:after="0"/>
              <w:rPr>
                <w:sz w:val="20"/>
                <w:szCs w:val="20"/>
                <w:color w:val="auto"/>
              </w:rPr>
            </w:pPr>
            <w:r>
              <w:rPr>
                <w:rFonts w:ascii="Arial" w:cs="Arial" w:eastAsia="Arial" w:hAnsi="Arial"/>
                <w:sz w:val="18"/>
                <w:szCs w:val="18"/>
                <w:color w:val="auto"/>
                <w:w w:val="90"/>
              </w:rPr>
              <w:t>As of September 30, 2016, the Company expects amortization expense in future periods to be as follows (in thousands):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 (remainder)</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2017</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2019</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26,905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estimated future amortization expense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46"/>
        <w:spacing w:after="0" w:line="308" w:lineRule="auto"/>
        <w:rPr>
          <w:sz w:val="20"/>
          <w:szCs w:val="20"/>
          <w:color w:val="auto"/>
        </w:rPr>
      </w:pPr>
      <w:r>
        <w:rPr>
          <w:rFonts w:ascii="Arial" w:cs="Arial" w:eastAsia="Arial" w:hAnsi="Arial"/>
          <w:sz w:val="17"/>
          <w:szCs w:val="17"/>
          <w:color w:val="auto"/>
        </w:rPr>
        <w:t>Amortization expense related to the Company's intangible assets was $2.5 million and $0.4 million for the three months ended September 30, 2016 and 2015, respectively, and $7.2 million and $1.3 million for the nine months ended September 30, 2016 and 2015, respectively.</w:t>
      </w:r>
    </w:p>
    <w:p>
      <w:pPr>
        <w:spacing w:after="0" w:line="10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4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14,842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81"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On February 26, 2016, the Company entered into a Credit Agreement (the "Credit Agreement") which provided for a $100 million five-year term facility (the "Term Facility") and a $50 million five-year revolving credit facility (the "Revolving Credit Facility"), which remains undrawn as of September 30, 2016. The Term Facility bears interest which is payable quarterly in arrears at the Company's option equal to either a base rate plus a margin ranging from 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nine months ended September 30, 2016 at an average interest rate of 3.0%, which approximates fair value. The Revolving Credit Facility bears a commitment fee on undrawn balances of 0.35% to 0.45% per annum, also based upon the Company's debt to consolidated adjusted EBITDA ratio, that are expensed as incurred. The Credit Agreement contains financial covenants requiring the Company to maintain certain leverage and fixed charge ratios. The Company is compliant with these covenants as of September 30, 2016. The Credit Agreement also includes limitations on the Company's debt incurrence, dividend payments, and disposal activities.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2016, the Term Facility requires principal repayments in accordance with the following schedule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 (remainder)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6,875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11,875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gross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95,734</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10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5,849</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89,885</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95,734</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3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ind w:right="120" w:firstLine="486"/>
        <w:spacing w:after="0" w:line="257" w:lineRule="auto"/>
        <w:rPr>
          <w:sz w:val="20"/>
          <w:szCs w:val="20"/>
          <w:color w:val="auto"/>
        </w:rPr>
      </w:pPr>
      <w:r>
        <w:rPr>
          <w:rFonts w:ascii="Arial" w:cs="Arial" w:eastAsia="Arial" w:hAnsi="Arial"/>
          <w:sz w:val="18"/>
          <w:szCs w:val="18"/>
          <w:color w:val="auto"/>
        </w:rPr>
        <w:t>The Company generally does not enter into long-term minimum purchase commitments. Its principal long-term commitments consist of obligations under operating leases for office space. Other than certain commitments obtained through the Company's acquisition of Inventus as shown below, there were no substantial changes to the Company’s contractual obligations or commitments during the nine months ended September 30, 2016 as compared to those presented under the heading “Commitments and Contingencies” in Note 10 of the Notes to Consolidated Financial Statements in Part II, Item 8 of the Company’s Annual Report on Form 10-K filed with the SEC on February 26, 2016.</w:t>
      </w:r>
    </w:p>
    <w:p>
      <w:pPr>
        <w:spacing w:after="0" w:line="188"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Rent expense related to non-cancelable operating leases was $1.4 million and $0.9 million for the three months ended September 30, 2016 and 2015, respectively, net of sublease income of $0.2 million earned during each period. Rent expense related to non-cancelable operating leases was $3.8 million and $2.6 million for the nine months ended September 30, 2016 and 2015, respectively, net of sublease income of $0.5 million earned during each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of September 30, 2016, the aggregate future non-cancelable minimum lease payments from the Company's operating leases acquired through its acquisition of Inventus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838</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non-cancelable minimum operating lease payments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non-cancelable minimum operating lease payments, net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4,311</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Through its acquisition of Inventus, the Company also acquired a three-year contractual commitment totaling $5.3 million related to its third-party discovery service software license, of which $1.8 million remains unpaid as of September 30, 2016 and will be paid within twelve months.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7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On December 22, 2014, the Company and RPX Clearinghouse LLC (a wholly-owned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 substantially all of the patent assets owned or controlled by the Sellers (the “Rockstar Transaction”). In connection with the Rockstar Transaction, the Company acquired certain common stock, convertible preferred stock, and redeemable convertible preferred stock investments held by the Sellers. To fund the acquisition of these securities, the Company received funding of $6.3 million from a syndicate participant and seller financing of $5.9 million. The seller financing was settled during the year ended December 31, 2015.</w:t>
      </w:r>
    </w:p>
    <w:p>
      <w:pPr>
        <w:spacing w:after="0" w:line="16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loan received from the syndicate participant bore no interest. The terms of the obligation required repayment up to the $6.3 million received only to the extent proceeds are received from the sale of the common and convertible preferred stock securities, which resulted in a difference between the funding received and the fair value of the loan. The Company elected to carry this loan at fair value and categorized it as a Level 3 instrument due to the significance of unobservable inputs developed using company-specific information to estimate the loan’s fair value. Changes in fair value are reported in other income (expense), net in the Company's condensed consolidated statements of operations. This loan was settled without payment during the nine months ended September 30, 2016 which resulted in a gain on extinguishment of $0.5 million recognized in other income (expense), net in the condensed consolidated statements of operations during the nine months ended September 30, 2016. This loan decreased from $2.4 million to nil during the nine months ended September 30, 2016 due to a $1.9 million fair value adjustment and a $0.5 million gain on extinguishment which were recognized in other income (expense), net in the condensed consolidated statement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September 30, 2016 or December 31, 2015.</w:t>
      </w:r>
    </w:p>
    <w:p>
      <w:pPr>
        <w:spacing w:after="0" w:line="187" w:lineRule="exact"/>
        <w:rPr>
          <w:sz w:val="20"/>
          <w:szCs w:val="20"/>
          <w:color w:val="auto"/>
        </w:rPr>
      </w:pPr>
    </w:p>
    <w:p>
      <w:pPr>
        <w:jc w:val="both"/>
        <w:ind w:right="280" w:firstLine="486"/>
        <w:spacing w:after="0" w:line="257" w:lineRule="auto"/>
        <w:rPr>
          <w:sz w:val="20"/>
          <w:szCs w:val="20"/>
          <w:color w:val="auto"/>
        </w:rPr>
      </w:pPr>
      <w:r>
        <w:rPr>
          <w:rFonts w:ascii="Arial" w:cs="Arial" w:eastAsia="Arial" w:hAnsi="Arial"/>
          <w:sz w:val="18"/>
          <w:szCs w:val="18"/>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In July 2016, the Court transferred the litigation to the U.S. District Court for the Northern District of California. The plaintiff seeks monetary damages and injunctive relief. The Company is not currently able to determine whether there is a reasonable possibility that a loss has been incurred, nor can we estimate the potential loss or range of the potential loss that may result from this litigation.</w:t>
      </w:r>
    </w:p>
    <w:p>
      <w:pPr>
        <w:spacing w:after="0" w:line="18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Company is not currently able to determine whether there is a reasonable possibility that a loss has been incurred, nor can it estimate the potential loss or range of the potential loss that may result from this litigation.</w:t>
      </w:r>
    </w:p>
    <w:p>
      <w:pPr>
        <w:spacing w:after="0" w:line="17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The Company is not currently able to determine whether there is a reasonable possibility that a loss has been incurred, nor can it estimate the potential loss or range of the potential loss that may result from this litigation.</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September 30, 2016 or December 31, 2015.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In March 2014, the Company formed a reinsurance company to assume a portion of the underwriting risk on insurance policies that the Company issues on behalf of a Lloyd's of London underwriting syndicate. As of September 30, 2016, the Company recorded a reserve of $0.8 million for known and incurred but not reported claims that represents estimated claim costs and related expenses for the policies underwritten and its portion of the underwriting risk on policies that the Company issued on behalf of the Lloyd's of London underwriting syndicate. The Company regularly reviews loss reserves using a variety of actuarial techniques and updates them as its loss experience develops.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2015</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Restricted stock units withheld related to net-share settlement</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restricted 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September 30, 2016</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2,947</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September 30, 2016</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2,925</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 September 30, 2016</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2,947</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In the fir</w:t>
      </w:r>
      <w:r>
        <w:rPr>
          <w:rFonts w:ascii="Arial" w:cs="Arial" w:eastAsia="Arial" w:hAnsi="Arial"/>
          <w:sz w:val="17"/>
          <w:szCs w:val="17"/>
          <w:color w:val="auto"/>
        </w:rPr>
        <w:t>st quarter of 2016, the Company reserved an additional 2.0 million shares of its common stock for future issuance under the 2011 Plan.</w:t>
      </w:r>
    </w:p>
    <w:p>
      <w:pPr>
        <w:spacing w:after="0" w:line="156"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The aggregate intrinsic value of stock options exercised during the three months ended September 30, 2016 and 2015 was $0.5 million and $0.6 million, respectively, and $0.8 million and $6.4 million for stock options exercised during the nine months ended September 30, 2016 and 2015, respectively. The total grant date fair value of stock options vested during the three months ended September 30, 2016 and 2015 was $0.2 million and $0.8 million, respectively, and $1.2 million and $2.6 million for stock options vested during the nine months ended September 30, 2016 and 2015, respectively.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summary of RSU activity, which includes performance-based restricted stock units (“PBRSUs”), is as follows (in thousands, except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2015</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September 30, 2016</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39,235</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486"/>
        <w:spacing w:after="0" w:line="308" w:lineRule="auto"/>
        <w:rPr>
          <w:sz w:val="20"/>
          <w:szCs w:val="20"/>
          <w:color w:val="auto"/>
        </w:rPr>
      </w:pPr>
      <w:r>
        <w:rPr>
          <w:rFonts w:ascii="Arial" w:cs="Arial" w:eastAsia="Arial" w:hAnsi="Arial"/>
          <w:sz w:val="17"/>
          <w:szCs w:val="17"/>
          <w:color w:val="auto"/>
        </w:rPr>
        <w:t>The total grant date fair value of RSUs vested during the three months ended September 30, 2016 and 2015 was $2.9 million and $3.7 million, respectively, and $9.0 million and $10.8 million during the nine months ended September 30, 2016 and 2015, respectively.</w:t>
      </w:r>
    </w:p>
    <w:p>
      <w:pPr>
        <w:spacing w:after="0" w:line="14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nine months ended September 30, 2016, the Company withheld issuing 319,434 shares of its common stock based on the value of the RSUs on their vesting dates as determined by the Company’s closing common stock price. Total payments to taxing authorities for employees’ minimum tax obligations were $3.1 million for the nine months ended September 30, 2016,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PBRSUs granted during the three months ended September 30, 2016 contain service and performance conditions that affect the quantity of awards that will vest. PBRSUs granted during the nine months ended September 30, 2016 contain service, performance, and market conditions that affect the quantity of awards that will vest. PBRSUs granted during the nine months ended September 30, 2015 contain both service and performance conditions that affect the quantity of awards that will vest. During the three months ended September 30, 2016 and 2015, the Company granted 19,375 and nil PBRSUs, respectively. During the nine months ended September 30, 2016 and 2015, the Company granted 115,657 and 54,375 PBRSUs, respectively. The Company estimates the grant date fair value of PBRSUs which include market conditions using the Monte Carlo simulation model which is only applicable to the PBRSUs that contain service and market conditions granted during the nine months ended September 30, 2016. The weighted-average assumptions used to estimate the fair value of PBRSUs with market conditions and the resulting fair values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60" w:type="dxa"/>
            <w:vAlign w:val="bottom"/>
          </w:tcPr>
          <w:p>
            <w:pPr>
              <w:spacing w:after="0"/>
              <w:rPr>
                <w:sz w:val="17"/>
                <w:szCs w:val="17"/>
                <w:color w:val="auto"/>
              </w:rPr>
            </w:pPr>
          </w:p>
        </w:tc>
        <w:tc>
          <w:tcPr>
            <w:tcW w:w="236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4"/>
              </w:rPr>
              <w:t>Nine Months Ended September</w:t>
            </w:r>
          </w:p>
        </w:tc>
      </w:tr>
      <w:tr>
        <w:trPr>
          <w:trHeight w:val="210"/>
        </w:trPr>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993"/>
              <w:spacing w:after="0"/>
              <w:rPr>
                <w:sz w:val="20"/>
                <w:szCs w:val="20"/>
                <w:color w:val="auto"/>
              </w:rPr>
            </w:pPr>
            <w:r>
              <w:rPr>
                <w:rFonts w:ascii="Arial" w:cs="Arial" w:eastAsia="Arial" w:hAnsi="Arial"/>
                <w:sz w:val="16"/>
                <w:szCs w:val="16"/>
                <w:b w:val="1"/>
                <w:bCs w:val="1"/>
                <w:color w:val="auto"/>
              </w:rPr>
              <w:t>30,</w:t>
            </w:r>
          </w:p>
        </w:tc>
      </w:tr>
      <w:tr>
        <w:trPr>
          <w:trHeight w:val="270"/>
        </w:trPr>
        <w:tc>
          <w:tcPr>
            <w:tcW w:w="9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jc w:val="right"/>
              <w:ind w:right="933"/>
              <w:spacing w:after="0"/>
              <w:rPr>
                <w:sz w:val="20"/>
                <w:szCs w:val="20"/>
                <w:color w:val="auto"/>
              </w:rPr>
            </w:pPr>
            <w:r>
              <w:rPr>
                <w:rFonts w:ascii="Arial" w:cs="Arial" w:eastAsia="Arial" w:hAnsi="Arial"/>
                <w:sz w:val="16"/>
                <w:szCs w:val="16"/>
                <w:b w:val="1"/>
                <w:bCs w:val="1"/>
                <w:color w:val="auto"/>
              </w:rPr>
              <w:t>2016</w:t>
            </w:r>
          </w:p>
        </w:tc>
      </w:tr>
      <w:tr>
        <w:trPr>
          <w:trHeight w:val="33"/>
        </w:trPr>
        <w:tc>
          <w:tcPr>
            <w:tcW w:w="90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5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9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Expected term - in years</w:t>
            </w:r>
          </w:p>
        </w:tc>
        <w:tc>
          <w:tcPr>
            <w:tcW w:w="560" w:type="dxa"/>
            <w:vAlign w:val="bottom"/>
          </w:tcPr>
          <w:p>
            <w:pPr>
              <w:spacing w:after="0"/>
              <w:rPr>
                <w:sz w:val="21"/>
                <w:szCs w:val="21"/>
                <w:color w:val="auto"/>
              </w:rPr>
            </w:pPr>
          </w:p>
        </w:tc>
        <w:tc>
          <w:tcPr>
            <w:tcW w:w="180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9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9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6.28</w:t>
            </w:r>
          </w:p>
        </w:tc>
      </w:tr>
      <w:tr>
        <w:trPr>
          <w:trHeight w:val="27"/>
        </w:trPr>
        <w:tc>
          <w:tcPr>
            <w:tcW w:w="9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Stock-based compensation expense related to stock options granted to employees and directors was $0.1 million and $0.7 million for the three months ended September 30, 2016 and 2015, respectively, and $0.9 million and $2.2 million for the nine months ended September 30, 2016 and 2015, respectively. Stock-based compensation expense related to RSUs granted to employees and directors was $4.1 million and $3.7 million for the three months ended September 30, 2016 and 2015, respectively, and $12.8 million and $10.5 million for the nine months ended September 30, 2016 and 2015, respectively. Stock-based compensation expense related to PBRSUs granted to employees was $0.1 million and $0.2 million for the three month periods ended September 30, 2016 and 2015, respectively, and $0.5 million for each nine month period ended September 30, 2016 and 2015.</w:t>
      </w:r>
    </w:p>
    <w:p>
      <w:pPr>
        <w:spacing w:after="0" w:line="17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As of September 30, 2016, there was $0.1 million and $38.5 million of unrecognized compensation cost related to stock options and RSUs, including PBRSUs, respectively, which is expected to be recognized over a weighted-average period of 0.1 years and 2.7 years, respectively. Future grants of equity awards will increase the amount of stock-based compensation expense to be recorded.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September 30, 2016, the Company repurchased $76.9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is reflected as a reduction to common stock and retained earnings in the Company's condensed consolidated balance sheet. Share repurchase activity during the period presented was as follows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Arial" w:cs="Arial" w:eastAsia="Arial" w:hAnsi="Arial"/>
                <w:sz w:val="16"/>
                <w:szCs w:val="16"/>
                <w:b w:val="1"/>
                <w:bCs w:val="1"/>
                <w:color w:val="auto"/>
              </w:rPr>
              <w:t>Value of Shares</w:t>
            </w:r>
          </w:p>
        </w:tc>
      </w:tr>
      <w:tr>
        <w:trPr>
          <w:trHeight w:val="210"/>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Arial" w:cs="Arial" w:eastAsia="Arial" w:hAnsi="Arial"/>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December 31, 2015</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26,175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Repurchase activity during the period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50,752</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September 30, 2016</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76,927</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36% and 38% for the three months ended September 30, 2016 and 2015, respectively, and 37% and 38% for the nine month periods ended September 30, 2016 and 2015, respectively.</w:t>
      </w:r>
    </w:p>
    <w:p>
      <w:pPr>
        <w:spacing w:after="0" w:line="147" w:lineRule="exact"/>
        <w:rPr>
          <w:sz w:val="20"/>
          <w:szCs w:val="20"/>
          <w:color w:val="auto"/>
        </w:rPr>
      </w:pPr>
    </w:p>
    <w:p>
      <w:pPr>
        <w:jc w:val="both"/>
        <w:ind w:right="320" w:firstLine="486"/>
        <w:spacing w:after="0" w:line="302" w:lineRule="auto"/>
        <w:rPr>
          <w:sz w:val="20"/>
          <w:szCs w:val="20"/>
          <w:color w:val="auto"/>
        </w:rPr>
      </w:pPr>
      <w:r>
        <w:rPr>
          <w:rFonts w:ascii="Arial" w:cs="Arial" w:eastAsia="Arial" w:hAnsi="Arial"/>
          <w:sz w:val="16"/>
          <w:szCs w:val="16"/>
          <w:color w:val="auto"/>
        </w:rPr>
        <w:t>The Company's 2013 through 2015 tax periods are open to examination by the Internal Revenue Service and the 2011 through 2015 tax periods are open to examination by most state tax authorities. Inventus's federal income tax return for fiscal year 2013 is currently under examination by the Internal Revenue Service and at this time, although the outcome is subject to significant uncertainty, the Company believes it has valid positions supporting its tax return and does not expect that proposed adjustments, if any, would be material to the Company's consolidated financial statements.</w:t>
      </w:r>
    </w:p>
    <w:p>
      <w:pPr>
        <w:spacing w:after="0" w:line="11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During the three month periods ended September 30, 2016 and 2015, four and three members, respectively, of the Company’s Board of Directors also served on the boards of directors of RPX clients. During the nine months ended September 30, 2016 and 2015, four and five members, respectively, of the Company's Board of Directors also served on the boards of directors of RPX clients. The Company recognized subscription revenue from these clients in the amount of $2.4 million and $2.3 million for the three month periods ended September 30, 2016 and 2015, respectively, and $7.3 million and $6.9 million for the nine month periods ended September 30, 2016 and 2015, respectively. The Company recognized selling, general, and administrative expenses from products and services provided by these clients of $0.2 million and $0.1 million for the three month periods ended September 30, 2016 and 2015, respectively, and $0.6 million and $0.2 million for the nine month periods ended September 30, 2016 and 2015, respectively. As of September 30, 2016 and December 31, 2015, there were $0.1 million and nil receivables, respectively, due from these clients. These transactions with related-parties were conducted on terms equivalent to those prevailing in arm's length transactions.</w:t>
      </w:r>
    </w:p>
    <w:p>
      <w:pPr>
        <w:spacing w:after="0" w:line="13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management and 2) discovery services which generates its revenues primarily from fees generated for data collection, hosting and processing, project management, and document review services. There are no material internal revenue transactions between these two reportable segments.</w:t>
      </w:r>
    </w:p>
    <w:p>
      <w:pPr>
        <w:spacing w:after="0" w:line="12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that reflects core operating performance and provides an indicator of the segment's ability to generate cash. The Company defines Adjusted EBITDA as net income exclusive of provision for income taxes, interest and other income (expense), net, stock-based compensation and related employer payroll taxes, depreciation, and amortization.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 accordance with GAAP should not be considered in isolation or as a substitute for or superior to financial results determined in accordance with GAAP.</w:t>
      </w:r>
    </w:p>
    <w:p>
      <w:pPr>
        <w:spacing w:after="0" w:line="16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Summarized financial information by segment for the three and nine months ended September 30, 2016 utilized by the Company's chief operating decision maker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Three Months</w:t>
            </w:r>
          </w:p>
        </w:tc>
        <w:tc>
          <w:tcPr>
            <w:tcW w:w="180" w:type="dxa"/>
            <w:vAlign w:val="bottom"/>
          </w:tcPr>
          <w:p>
            <w:pPr>
              <w:spacing w:after="0"/>
              <w:rPr>
                <w:sz w:val="17"/>
                <w:szCs w:val="17"/>
                <w:color w:val="auto"/>
              </w:rPr>
            </w:pPr>
          </w:p>
        </w:tc>
        <w:tc>
          <w:tcPr>
            <w:tcW w:w="118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Nine Months</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Ended September</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Ended September</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Patent Risk Management</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Revenue</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203,482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123,337</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59,112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122,402</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Adjusted EBTIDA</w:t>
            </w:r>
          </w:p>
        </w:tc>
        <w:tc>
          <w:tcPr>
            <w:tcW w:w="38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56,775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157,409</w:t>
            </w:r>
          </w:p>
        </w:tc>
        <w:tc>
          <w:tcPr>
            <w:tcW w:w="0" w:type="dxa"/>
            <w:vAlign w:val="bottom"/>
          </w:tcPr>
          <w:p>
            <w:pPr>
              <w:spacing w:after="0"/>
              <w:rPr>
                <w:sz w:val="1"/>
                <w:szCs w:val="1"/>
                <w:color w:val="auto"/>
              </w:rPr>
            </w:pPr>
          </w:p>
        </w:tc>
      </w:tr>
      <w:tr>
        <w:trPr>
          <w:trHeight w:val="311"/>
        </w:trPr>
        <w:tc>
          <w:tcPr>
            <w:tcW w:w="472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Discovery Services</w:t>
            </w: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4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24,229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8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17,302</w:t>
            </w:r>
          </w:p>
        </w:tc>
        <w:tc>
          <w:tcPr>
            <w:tcW w:w="0" w:type="dxa"/>
            <w:vAlign w:val="bottom"/>
          </w:tcPr>
          <w:p>
            <w:pPr>
              <w:spacing w:after="0"/>
              <w:rPr>
                <w:sz w:val="1"/>
                <w:szCs w:val="1"/>
                <w:color w:val="auto"/>
              </w:rPr>
            </w:pPr>
          </w:p>
        </w:tc>
      </w:tr>
      <w:tr>
        <w:trPr>
          <w:trHeight w:val="237"/>
        </w:trPr>
        <w:tc>
          <w:tcPr>
            <w:tcW w:w="47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EBTIDA</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Revenue</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88,461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251,305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147,566</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76,414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27,325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 Company markets its solutions to companies around the world. Revenue is generally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7"/>
          </w:tcPr>
          <w:p>
            <w:pPr>
              <w:ind w:left="580"/>
              <w:spacing w:after="0"/>
              <w:rPr>
                <w:sz w:val="20"/>
                <w:szCs w:val="20"/>
                <w:color w:val="auto"/>
              </w:rPr>
            </w:pPr>
            <w:r>
              <w:rPr>
                <w:rFonts w:ascii="Arial" w:cs="Arial" w:eastAsia="Arial" w:hAnsi="Arial"/>
                <w:sz w:val="16"/>
                <w:szCs w:val="16"/>
                <w:b w:val="1"/>
                <w:bCs w:val="1"/>
                <w:color w:val="auto"/>
                <w:w w:val="99"/>
              </w:rPr>
              <w:t>Three Months Ended September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gridSpan w:val="7"/>
          </w:tcPr>
          <w:p>
            <w:pPr>
              <w:ind w:left="700"/>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50,068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42,352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144,720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139,347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29,105</w:t>
            </w:r>
          </w:p>
        </w:tc>
        <w:tc>
          <w:tcPr>
            <w:tcW w:w="1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27,406</w:t>
            </w:r>
          </w:p>
        </w:tc>
        <w:tc>
          <w:tcPr>
            <w:tcW w:w="1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19,819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21,721</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9,649</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57,661</w:t>
            </w:r>
          </w:p>
        </w:tc>
        <w:tc>
          <w:tcPr>
            <w:tcW w:w="1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31,038</w:t>
            </w:r>
          </w:p>
        </w:tc>
        <w:tc>
          <w:tcPr>
            <w:tcW w:w="1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2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88,461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68,212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251,305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219,050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Company's subtotal segment Adjusted EBITDA to consolidated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Three Months</w:t>
            </w:r>
          </w:p>
        </w:tc>
        <w:tc>
          <w:tcPr>
            <w:tcW w:w="180" w:type="dxa"/>
            <w:vAlign w:val="bottom"/>
          </w:tcPr>
          <w:p>
            <w:pPr>
              <w:spacing w:after="0"/>
              <w:rPr>
                <w:sz w:val="17"/>
                <w:szCs w:val="17"/>
                <w:color w:val="auto"/>
              </w:rPr>
            </w:pPr>
          </w:p>
        </w:tc>
        <w:tc>
          <w:tcPr>
            <w:tcW w:w="1180" w:type="dxa"/>
            <w:vAlign w:val="bottom"/>
          </w:tcPr>
          <w:p>
            <w:pPr>
              <w:jc w:val="right"/>
              <w:ind w:right="153"/>
              <w:spacing w:after="0"/>
              <w:rPr>
                <w:sz w:val="20"/>
                <w:szCs w:val="20"/>
                <w:color w:val="auto"/>
              </w:rPr>
            </w:pPr>
            <w:r>
              <w:rPr>
                <w:rFonts w:ascii="Arial" w:cs="Arial" w:eastAsia="Arial" w:hAnsi="Arial"/>
                <w:sz w:val="16"/>
                <w:szCs w:val="16"/>
                <w:b w:val="1"/>
                <w:bCs w:val="1"/>
                <w:color w:val="auto"/>
                <w:w w:val="95"/>
              </w:rPr>
              <w:t>Nine Months</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Ended September</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Ended September</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segment adjusted EBITDA</w:t>
            </w:r>
          </w:p>
        </w:tc>
        <w:tc>
          <w:tcPr>
            <w:tcW w:w="4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170,976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129,312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including related taxes</w:t>
            </w:r>
          </w:p>
        </w:tc>
        <w:tc>
          <w:tcPr>
            <w:tcW w:w="3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9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16,502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20" w:type="dxa"/>
            <w:vAlign w:val="bottom"/>
            <w:vMerge w:val="restart"/>
          </w:tcPr>
          <w:p>
            <w:pPr>
              <w:jc w:val="right"/>
              <w:ind w:right="269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February 26, 2016.</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patent acquisition spending, our acquisition of Inventus, and our competitive position.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February 26, 2016.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Since our founding in 2008, we have been providing a rational alternative to litigation through our patent risk management solution. In January 2016 through our acquisition of Inventus, we began offering technology-enabled discovery services to our clients.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w:t>
      </w:r>
    </w:p>
    <w:p>
      <w:pPr>
        <w:spacing w:after="0" w:line="77" w:lineRule="exact"/>
        <w:rPr>
          <w:sz w:val="20"/>
          <w:szCs w:val="20"/>
          <w:color w:val="auto"/>
        </w:rPr>
      </w:pPr>
    </w:p>
    <w:p>
      <w:pPr>
        <w:ind w:right="34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The core of our patent risk management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patent risk management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nine months ended September 30, 2016, we completed 66 acquisitions of patent assets and our gross and net patent acquisition spend totaled $135.8 million and $71.9 million, respectively. From our inception through September 30, 2016, we have completed 373 acquisitions of patent assets with gross and net patent acquisition spend of $2.2 billion and $901.9 million, respectively.</w:t>
      </w:r>
    </w:p>
    <w:p>
      <w:pPr>
        <w:spacing w:after="0" w:line="178"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Insuring against the costs of patent litigation is a natural extension of our core defensive patent acquisition service. In August 2012, we started to offer patent infringement liability insurance, which is a liability insurance policy for operating companies that covers certain costs associated with patent infringement lawsuits. The insurance product complements our core defensive patent acquisition service, enabling policyholders to better manage and mitigate the risk of patent litigation. In connection with an evolution in the way that we sell insurance policies, during March 2014 we formed a reinsurance company to assume a portion of the underwriting risk on insurance policies that we issue on behalf of a Lloyd’s of London underwriting syndicate. We began issuing new policies under the reinsurance model in May 2014. As of September 30, 2016, we had a total of 163 active insurance policies. The effect of the insurance policies that we have issued or assumed through our reinsurance business was not material to our results of operations or financial condition for the nine months ended September 30, 2016 or 2015.</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446"/>
        <w:spacing w:after="0" w:line="259" w:lineRule="auto"/>
        <w:rPr>
          <w:sz w:val="20"/>
          <w:szCs w:val="20"/>
          <w:color w:val="auto"/>
        </w:rPr>
      </w:pPr>
      <w:r>
        <w:rPr>
          <w:rFonts w:ascii="Arial" w:cs="Arial" w:eastAsia="Arial" w:hAnsi="Arial"/>
          <w:sz w:val="18"/>
          <w:szCs w:val="18"/>
          <w:color w:val="auto"/>
        </w:rPr>
        <w:t>During the nine months ended September 30, 2016 and 2015, revenue from our patent risk management solution was $203.5 million and $219.1 million, respectively. Our patent risk management client count, which includes both clients who receive our defensive patent acquisition service and our insurance service, increased by 73 clients during the nine months ended September 30, 2016, bringing our total client network to 328 as of September 30,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7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In January 2016, through our wholly-owned subsidiary Inventus, we began offering technology-enabled discovery services to assist leading law firms and corporate legal departments manage costs and risks related to the litigation discovery process. Our more than 1,000 discovery services clients in nearly a dozen countries benefit from our discovery services solution, which includes data hosting and backup, data processing and collection, project management, document review, and traditional document production. All of these services are designed to streamline the administration of litigation, investigations, and regulatory compliance. During the nine months ended September 30, 2016, revenue from our discovery services was $47.8 million. Certain of our discovery services operations are denominated in currencies other than the U.S. Dollar, primarily the British Pound and the European Euro, and therefore these operations are exposed to foreign exchange rate fluctuations.</w:t>
      </w:r>
    </w:p>
    <w:p>
      <w:pPr>
        <w:spacing w:after="0" w:line="178"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discovery services solution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Subscription revenue includes membership subscriptions to our defensive patent aggregation services, premiums earned from insurance policies, and management fees.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Additionally,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insurance policies in the future, for the nine months ended September 30, 2016 and 2015, insurance premium revenue was not material to our results of operations.</w:t>
      </w:r>
    </w:p>
    <w:p>
      <w:pPr>
        <w:spacing w:after="0" w:line="16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solution. These services are typically comprised of data collection, hosting and processing, project management, and document review services, and are generally billed in arrears based on the number of users, amount of data stored, and/or number of consulting hours. Our discovery revenue may fluctuate significantly based on the project-oriented nature of the discovery services we provide.</w:t>
      </w:r>
    </w:p>
    <w:p>
      <w:pPr>
        <w:spacing w:after="0" w:line="18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recognize revenue from the sale of licenses and advisory fee income in connection with syndicated acquisitions, which we collectively refer to as fee-related revenue. In the future, we may receive other revenue and fee income from newly-introduced products and services. While we may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Cost of revenue from our patent risk management solution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solution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solution began to include premiums ceded to reinsurers and loss reserves. We began to issue new policies under the reinsurance model in May 2014 and under this model we do not cede premiums.</w:t>
      </w:r>
    </w:p>
    <w:p>
      <w:pPr>
        <w:spacing w:after="0" w:line="18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Our cost of revenue for the patent risk management solution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periods immediately following the acquisition. Estimating the economic useful lives of our patent assets depends on various factors including whether we acquire patents or licenses to patents, and the remaining statutory life of the underlying patents, either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which could result in shorter amortization periods. We believe that amortization periods of patent assets to be acquired in future periods may be amortized over shorter periods than the historical weighted-average of 42 months. We expect our cost of revenue from our patent risk management solution to increase in the future as we add additional patent assets to our existing portfolio to support our existing and future clients and as our insurance business grows.</w:t>
      </w:r>
    </w:p>
    <w:p>
      <w:pPr>
        <w:spacing w:after="0" w:line="14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Cost of revenue from our discovery services consists primarily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data and software license fees is primarily fixed but can fluctuate based on levels of data hosted and number of users our clients choose to have access to the software.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77"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Interest and other income (expense), net consists of interest income earned on our cash, cash equivalents and short-term investments, interest expense incurred on our term debt, gains or losses due to foreign currency fluctuations, as well as changes in fair value of our deferred payment obligations.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24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Other than the adoption of the revenue recognition policies related to the acquired discovery services solution, there have been no material changes to the Company’s significant accounting policies during the nine months ended September 30, 2016,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26, 2016.</w:t>
      </w:r>
    </w:p>
    <w:p>
      <w:pPr>
        <w:spacing w:after="0" w:line="17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We recognize revenue from our discovery services solution in accordance with Accounting Standards Codification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revenue is recognized when persuasive evidence of an arrangement exists, the related services are provided, the price is fixed or determinable, and collectability is reasonably assured. Our revenue recognition policies related to our discovery services are described in more detail in Note 2, "Basis of Presentation and Significant Accounting Policies," in Notes to Condensed Consolidated Financial Statements (unaudited) in Part I, Item 1 of this Quarterly Report on Form 10-Q.</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recent accounting pronouncements are described in more detail in Note 2, "Basis of Presentation and Significant Accounting Policies," in Notes to Condensed Consolidated Financial Statements (unaudited) in Part I, Item 1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50,830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147,566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109,383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21,066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33,895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8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20" w:type="dxa"/>
            <w:vAlign w:val="bottom"/>
            <w:gridSpan w:val="2"/>
          </w:tcPr>
          <w:p>
            <w:pPr>
              <w:ind w:left="554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2015</w:t>
            </w:r>
          </w:p>
        </w:tc>
      </w:tr>
      <w:tr>
        <w:trPr>
          <w:trHeight w:val="33"/>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Gain on sale of patent assets, net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Interest and other income (expense), net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revenue for the three months ended September 30, 2016 was $88.5 million compared to $68.2 million during the same period a year prior, an increase of $20.3 million, or 30%. Subscription revenue, which includes membership subscriptions to our defensive patent aggregation services, premiums earned from insurance policies, and management fees, for the three months ended September 30, 2016 was $62.4 million compared to $68.2 million for the three months ended September 30, 2015. The decrease in subscription revenue was primarily attributable to a decrease of $6.4 million from clients who joined our network prior to September 30, 2015 partially offset by an increase in membership fees and insurance premiums of $0.6 million from new clients who joined our network subsequent to September 30, 2015. As of September 30, 2016, our patent risk management client network increased to 328 companies as compared to 245 as of September 30, 2015, primarily attributable to the addition of insurance clients.</w:t>
      </w:r>
    </w:p>
    <w:p>
      <w:pPr>
        <w:spacing w:after="0" w:line="178" w:lineRule="exact"/>
        <w:rPr>
          <w:sz w:val="20"/>
          <w:szCs w:val="20"/>
          <w:color w:val="auto"/>
        </w:rPr>
      </w:pPr>
    </w:p>
    <w:p>
      <w:pPr>
        <w:jc w:val="both"/>
        <w:ind w:right="220" w:firstLine="486"/>
        <w:spacing w:after="0" w:line="342"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three months ended September 30, 2016 was $18.0 million compared to nil in the same period a year prior as we acquired Inventus in January 2016.</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for the three months ended September 30, 2016 and 2015 included fee-related revenue of $8.1 million and nil, respectively.</w:t>
      </w:r>
    </w:p>
    <w:p>
      <w:pPr>
        <w:spacing w:after="0" w:line="225"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Our revenue for the nine months ended September 30, 2016 was $251.3 million compared to $219.1 million during the same period a year prior, an increase of $32.2 million, or 15%. Subscription revenue, which includes membership subscription services to our defensive patent aggregation services, premiums earned from insurance policies, and management fees, for the nine months ended September 30, 2016 was $192.7 million compared to $202.0 million for the nine months ended September 30, 2015. The decrease in subscription revenue was primarily attributable to a decrease of $13.1 million from clients who joined our network prior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September 30, 2015 partially offset by an increase in membership fees and insurance premiums of $3.8 million from new clients who joined our network subsequent to September 30, 2015.</w:t>
      </w:r>
    </w:p>
    <w:p>
      <w:pPr>
        <w:spacing w:after="0" w:line="170" w:lineRule="exact"/>
        <w:rPr>
          <w:sz w:val="20"/>
          <w:szCs w:val="20"/>
          <w:color w:val="auto"/>
        </w:rPr>
      </w:pPr>
    </w:p>
    <w:p>
      <w:pPr>
        <w:jc w:val="both"/>
        <w:ind w:right="200" w:firstLine="486"/>
        <w:spacing w:after="0" w:line="342"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nine months ended September 30, 2016 was $47.8 million compared to nil in the same period a year prior as we acquired Inventus in January 2016.</w:t>
      </w:r>
    </w:p>
    <w:p>
      <w:pPr>
        <w:spacing w:after="0" w:line="124"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Revenue for the nine months ended September 30, 2016 and 2015 included fee-related revenue of $10.7 million and $17.1 million, respectively. The decrease in fee-related revenue was primarily attributable to a success fee earned in relation to a particularly large syndicated acquisition recognized during the nine months ended September 30,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cost of revenue for the three months ended September 30, 2016 was $50.8 million compared to $37.6 million during the same period a year prior, an increase of $13.2 million, or 35%. The increase was primarily attributable to the cost of revenue for discovery services of $9.3 million associated with Inventus, which we acquired in January 2016 and therefore has no comparable cost of revenue for the three months ended September 30, 2015. This increase was also attributable to a $4.2 million increase in patent amortization expense as a result of an increase in our patent assets and shorter than historical amortization periods for certain patent assets acquired subsequent to September 30, 2015. Patent assets acquired during the three months ended September 30, 2016 had a weighted-average amortization period of 28 months months compared with the historical weighted-average since our inception of 42 months. These increases in cost of revenue were partially offset by a $0.4 million decrease in costs incurred to maintain and prosecute patents and patent applications included in our portfolio, conduct inter partes reviews and prior art searches.</w:t>
      </w:r>
    </w:p>
    <w:p>
      <w:pPr>
        <w:spacing w:after="0" w:line="17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cost of revenue for the nine months ended September 30, 2016 was $147.6 million compared to $109.4 million during the same period a year prior, an increase of $38.2 million, or 35%. The increase was primarily attributable to the cost of revenue for discovery services of $24.2 million associated with Inventus, which we acquired in January 2016 and therefore has no comparable cost of revenue for the nine months ended September 30, 2015. This increase is also attributable to an $15.5 million increase in patent amortization expense as a result of an increase in our patent assets and shorter than historical amortization periods for certain patent assets acquired subsequent to September 30, 2015. Patent assets acquired during the nine months ended September 30, 2016 had a weighted-average amortization period of 27 months compared with the historical weighted-average since our inception of 42 months. These increases are partially offset by a $1.4 million decrease in expenses incurred to conduct inter partes reviews and prior art searches.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selling, general and administrative expenses for the three months ended September 30, 2016 were $23.6 million compared to $18.8 million during the same period a year prior, an increase of $4.8 million, or 26%. The increase was primarily due to discovery services selling, general, and administrative expenses of $6.0 million associated with Inventus which we acquired in January 2016 and therefore has no comparable selling, general, or administrative expenses for the three months ended September 30, 2015. This was partially offset by decreases in personnel-related costs in the patent risk management business primarily attributable to decreasing our headcount.</w:t>
      </w:r>
    </w:p>
    <w:p>
      <w:pPr>
        <w:spacing w:after="0" w:line="18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Our selling, general and administrative expenses for the nine months ended September 30, 2016 were $76.4 million compared to $57.2 million during the same period a year prior, an increase of $19.2 million, or 34%. The increase was primarily due to discovery services selling, general, and administrative expenses of $17.3 million associated with Inventus which we acquired in January 2016 and therefore has no comparable selling, general, or administrative expenses for the nine months ended September 30, 2015. The increase was also due to $1.9 million of other selling, general and administrative expenses incurred in relation to our acquisition of Inventus and $0.6 million incurred for other general corporate expenses. These increases in selling, general, and administrative expenses were partially offset by a $0.6 million decrease in personnel-related costs in the patent risk management business primarily attributable to decreasing our headcount.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77"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Our interest and other expense, net for the three months ended September 30, 2016 was $1.3 million compared to interest and other income, net of $0.9 million during the same period a year prior, a decrease of $2.2 million. The decrease was primarily due to $0.9 million of interest expense on our term debt, $0.7 million decrease in fair value adjustments on our deferred payment obligations, and $0.7 million of realized and unrealized foreign currency losses.</w:t>
      </w:r>
    </w:p>
    <w:p>
      <w:pPr>
        <w:spacing w:after="0" w:line="14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interest and other expense, net for the nine months ended September 30, 2016 was $1.0 million compared to interest and other income, net of $1.9 million during the same period a year prior, a decrease of $2.9 million. The decrease was primarily due to $2.2 million of interest expense on our term debt, $1.7 million of realized and unrealized foreign currency losses which were partially offset by a $1.1 million increase in fair value adjustments and gains on extinguishment on our deferred payment obligations.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Our provision for income taxes was $4.7 million and $4.8 million for the three months ended September 30, 2016 and 2015. Our effective tax rate, including the impact of discrete benefit items, was 36% and 38% for the three months ended September 30, 2016 and 2015.</w:t>
      </w:r>
    </w:p>
    <w:p>
      <w:pPr>
        <w:spacing w:after="0" w:line="147"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Our provision for income taxes was $9.8 million and $21.1 million for the nine months ended September 30, 2016 and 2015. Our effective tax rate, including the impact of discrete benefit items, was 37% and 38% for the nine month periods ended September 30, 2016 and 2015,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have financed substantially all of our operations and patent asset acquisitions through subscription and other fees collected from our clients, patent-seller financing, the sale of equity securities, and from borrowing through term loan facilities. As of September 30, 2016, we had $87.2 million of cash and cash equivalents and $95.5 million in short-term investments. On January 22, 2016, we paid consideration of $232 million in cash, net of working capital adjustments, at the closing of the Inventus acquisition. On February 26, 2016, we entered into a credit agreement for a $100 million five-year term facility and a $50 million five-year revolving credit facility. As of September 30, 2016, the revolving credit facility remains undrawn.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and discovery services businesses and development of new products and services. We may experience an increased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(110,331)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Foreign-currency effect on cash and cash equivalents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26,549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Cash provided by operating activities for the nine months ended September 30, 2016 was $119.8 million, consisting of adjustments for non-cash items of $139.7 million, changes in working capital and non-current assets and liabilities of $36.4 million and net income of $16.5 million. Non-cash adjustments to net income primarily consisted of $129.3 million of depreciation and amortization, $14.1 million of stock-based compensation, an unrealized loss of $2.0 million due to foreign currency fluctuations, $1.6 million of amortization of premium on investments, $0.9 million of other cash movements, and $0.3 million realized loss on our sale of short-term investments, partially offset by $6.0 million net increase in our deferred taxes, $1.9 million of fair value adjustments on our deferred payment obligations and $0.5 million gain on extinguishment of our deferred payment obligation. The change in working capital and non-current assets and liabilities resulted primarily from a $13.1 million decrease in deferred revenue, an increase in our prepaid expenses and other assets of $11.2 million, a $8.2 million increase in accounts receivable, a $3.7 million decrease in our accrued and other liabilities, and a $0.3 million decrease in accounts payable.</w:t>
      </w:r>
    </w:p>
    <w:p>
      <w:pPr>
        <w:spacing w:after="0" w:line="19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Cash provided by operating activities for the nine months ended September 30, 2015 was $138.5 million, consisting of adjustments for non-cash items of $121.3 million, changes in working capital and non-current assets and liabilities of $16.7 million and net income of $33.9 million. Non-cash adjustments to net income primarily consisted of $107.0 million of depreciation and amortization, $13.1 million of stock-based compensation, and $4.8 million of amortization of premium on investments, offset by a reduction of $1.4 million due to excess tax benefit from stock-based compensation, $1.3 million of fair value adjustments on our deferred payment obligations, a $0.6 million gain on the sale of patent assets, and a $0.4 million net increase in our deferred taxes. The change in working capital and non-current assets and liabilities resulted primarily from a a $18.9 million decrease in deferred revenue, a $9.8 million increase in prepaid expenses and other assets and a $2.8 million decrease in our accrued and other liabilities offset by a $14.1 million decrease in accounts receivable and a $0.7 million increase in accounts payable. The decrease in accounts receivable was due to $206.5 million in cash collections partially offset by billings to new and existing clients of $192.4 million.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decrease in deferred revenue was due to revenue recognized during the period of $202.0 million partially offset by $183.1 million in billings to new and existing clients. The amount of deferred revenue in any given period varies with the addition of new clients, the mix of payment terms that we offer and the timing of invoicing existing clients.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Cash used in investing activities for the nine months ended September 30, 2016 was $171.0 million, of which $228.5 million was used for the acquisition of Inventus, net of cash received, $71.0 million was used to acquire patent assets, and $3.0 million was used to acquire property and equipment, partially offset by $131.0 million net sales and maturities of short-term investments primarily used to fund the acquisition of Inventus, and a $0.4 million decrease in our restricted cash balances.</w:t>
      </w:r>
    </w:p>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Cash used in investing activities for the nine months ended September 30, 2015 was $110.3 million, of which $84.1 million was used to acquire patent assets, $22.7 million represented net purchases of short-term investments, $2.5 million was used for an acquisition of other assets, $1.6 million was used to acquire property and equipment, and $0.4 million was used for the final payment of the acquisition of DCML Services Corporation, partially offset by $0.7 million in proceeds from the sale of patent assets and $0.3 million decrease in restricted cash.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Cash provided by financing activities for the nine months ended September 30, 2016 was $43.7 million, of which $100.0 million represented proceeds from the issuance of long-term debt and $3.7 million was received from the proceeds of stock option exercises, which were partially offset by $50.8 million used to repurchase our common stock under our share repurchase program, $3.1 million used in taxes paid related to net-share settlements of restricted stock units, payments of principal on our long-term debt of $2.5 million, and $2.0 million for payments of issuance costs related to our long-term debt.</w:t>
      </w:r>
    </w:p>
    <w:p>
      <w:pPr>
        <w:spacing w:after="0" w:line="154"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Cash used in financing activities for the nine months ended September 30, 2015 was $1.7 million, of which $9.4 million was used to repurchase our common stock under our share repurchase program, $3.7 million used in taxes paid related to net-share settlements of restricted stock units, and $0.9 million used for repayments of principal on deferred payment obligations, partially offset by $6.3 million of proceeds from deferred payment obligations, $4.6 million of proceeds from the exercise of stock options and other common stock issuances and $1.4 million excess tax benefit from stock-based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77" w:lineRule="exact"/>
        <w:rPr>
          <w:sz w:val="20"/>
          <w:szCs w:val="20"/>
          <w:color w:val="auto"/>
        </w:rPr>
      </w:pPr>
    </w:p>
    <w:p>
      <w:pPr>
        <w:ind w:right="260" w:firstLine="486"/>
        <w:spacing w:after="0" w:line="273" w:lineRule="auto"/>
        <w:rPr>
          <w:sz w:val="20"/>
          <w:szCs w:val="20"/>
          <w:color w:val="auto"/>
        </w:rPr>
      </w:pPr>
      <w:r>
        <w:rPr>
          <w:rFonts w:ascii="Arial" w:cs="Arial" w:eastAsia="Arial" w:hAnsi="Arial"/>
          <w:sz w:val="17"/>
          <w:szCs w:val="17"/>
          <w:color w:val="auto"/>
        </w:rPr>
        <w:t>We generally do not enter into long-term minimum purchase commitments. Our principal long-term commitments consist of obligations under operating leases for office space. Other than certain commitments obtained through our acquisition of Inventus as shown below, there were no substantial changes to our contractual obligations and commitments during the nine months ended September 30, 2016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10 of the Notes to Consolidated Financial Statements in Part II, Item 8 of our Annual Report on Form 10-K filed with the SEC on February 26, 2016.</w:t>
      </w:r>
    </w:p>
    <w:p>
      <w:pPr>
        <w:spacing w:after="0" w:line="17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aggregate future non-cancelable minimum lease payments from the operating leases acquired through our acquisition of Inventus are as follows as of September 30,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838</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non-cancelable minimum operating lease payments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non-cancelable minimum operating lease payments, net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4,311</w:t>
            </w: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Through our acquisition of Inventus, we also acquired a three year contractual commitment totaling $5.3 million related to its third-party discovery service software license, of which $1.8 million remains unpaid as of September 30, 2016 and will be paid within twelve months.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jc w:val="center"/>
        <w:ind w:right="1010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w:t>
      </w:r>
    </w:p>
    <w:p>
      <w:pPr>
        <w:spacing w:after="0" w:line="7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On February 26, 2016, we entered into the Credit Agreement which provided for the Term Facility and the Revolving Credit Facility. As of September 30, 2016, the total balance outstanding on the Term Facility is $97.5 million, and the Revolving Credit Facility remains undrawn. Our debt facilities and repayment schedule are described in more detail in Note 11, "Debt," in Notes to Condensed Consolidated Financial Statements (unaudited) in Part I, Item 1 of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February 2015, our Board of Directors authorized the repurchase of up to $75.0 million of our outstanding shares of common stock. In March and May 2016, we increased our share repurchase program by $25 million and $50 million, respectively, for a total amount authorized of $150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September 30, 2016, we had repurchased an aggregate of 7.0 million shares of common stock in the open market for $76.9 million under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At September 30, 2016,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and the European Euro, and therefore these operations are exposed to foreign exchange rate fluctuations, particularly in light of the referendum in the United Kingdom in which voters approved an exit from the European Union, commonly referred to as "Brexit," and other recent political developments.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Japanese Yen and European Euro relative to the U.S. Dollar, including changes due to Brexit. To date, we have not entered into any foreign currency hedging contracts.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 and our long-term debt.</w:t>
      </w:r>
    </w:p>
    <w:p>
      <w:pPr>
        <w:spacing w:after="0" w:line="170" w:lineRule="exact"/>
        <w:rPr>
          <w:sz w:val="20"/>
          <w:szCs w:val="20"/>
          <w:color w:val="auto"/>
        </w:rPr>
      </w:pPr>
    </w:p>
    <w:p>
      <w:pPr>
        <w:jc w:val="both"/>
        <w:ind w:right="40" w:firstLine="486"/>
        <w:spacing w:after="0" w:line="302" w:lineRule="auto"/>
        <w:rPr>
          <w:sz w:val="20"/>
          <w:szCs w:val="20"/>
          <w:color w:val="auto"/>
        </w:rPr>
      </w:pPr>
      <w:r>
        <w:rPr>
          <w:rFonts w:ascii="Arial" w:cs="Arial" w:eastAsia="Arial" w:hAnsi="Arial"/>
          <w:sz w:val="16"/>
          <w:szCs w:val="16"/>
          <w:color w:val="auto"/>
        </w:rPr>
        <w:t>As of September 30, 2016, the Company had an outstanding term facility with a five-year maturity with an aggregate carrying amount of $100 million, which bears interest at the Company's option equal to either a base rate plus a margin ranging from 1.25% to 1.75% per annum LIBOR plus a margin ranging from 2.25% to 2.75% per annum, based upon the ratio of the Company's debt to consolidated EBITDA ratio. A hypothetical 100 BPS increase or decrease in LIBOR would increase or decrease the interest expense on our term facility by approximately $0.6 million for the nine months ended September 30, 2016.</w:t>
      </w:r>
    </w:p>
    <w:p>
      <w:pPr>
        <w:spacing w:after="0" w:line="15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$182.7 million as of September 30, 2016.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of September 30, 2016, our short-term investments of $95.5 million were primarily invested in municipal and corporate bonds maturing between 90 days and 12 months, U.S. government and agency securities, commercial paper, and equity securities. As of September 30, 2016,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September 30, 2016, we had not recorded any impairment charges related to our investments in the condensed consolidated statement of operations.</w:t>
      </w:r>
    </w:p>
    <w:p>
      <w:pPr>
        <w:spacing w:after="0" w:line="17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 hypothetical change in our interest rates of 10% during the nine months ended September 30, 2016 would not have had a material impact on the fair value of our investments.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September 30, 2016, our Chief Executive Officer and Chief Financial Officer concluded that, as of such date, the Company’s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2016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 or loss of discovery services clients and projects which are difficult to predict and may result in material changes in quarterly revenue and costs;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8"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50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8" w:lineRule="exact"/>
        <w:rPr>
          <w:rFonts w:ascii="Arial" w:cs="Arial" w:eastAsia="Arial" w:hAnsi="Arial"/>
          <w:sz w:val="18"/>
          <w:szCs w:val="18"/>
          <w:color w:val="auto"/>
        </w:rPr>
      </w:pPr>
    </w:p>
    <w:p>
      <w:pPr>
        <w:ind w:left="820" w:right="100" w:hanging="326"/>
        <w:spacing w:after="0" w:line="29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We acquired our first patent assets in September 2008, sold our first membership in October 2008, and sold our first insurance policy in August 2012. In addition, we acquired Inventus and its litigation discovery services business in January 2016. The litigation discovery services business is a new business for us. Therefore, we have not only a limited operating history, but also a limited track record in executing our business model. Our future success depends on acceptance of our solutions by companies we target to become clients and successfully integrating our acquisition of Inventus.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for our subscription business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8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7" w:lineRule="exact"/>
        <w:rPr>
          <w:sz w:val="20"/>
          <w:szCs w:val="20"/>
          <w:color w:val="auto"/>
        </w:rPr>
      </w:pPr>
    </w:p>
    <w:p>
      <w:pPr>
        <w:ind w:right="24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As of September 30, 2016, the weighted-average term of our subscription agreements with our current clients since the inception of those agreements was 2.7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has decreased and may continue to decrease further. If our clients do not renew their subscriptions or renew for shorter terms or if we allow them to renew at reduced subscription fees, our revenue may decline and our business may be adversely affected.</w:t>
      </w:r>
    </w:p>
    <w:p>
      <w:pPr>
        <w:spacing w:after="0" w:line="17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317"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recently acquired Inventus,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19"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333"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right="20" w:hanging="326"/>
        <w:spacing w:after="0" w:line="317"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ind w:left="820" w:right="24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9" w:lineRule="exact"/>
        <w:rPr>
          <w:rFonts w:ascii="Arial" w:cs="Arial" w:eastAsia="Arial" w:hAnsi="Arial"/>
          <w:sz w:val="18"/>
          <w:szCs w:val="18"/>
          <w:color w:val="auto"/>
        </w:rPr>
      </w:pPr>
    </w:p>
    <w:p>
      <w:pPr>
        <w:jc w:val="both"/>
        <w:ind w:left="820" w:right="12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9" w:lineRule="exact"/>
        <w:rPr>
          <w:rFonts w:ascii="Arial" w:cs="Arial" w:eastAsia="Arial" w:hAnsi="Arial"/>
          <w:sz w:val="18"/>
          <w:szCs w:val="18"/>
          <w:color w:val="auto"/>
        </w:rPr>
      </w:pPr>
    </w:p>
    <w:p>
      <w:pPr>
        <w:ind w:left="820" w:right="7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8"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1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8"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2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investing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occur, some or all of the patent assets we have acquired may become less valuable or obsolete before we have had the opportunity to obtain significant value from those assets.</w:t>
      </w:r>
    </w:p>
    <w:p>
      <w:pPr>
        <w:spacing w:after="0" w:line="170"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expect to face more direct competition in the future in both our patent risk management business and litigation discovery services business from other established and emerging companies. In addition, as a relatively new company in the patent risk management market and litigation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18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Our current or potential competitors in both our patent risk management business and litigation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75"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8"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8"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8"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8"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in June 2014 we acquired DCML Services Corporation, a provider of data, intelligence and consulting on NPEs.</w:t>
      </w:r>
    </w:p>
    <w:p>
      <w:pPr>
        <w:spacing w:after="0" w:line="187"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The development and implementation of new solutions, particularly our litigation discovery services solution,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8"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March 2014 we formed a reinsurance company to bear some underwriting risk on insurance policies that we issue on behalf of a Lloyd’s of London underwriting syndicate. We began placing new policies under the reinsurance model in May 2014. In January 2016 we acquired Inventus and expanded our business into the litigation discovery services market, which is a new business for us.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65"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49"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72"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63"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Additionally, we face risks from laws that could be passed or changed in the future, including in the United Kingdom as a result of Brexit. Since a significant portion of the regulatory framework in the United Kingdom is derived from EU directives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regulations, Brexit could materially affect the regulatory regime in the United Kingdom. Changes in laws and regulations regarding data protection, privacy, network security, or encryption may affect our discovery management solution.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nine months ended September 30, 2016, our 10 highest revenue-generating clients accounted for approximately 28%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Inventus security measures are breached, our discovery services solution may be perceived as not being secure, clients may curtail or stop using our discovery services, and we may incur significant legal and financial exposure.</w:t>
      </w:r>
    </w:p>
    <w:p>
      <w:pPr>
        <w:spacing w:after="0" w:line="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process, store, and transmit large amounts of data, including personal information, for our discovery services clients, and a security breach would expose us to a risk of loss of this information, litigation, and potential liability. 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60" w:firstLine="446"/>
        <w:spacing w:after="0" w:line="293" w:lineRule="auto"/>
        <w:rPr>
          <w:sz w:val="20"/>
          <w:szCs w:val="20"/>
          <w:color w:val="auto"/>
        </w:rPr>
      </w:pPr>
      <w:r>
        <w:rPr>
          <w:rFonts w:ascii="Arial" w:cs="Arial" w:eastAsia="Arial" w:hAnsi="Arial"/>
          <w:sz w:val="16"/>
          <w:szCs w:val="16"/>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motivated personnel, our reputation could suffer, and our business, financial condition and results of operations could be adversely affected.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During the audit of the financial statements of our recently-acquired, wholly-owned subsidiary Inventus for the year ended December 31, 2015, we concluded the subsidiary's controls were not effectively designed and did not operate at the appropriate level of precision to record the valuation of deferred tax assets in the appropriate period, resulting in the restatement of Inventus's consolidated financial statements for the year ended December 31, 2014. Inventus’s management concluded that this control deficiency constituted a material weakness as of December 31, 2015. If we are unable to effectively remediate control deficiencies which are identified or are otherwise unable to maintain adequate internal controls over Inventus’s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solution or fees payable under our subscription agreements, which could adversely affect our financial condition and operating results.</w:t>
      </w:r>
    </w:p>
    <w:p>
      <w:pPr>
        <w:spacing w:after="0" w:line="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In particular, the economics of countries in Europe have been experiencing weakness associated with high sovereign debt levels, weakness in the banking sector, and uncertainty over the future of the Euro zone, including instability surrounding Brexit.</w:t>
      </w:r>
    </w:p>
    <w:p>
      <w:pPr>
        <w:spacing w:after="0" w:line="271" w:lineRule="auto"/>
        <w:rPr>
          <w:sz w:val="20"/>
          <w:szCs w:val="20"/>
          <w:color w:val="auto"/>
        </w:rPr>
      </w:pPr>
      <w:r>
        <w:rPr>
          <w:rFonts w:ascii="Arial" w:cs="Arial" w:eastAsia="Arial" w:hAnsi="Arial"/>
          <w:sz w:val="17"/>
          <w:szCs w:val="17"/>
          <w:color w:val="auto"/>
        </w:rPr>
        <w:t>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on significant debt, which will decrease our business flexibility and increase our interest expense.</w:t>
      </w:r>
    </w:p>
    <w:p>
      <w:pPr>
        <w:spacing w:after="0" w:line="77"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On February 26, 2016, we entered into the Credit Agreement which provided for the Term Facility the Revolving Credit Facility. As of September 30, 2016, the total balance outstanding on the Term Facility is $97.5 million, and the Revolving Credit Facility remains undrawn.</w:t>
      </w:r>
    </w:p>
    <w:p>
      <w:pPr>
        <w:spacing w:after="0" w:line="22"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7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macroeconomic, market, and political factors and trends, including in light of Brexit and other recent political developments;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46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February 2015, our Board of Directors approved a share repurchase program of up to $75 million. In March 2016 and May 2016, our Board of Directors further increased the amount authorized to repurchase by $25 million and $50 million, respectively, to a total authorized amount to repurchase of $150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September 30, 2016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July 31,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542,333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542,333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79,464,790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31, 2016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268,707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76,616,706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September 30,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338,192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338,192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73,072,454</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80" w:firstLine="8"/>
        <w:spacing w:after="0" w:line="273" w:lineRule="auto"/>
        <w:tabs>
          <w:tab w:leader="none" w:pos="192"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September 30, 2016, the Company repurchased $76.9 million of the outstanding common stock. Under the program, shares may be repurchased in privately negotiated and/or open market transactions, including under plans complying with Rule 10b5-1 under the Exchange Act. The Company’s share repurchase program does not obligate it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-845820</wp:posOffset>
            </wp:positionV>
            <wp:extent cx="1003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-845820</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6200" w:space="120"/>
            <w:col w:w="510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700" w:type="dxa"/>
            <w:vAlign w:val="bottom"/>
            <w:gridSpan w:val="3"/>
          </w:tcPr>
          <w:p>
            <w:pPr>
              <w:ind w:left="1620"/>
              <w:spacing w:after="0"/>
              <w:rPr>
                <w:sz w:val="20"/>
                <w:szCs w:val="20"/>
                <w:color w:val="auto"/>
              </w:rPr>
            </w:pPr>
            <w:r>
              <w:rPr>
                <w:rFonts w:ascii="Arial" w:cs="Arial" w:eastAsia="Arial" w:hAnsi="Arial"/>
                <w:sz w:val="18"/>
                <w:szCs w:val="18"/>
                <w:color w:val="auto"/>
              </w:rPr>
              <w:t>RPX CORPORATION</w:t>
            </w:r>
          </w:p>
        </w:tc>
      </w:tr>
      <w:tr>
        <w:trPr>
          <w:trHeight w:val="270"/>
        </w:trPr>
        <w:tc>
          <w:tcPr>
            <w:tcW w:w="3500" w:type="dxa"/>
            <w:vAlign w:val="bottom"/>
          </w:tcPr>
          <w:p>
            <w:pPr>
              <w:spacing w:after="0"/>
              <w:rPr>
                <w:sz w:val="23"/>
                <w:szCs w:val="23"/>
                <w:color w:val="auto"/>
              </w:rPr>
            </w:pP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(Registrant)</w:t>
            </w:r>
          </w:p>
        </w:tc>
        <w:tc>
          <w:tcPr>
            <w:tcW w:w="4060" w:type="dxa"/>
            <w:vAlign w:val="bottom"/>
          </w:tcPr>
          <w:p>
            <w:pPr>
              <w:spacing w:after="0"/>
              <w:rPr>
                <w:sz w:val="23"/>
                <w:szCs w:val="23"/>
                <w:color w:val="auto"/>
              </w:rPr>
            </w:pP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November 4, 2016</w:t>
            </w: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JOHN A. AMSTER</w:t>
            </w:r>
          </w:p>
        </w:tc>
      </w:tr>
      <w:tr>
        <w:trPr>
          <w:trHeight w:val="27"/>
        </w:trPr>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John A. Amster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500" w:type="dxa"/>
            <w:vAlign w:val="bottom"/>
          </w:tcPr>
          <w:p>
            <w:pPr>
              <w:spacing w:after="0"/>
              <w:rPr>
                <w:sz w:val="20"/>
                <w:szCs w:val="20"/>
                <w:color w:val="auto"/>
              </w:rPr>
            </w:pPr>
            <w:r>
              <w:rPr>
                <w:rFonts w:ascii="Arial" w:cs="Arial" w:eastAsia="Arial" w:hAnsi="Arial"/>
                <w:sz w:val="18"/>
                <w:szCs w:val="18"/>
                <w:color w:val="auto"/>
              </w:rPr>
              <w:t>Date:  November 4, 2016</w:t>
            </w: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ROBERT H. HEATH</w:t>
            </w:r>
          </w:p>
        </w:tc>
      </w:tr>
      <w:tr>
        <w:trPr>
          <w:trHeight w:val="27"/>
        </w:trPr>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Robert H. Heath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80"/>
          </w:cols>
          <w:pgMar w:left="240" w:top="125" w:right="8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 Heath,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September 30, 2016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September 30, 2016 of RPX Corporation, (the “Company”) as filed with the Securities and Exchange Commission on the date hereof (the “Report”), I, Robert H.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decimal"/>
      <w:start w:val="10"/>
    </w:lvl>
  </w:abstractNum>
  <w:abstractNum w:abstractNumId="12">
    <w:nsid w:val="628C895D"/>
    <w:multiLevelType w:val="hybridMultilevel"/>
    <w:lvl w:ilvl="0">
      <w:lvlJc w:val="left"/>
      <w:lvlText w:val="%1."/>
      <w:numFmt w:val="decimal"/>
      <w:start w:val="1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3"/>
    </w:lvl>
  </w:abstractNum>
  <w:abstractNum w:abstractNumId="15">
    <w:nsid w:val="2443A858"/>
    <w:multiLevelType w:val="hybridMultilevel"/>
    <w:lvl w:ilvl="0">
      <w:lvlJc w:val="left"/>
      <w:lvlText w:val="%1."/>
      <w:numFmt w:val="decimal"/>
      <w:start w:val="14"/>
    </w:lvl>
  </w:abstractNum>
  <w:abstractNum w:abstractNumId="16">
    <w:nsid w:val="2D1D5AE9"/>
    <w:multiLevelType w:val="hybridMultilevel"/>
    <w:lvl w:ilvl="0">
      <w:lvlJc w:val="left"/>
      <w:lvlText w:val="%1."/>
      <w:numFmt w:val="decimal"/>
      <w:start w:val="15"/>
    </w:lvl>
  </w:abstractNum>
  <w:abstractNum w:abstractNumId="17">
    <w:nsid w:val="6763845E"/>
    <w:multiLevelType w:val="hybridMultilevel"/>
    <w:lvl w:ilvl="0">
      <w:lvlJc w:val="left"/>
      <w:lvlText w:val="%1."/>
      <w:numFmt w:val="decimal"/>
      <w:start w:val="16"/>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2019-12-29T08:59:40Z</dcterms:created>
  <dcterms:modified xsi:type="dcterms:W3CDTF">2019-12-29T08:59:40Z</dcterms:modified>
</cp:coreProperties>
</file>