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13D</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RPX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$ 0.0001 par value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74972G103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Gardner Lewis Asset Management, L.P.</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Attn: Len Sorgini, Chief Compliance Officer</w:t>
      </w:r>
    </w:p>
    <w:p>
      <w:pPr>
        <w:jc w:val="center"/>
        <w:ind w:right="-19"/>
        <w:spacing w:after="0"/>
        <w:rPr>
          <w:sz w:val="20"/>
          <w:szCs w:val="20"/>
          <w:color w:val="auto"/>
        </w:rPr>
      </w:pPr>
      <w:r>
        <w:rPr>
          <w:rFonts w:ascii="Arial" w:cs="Arial" w:eastAsia="Arial" w:hAnsi="Arial"/>
          <w:sz w:val="20"/>
          <w:szCs w:val="20"/>
          <w:b w:val="1"/>
          <w:bCs w:val="1"/>
          <w:color w:val="auto"/>
        </w:rPr>
        <w:t>285 Wilmington West Chester Pike, Chadds Ford, PA 19317</w:t>
      </w:r>
    </w:p>
    <w:p>
      <w:pPr>
        <w:jc w:val="center"/>
        <w:ind w:right="-19"/>
        <w:spacing w:after="0"/>
        <w:rPr>
          <w:sz w:val="20"/>
          <w:szCs w:val="20"/>
          <w:color w:val="auto"/>
        </w:rPr>
      </w:pPr>
      <w:r>
        <w:rPr>
          <w:rFonts w:ascii="Arial" w:cs="Arial" w:eastAsia="Arial" w:hAnsi="Arial"/>
          <w:sz w:val="20"/>
          <w:szCs w:val="20"/>
          <w:b w:val="1"/>
          <w:bCs w:val="1"/>
          <w:color w:val="auto"/>
        </w:rPr>
        <w:t>(610)558-2800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June 15, 2018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6" w:lineRule="exact"/>
        <w:rPr>
          <w:sz w:val="24"/>
          <w:szCs w:val="24"/>
          <w:color w:val="auto"/>
        </w:rPr>
      </w:pPr>
    </w:p>
    <w:p>
      <w:pPr>
        <w:ind w:right="580"/>
        <w:spacing w:after="0" w:line="274"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21"/>
          <w:szCs w:val="21"/>
          <w:color w:val="auto"/>
        </w:rPr>
        <w:t>o</w:t>
      </w:r>
    </w:p>
    <w:p>
      <w:pPr>
        <w:spacing w:after="0" w:line="18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93" w:lineRule="exact"/>
        <w:rPr>
          <w:sz w:val="24"/>
          <w:szCs w:val="24"/>
          <w:color w:val="auto"/>
        </w:rPr>
      </w:pPr>
    </w:p>
    <w:p>
      <w:pPr>
        <w:ind w:right="2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472" w:right="239" w:bottom="1440" w:gutter="0" w:footer="0" w:header="0"/>
        </w:sectPr>
      </w:pPr>
    </w:p>
    <w:bookmarkStart w:id="1" w:name="page2"/>
    <w:bookmarkEnd w:id="1"/>
    <w:p>
      <w:pPr>
        <w:ind w:left="41" w:right="8380" w:hanging="41"/>
        <w:spacing w:after="0" w:line="360" w:lineRule="auto"/>
        <w:tabs>
          <w:tab w:leader="none" w:pos="221"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Gardner Lewis Asset Management, L.P.</w:t>
      </w:r>
    </w:p>
    <w:p>
      <w:pPr>
        <w:spacing w:after="0" w:line="150" w:lineRule="exact"/>
        <w:rPr>
          <w:rFonts w:ascii="Arial" w:cs="Arial" w:eastAsia="Arial" w:hAnsi="Arial"/>
          <w:sz w:val="16"/>
          <w:szCs w:val="16"/>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51"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 w:lineRule="exact"/>
        <w:rPr>
          <w:rFonts w:ascii="Arial" w:cs="Arial" w:eastAsia="Arial" w:hAnsi="Arial"/>
          <w:sz w:val="18"/>
          <w:szCs w:val="18"/>
          <w:color w:val="auto"/>
        </w:rPr>
      </w:pPr>
    </w:p>
    <w:p>
      <w:pPr>
        <w:ind w:left="221"/>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-1863090</wp:posOffset>
            </wp:positionV>
            <wp:extent cx="7246620" cy="4939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939665"/>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Pennsylvania</w:t>
      </w:r>
    </w:p>
    <w:p>
      <w:pPr>
        <w:spacing w:after="0" w:line="9" w:lineRule="exact"/>
        <w:rPr>
          <w:sz w:val="20"/>
          <w:szCs w:val="20"/>
          <w:color w:val="auto"/>
        </w:rPr>
      </w:pPr>
    </w:p>
    <w:tbl>
      <w:tblPr>
        <w:tblLayout w:type="fixed"/>
        <w:tblInd w:w="141"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7.</w:t>
            </w:r>
          </w:p>
        </w:tc>
        <w:tc>
          <w:tcPr>
            <w:tcW w:w="81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7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280" w:type="dxa"/>
            <w:vAlign w:val="bottom"/>
          </w:tcPr>
          <w:p>
            <w:pPr>
              <w:ind w:left="100"/>
              <w:spacing w:after="0" w:line="156" w:lineRule="exact"/>
              <w:rPr>
                <w:sz w:val="20"/>
                <w:szCs w:val="20"/>
                <w:color w:val="auto"/>
              </w:rPr>
            </w:pPr>
            <w:r>
              <w:rPr>
                <w:rFonts w:ascii="Arial" w:cs="Arial" w:eastAsia="Arial" w:hAnsi="Arial"/>
                <w:sz w:val="18"/>
                <w:szCs w:val="18"/>
                <w:color w:val="auto"/>
              </w:rPr>
              <w:t>8.</w:t>
            </w:r>
          </w:p>
        </w:tc>
        <w:tc>
          <w:tcPr>
            <w:tcW w:w="816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Owned by</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2,697,625</w:t>
            </w:r>
          </w:p>
        </w:tc>
        <w:tc>
          <w:tcPr>
            <w:tcW w:w="0" w:type="dxa"/>
            <w:vAlign w:val="bottom"/>
          </w:tcPr>
          <w:p>
            <w:pPr>
              <w:spacing w:after="0"/>
              <w:rPr>
                <w:sz w:val="1"/>
                <w:szCs w:val="1"/>
                <w:color w:val="auto"/>
              </w:rPr>
            </w:pPr>
          </w:p>
        </w:tc>
      </w:tr>
      <w:tr>
        <w:trPr>
          <w:trHeight w:val="54"/>
        </w:trPr>
        <w:tc>
          <w:tcPr>
            <w:tcW w:w="2720" w:type="dxa"/>
            <w:vAlign w:val="bottom"/>
            <w:vMerge w:val="restart"/>
          </w:tcPr>
          <w:p>
            <w:pPr>
              <w:spacing w:after="0" w:line="201" w:lineRule="exact"/>
              <w:rPr>
                <w:sz w:val="20"/>
                <w:szCs w:val="20"/>
                <w:color w:val="auto"/>
              </w:rPr>
            </w:pPr>
            <w:r>
              <w:rPr>
                <w:rFonts w:ascii="Arial" w:cs="Arial" w:eastAsia="Arial" w:hAnsi="Arial"/>
                <w:sz w:val="18"/>
                <w:szCs w:val="18"/>
                <w:color w:val="auto"/>
              </w:rPr>
              <w:t>Each Reporting</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280" w:type="dxa"/>
            <w:vAlign w:val="bottom"/>
            <w:tcBorders>
              <w:bottom w:val="single" w:sz="8" w:color="auto"/>
            </w:tcBorders>
          </w:tcPr>
          <w:p>
            <w:pPr>
              <w:spacing w:after="0"/>
              <w:rPr>
                <w:sz w:val="9"/>
                <w:szCs w:val="9"/>
                <w:color w:val="auto"/>
              </w:rPr>
            </w:pPr>
          </w:p>
        </w:tc>
        <w:tc>
          <w:tcPr>
            <w:tcW w:w="8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20" w:type="dxa"/>
            <w:vAlign w:val="bottom"/>
            <w:vMerge w:val="continue"/>
          </w:tcPr>
          <w:p>
            <w:pPr>
              <w:spacing w:after="0"/>
              <w:rPr>
                <w:sz w:val="8"/>
                <w:szCs w:val="8"/>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9.</w:t>
            </w:r>
          </w:p>
        </w:tc>
        <w:tc>
          <w:tcPr>
            <w:tcW w:w="8160" w:type="dxa"/>
            <w:vAlign w:val="bottom"/>
            <w:vMerge w:val="restart"/>
          </w:tcPr>
          <w:p>
            <w:pPr>
              <w:ind w:left="6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0</w:t>
            </w: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961" w:right="6140" w:firstLine="10"/>
        <w:spacing w:after="0" w:line="277" w:lineRule="auto"/>
        <w:tabs>
          <w:tab w:leader="none" w:pos="3276"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2,697,725</w:t>
      </w:r>
    </w:p>
    <w:p>
      <w:pPr>
        <w:spacing w:after="0" w:line="224" w:lineRule="exact"/>
        <w:rPr>
          <w:rFonts w:ascii="Arial" w:cs="Arial" w:eastAsia="Arial" w:hAnsi="Arial"/>
          <w:sz w:val="18"/>
          <w:szCs w:val="18"/>
          <w:color w:val="auto"/>
        </w:rPr>
      </w:pPr>
    </w:p>
    <w:p>
      <w:pPr>
        <w:ind w:left="1" w:right="6200" w:hanging="1"/>
        <w:spacing w:after="0" w:line="258"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2,697,725</w:t>
      </w:r>
    </w:p>
    <w:p>
      <w:pPr>
        <w:spacing w:after="0" w:line="1" w:lineRule="exact"/>
        <w:rPr>
          <w:rFonts w:ascii="Arial" w:cs="Arial" w:eastAsia="Arial" w:hAnsi="Arial"/>
          <w:sz w:val="18"/>
          <w:szCs w:val="18"/>
          <w:color w:val="auto"/>
        </w:rPr>
      </w:pPr>
    </w:p>
    <w:p>
      <w:pPr>
        <w:ind w:left="321" w:hanging="321"/>
        <w:spacing w:after="0"/>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ind w:left="321" w:hanging="321"/>
        <w:spacing w:after="0"/>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IA</w:t>
      </w:r>
    </w:p>
    <w:p>
      <w:pPr>
        <w:sectPr>
          <w:pgSz w:w="11900" w:h="16838" w:orient="portrait"/>
          <w:cols w:equalWidth="0" w:num="1">
            <w:col w:w="11301"/>
          </w:cols>
          <w:pgMar w:left="359" w:top="976" w:right="239" w:bottom="1440" w:gutter="0" w:footer="0" w:header="0"/>
        </w:sectPr>
      </w:pPr>
    </w:p>
    <w:bookmarkStart w:id="2" w:name="page3"/>
    <w:bookmarkEnd w:id="2"/>
    <w:p>
      <w:pPr>
        <w:ind w:left="41" w:right="8380" w:hanging="41"/>
        <w:spacing w:after="0" w:line="360" w:lineRule="auto"/>
        <w:tabs>
          <w:tab w:leader="none" w:pos="221"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Gardner Lewis Asset Management, Inc.</w:t>
      </w:r>
    </w:p>
    <w:p>
      <w:pPr>
        <w:spacing w:after="0" w:line="150" w:lineRule="exact"/>
        <w:rPr>
          <w:rFonts w:ascii="Arial" w:cs="Arial" w:eastAsia="Arial" w:hAnsi="Arial"/>
          <w:sz w:val="16"/>
          <w:szCs w:val="16"/>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51"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 w:lineRule="exact"/>
        <w:rPr>
          <w:rFonts w:ascii="Arial" w:cs="Arial" w:eastAsia="Arial" w:hAnsi="Arial"/>
          <w:sz w:val="18"/>
          <w:szCs w:val="18"/>
          <w:color w:val="auto"/>
        </w:rPr>
      </w:pPr>
    </w:p>
    <w:p>
      <w:pPr>
        <w:ind w:left="221"/>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221" w:hanging="221"/>
        <w:spacing w:after="0"/>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-1863090</wp:posOffset>
            </wp:positionV>
            <wp:extent cx="7246620" cy="509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09397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141"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7.</w:t>
            </w:r>
          </w:p>
        </w:tc>
        <w:tc>
          <w:tcPr>
            <w:tcW w:w="81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7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8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7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280" w:type="dxa"/>
            <w:vAlign w:val="bottom"/>
          </w:tcPr>
          <w:p>
            <w:pPr>
              <w:ind w:left="100"/>
              <w:spacing w:after="0" w:line="156" w:lineRule="exact"/>
              <w:rPr>
                <w:sz w:val="20"/>
                <w:szCs w:val="20"/>
                <w:color w:val="auto"/>
              </w:rPr>
            </w:pPr>
            <w:r>
              <w:rPr>
                <w:rFonts w:ascii="Arial" w:cs="Arial" w:eastAsia="Arial" w:hAnsi="Arial"/>
                <w:sz w:val="18"/>
                <w:szCs w:val="18"/>
                <w:color w:val="auto"/>
              </w:rPr>
              <w:t>8.</w:t>
            </w:r>
          </w:p>
        </w:tc>
        <w:tc>
          <w:tcPr>
            <w:tcW w:w="816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Owned by</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2,697,725</w:t>
            </w:r>
          </w:p>
        </w:tc>
        <w:tc>
          <w:tcPr>
            <w:tcW w:w="0" w:type="dxa"/>
            <w:vAlign w:val="bottom"/>
          </w:tcPr>
          <w:p>
            <w:pPr>
              <w:spacing w:after="0"/>
              <w:rPr>
                <w:sz w:val="1"/>
                <w:szCs w:val="1"/>
                <w:color w:val="auto"/>
              </w:rPr>
            </w:pPr>
          </w:p>
        </w:tc>
      </w:tr>
      <w:tr>
        <w:trPr>
          <w:trHeight w:val="54"/>
        </w:trPr>
        <w:tc>
          <w:tcPr>
            <w:tcW w:w="2720" w:type="dxa"/>
            <w:vAlign w:val="bottom"/>
            <w:vMerge w:val="restart"/>
          </w:tcPr>
          <w:p>
            <w:pPr>
              <w:spacing w:after="0" w:line="201" w:lineRule="exact"/>
              <w:rPr>
                <w:sz w:val="20"/>
                <w:szCs w:val="20"/>
                <w:color w:val="auto"/>
              </w:rPr>
            </w:pPr>
            <w:r>
              <w:rPr>
                <w:rFonts w:ascii="Arial" w:cs="Arial" w:eastAsia="Arial" w:hAnsi="Arial"/>
                <w:sz w:val="18"/>
                <w:szCs w:val="18"/>
                <w:color w:val="auto"/>
              </w:rPr>
              <w:t>Each Reporting</w:t>
            </w:r>
          </w:p>
        </w:tc>
        <w:tc>
          <w:tcPr>
            <w:tcW w:w="28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280" w:type="dxa"/>
            <w:vAlign w:val="bottom"/>
            <w:tcBorders>
              <w:bottom w:val="single" w:sz="8" w:color="auto"/>
            </w:tcBorders>
          </w:tcPr>
          <w:p>
            <w:pPr>
              <w:spacing w:after="0"/>
              <w:rPr>
                <w:sz w:val="9"/>
                <w:szCs w:val="9"/>
                <w:color w:val="auto"/>
              </w:rPr>
            </w:pPr>
          </w:p>
        </w:tc>
        <w:tc>
          <w:tcPr>
            <w:tcW w:w="8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720" w:type="dxa"/>
            <w:vAlign w:val="bottom"/>
            <w:vMerge w:val="continue"/>
          </w:tcPr>
          <w:p>
            <w:pPr>
              <w:spacing w:after="0"/>
              <w:rPr>
                <w:sz w:val="8"/>
                <w:szCs w:val="8"/>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9.</w:t>
            </w:r>
          </w:p>
        </w:tc>
        <w:tc>
          <w:tcPr>
            <w:tcW w:w="8160" w:type="dxa"/>
            <w:vAlign w:val="bottom"/>
            <w:vMerge w:val="restart"/>
          </w:tcPr>
          <w:p>
            <w:pPr>
              <w:ind w:left="6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0</w:t>
            </w:r>
          </w:p>
        </w:tc>
        <w:tc>
          <w:tcPr>
            <w:tcW w:w="8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961" w:right="6140" w:firstLine="10"/>
        <w:spacing w:after="0" w:line="277" w:lineRule="auto"/>
        <w:tabs>
          <w:tab w:leader="none" w:pos="3276"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2,697,725</w:t>
      </w:r>
    </w:p>
    <w:p>
      <w:pPr>
        <w:spacing w:after="0" w:line="224" w:lineRule="exact"/>
        <w:rPr>
          <w:rFonts w:ascii="Arial" w:cs="Arial" w:eastAsia="Arial" w:hAnsi="Arial"/>
          <w:sz w:val="18"/>
          <w:szCs w:val="18"/>
          <w:color w:val="auto"/>
        </w:rPr>
      </w:pPr>
    </w:p>
    <w:p>
      <w:pPr>
        <w:ind w:left="1" w:right="6200" w:hanging="1"/>
        <w:spacing w:after="0" w:line="258"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2,697,725</w:t>
      </w:r>
    </w:p>
    <w:p>
      <w:pPr>
        <w:spacing w:after="0" w:line="1" w:lineRule="exact"/>
        <w:rPr>
          <w:rFonts w:ascii="Arial" w:cs="Arial" w:eastAsia="Arial" w:hAnsi="Arial"/>
          <w:sz w:val="18"/>
          <w:szCs w:val="18"/>
          <w:color w:val="auto"/>
        </w:rPr>
      </w:pPr>
    </w:p>
    <w:p>
      <w:pPr>
        <w:ind w:left="321" w:hanging="321"/>
        <w:spacing w:after="0"/>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321" w:hanging="321"/>
        <w:spacing w:after="0"/>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ind w:left="321" w:hanging="321"/>
        <w:spacing w:after="0"/>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1301"/>
          </w:cols>
          <w:pgMar w:left="359" w:top="9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13D (this “Schedule 13D”) relates to the common stock, $0.0001 par value (the “Common Stock”), of RPX Corporation (the “Issuer”). The Issuer’s principal executive offices are located at One Market Plaza, Steuart Tower, Suite 800, San Francisco, CA 94105.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firstLine="728"/>
        <w:spacing w:after="0" w:line="264" w:lineRule="auto"/>
        <w:tabs>
          <w:tab w:leader="none" w:pos="11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13D is filed jointly on behalf of Gardner Lewis Asset Management, L.P., a Pennsylvania limited partnership (“GLAM”), and Gardner Lewis Asset Management, Inc., a Delaware corporation and the sole general partner of GLAM (“GLAM GP”). W. Whitfield Gardner (“Mr. Gardner”) is the sole stockholder of GLAM GP. See Note 1 in Item 5.</w:t>
      </w:r>
    </w:p>
    <w:p>
      <w:pPr>
        <w:spacing w:after="0" w:line="181" w:lineRule="exact"/>
        <w:rPr>
          <w:rFonts w:ascii="Arial" w:cs="Arial" w:eastAsia="Arial" w:hAnsi="Arial"/>
          <w:sz w:val="18"/>
          <w:szCs w:val="18"/>
          <w:color w:val="auto"/>
        </w:rPr>
      </w:pPr>
    </w:p>
    <w:p>
      <w:pPr>
        <w:jc w:val="both"/>
        <w:ind w:firstLine="728"/>
        <w:spacing w:after="0" w:line="264"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of organization or citizenship of each person listed in this Item 2 is as follows: GLAM (Pennsylvania), GLAM GP (Delaware), and Mr. Gardner (Pennsylvania). The address of the principal office or business address, as applicable, of each person listed above is 285 Wilmington West Chester Pike, Chadds Ford, PA 19317.</w:t>
      </w:r>
    </w:p>
    <w:p>
      <w:pPr>
        <w:spacing w:after="0" w:line="181" w:lineRule="exact"/>
        <w:rPr>
          <w:rFonts w:ascii="Arial" w:cs="Arial" w:eastAsia="Arial" w:hAnsi="Arial"/>
          <w:sz w:val="18"/>
          <w:szCs w:val="18"/>
          <w:color w:val="auto"/>
        </w:rPr>
      </w:pPr>
    </w:p>
    <w:p>
      <w:pPr>
        <w:jc w:val="both"/>
        <w:ind w:firstLine="728"/>
        <w:spacing w:after="0" w:line="264" w:lineRule="auto"/>
        <w:tabs>
          <w:tab w:leader="none" w:pos="9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GLAM’s principal business is acting as an investment adviser to private funds and managed accounts. GLAM is a registered investment adviser with the Securities and Exchange Commission. GLAM GP’s principal business is to act as the sole general partner of GLAM. Mr. Gardner’s principal business is Chairman and CEO of GLAM.</w:t>
      </w:r>
    </w:p>
    <w:p>
      <w:pPr>
        <w:spacing w:after="0" w:line="181" w:lineRule="exact"/>
        <w:rPr>
          <w:rFonts w:ascii="Arial" w:cs="Arial" w:eastAsia="Arial" w:hAnsi="Arial"/>
          <w:sz w:val="18"/>
          <w:szCs w:val="18"/>
          <w:color w:val="auto"/>
        </w:rPr>
      </w:pPr>
    </w:p>
    <w:p>
      <w:pPr>
        <w:ind w:left="980" w:hanging="252"/>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person listed in this Item 2 has been convicted in a criminal proceeding (excluding traffic violations or similar misdemeanors) during the last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five years.</w:t>
      </w:r>
    </w:p>
    <w:p>
      <w:pPr>
        <w:spacing w:after="0" w:line="210" w:lineRule="exact"/>
        <w:rPr>
          <w:rFonts w:ascii="Arial" w:cs="Arial" w:eastAsia="Arial" w:hAnsi="Arial"/>
          <w:sz w:val="16"/>
          <w:szCs w:val="16"/>
          <w:color w:val="auto"/>
        </w:rPr>
      </w:pPr>
    </w:p>
    <w:p>
      <w:pPr>
        <w:jc w:val="both"/>
        <w:ind w:firstLine="728"/>
        <w:spacing w:after="0" w:line="264" w:lineRule="auto"/>
        <w:tabs>
          <w:tab w:leader="none" w:pos="9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 listed in this Item 2 was or is subject to a judgment, decree or final order enjoining future violations of, or prohibiting or mandating activities subject to, federal or state securities laws (or finding any violation with respect to such laws) as a result of a civil proceeding of a judicial or administrative body of competent jurisdiction to which such reporting person was a party during the last five years.</w:t>
      </w:r>
    </w:p>
    <w:p>
      <w:pPr>
        <w:spacing w:after="0" w:line="174" w:lineRule="exact"/>
        <w:rPr>
          <w:sz w:val="20"/>
          <w:szCs w:val="20"/>
          <w:color w:val="auto"/>
        </w:rPr>
      </w:pPr>
    </w:p>
    <w:p>
      <w:pPr>
        <w:ind w:left="840"/>
        <w:spacing w:after="0"/>
        <w:tabs>
          <w:tab w:leader="none" w:pos="116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Each person listed in this Item 2 is a citizen of the United States of America</w:t>
      </w:r>
      <w:r>
        <w:rPr>
          <w:rFonts w:ascii="Arial" w:cs="Arial" w:eastAsia="Arial" w:hAnsi="Arial"/>
          <w:sz w:val="19"/>
          <w:szCs w:val="19"/>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funds used in purchasing Shares on behalf of clients of GLAM come from private funds and various client accounts advised by GLAM, including the Fund. See Note 1 in Item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GLAM transactions are for private funds and client accounts advised by GLAM in the normal course of business, including the Fund. GLAM reserves the right, from time to time, to acquire additional Shares for, and/or dispose of Shares held in, the private funds and client accounts advised by GLAM. None of the persons listed in Item 2 has any other plans or proposals related to the securities of the Issuer.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firstLine="656"/>
        <w:spacing w:after="0" w:line="264" w:lineRule="auto"/>
        <w:tabs>
          <w:tab w:leader="none" w:pos="1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GLAM and GLAM GP share voting and dispositive power over 2,697,625 shares of Common Stock, representing 5.4% of the Common Stock, which is based on 49,933,908 shares of Common Stock issued and outstanding as of April 27, 2018 as reported on the Issuer’s Form 10-Q filed on May 8, 2018. See Note 1 in this Item 5.</w:t>
      </w:r>
    </w:p>
    <w:p>
      <w:pPr>
        <w:spacing w:after="0" w:line="181" w:lineRule="exact"/>
        <w:rPr>
          <w:rFonts w:ascii="Arial" w:cs="Arial" w:eastAsia="Arial" w:hAnsi="Arial"/>
          <w:sz w:val="18"/>
          <w:szCs w:val="18"/>
          <w:color w:val="auto"/>
        </w:rPr>
      </w:pPr>
    </w:p>
    <w:p>
      <w:pPr>
        <w:ind w:right="20" w:firstLine="656"/>
        <w:spacing w:after="0" w:line="277" w:lineRule="auto"/>
        <w:tabs>
          <w:tab w:leader="none" w:pos="1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power to dispose of and vote the shares of Common Stock referenced in paragraph (a) of this Item 5 is shared among GLAM and GLAM GP. See Note 1 in this Item 5.</w:t>
      </w:r>
    </w:p>
    <w:p>
      <w:pPr>
        <w:spacing w:after="0" w:line="170" w:lineRule="exact"/>
        <w:rPr>
          <w:rFonts w:ascii="Arial" w:cs="Arial" w:eastAsia="Arial" w:hAnsi="Arial"/>
          <w:sz w:val="18"/>
          <w:szCs w:val="18"/>
          <w:color w:val="auto"/>
        </w:rPr>
      </w:pPr>
    </w:p>
    <w:p>
      <w:pPr>
        <w:ind w:right="100" w:firstLine="656"/>
        <w:spacing w:after="0" w:line="254" w:lineRule="auto"/>
        <w:tabs>
          <w:tab w:leader="none" w:pos="11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past 60 days, GLAM, on behalf of the private funds and client accounts it advises effected the transactions in the Issuer’s securities set forth on Exhibit B attached hereto</w:t>
      </w:r>
      <w:r>
        <w:rPr>
          <w:rFonts w:ascii="Arial" w:cs="Arial" w:eastAsia="Arial" w:hAnsi="Arial"/>
          <w:sz w:val="21"/>
          <w:szCs w:val="21"/>
          <w:color w:val="auto"/>
        </w:rPr>
        <w:t>.</w:t>
      </w:r>
    </w:p>
    <w:p>
      <w:pPr>
        <w:ind w:firstLine="656"/>
        <w:spacing w:after="0" w:line="259" w:lineRule="auto"/>
        <w:tabs>
          <w:tab w:leader="none" w:pos="10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dividends on, and proceeds from the sale of, any shares of Common Stock are for the account of the private funds and client accounts advised by GLAM that hold such shares.</w:t>
      </w:r>
    </w:p>
    <w:p>
      <w:pPr>
        <w:spacing w:after="0" w:line="185" w:lineRule="exact"/>
        <w:rPr>
          <w:rFonts w:ascii="Arial" w:cs="Arial" w:eastAsia="Arial" w:hAnsi="Arial"/>
          <w:sz w:val="18"/>
          <w:szCs w:val="18"/>
          <w:color w:val="auto"/>
        </w:rPr>
      </w:pPr>
    </w:p>
    <w:p>
      <w:pPr>
        <w:ind w:left="1180" w:hanging="524"/>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472"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Note 1: GLAM advises private funds and client accounts. In such capacity, GLAM has voting authority and dispositive discretion over the securities of the Issuer described in this Schedule 13D that are owned by the private funds and client accounts advised by GLAM. The pecuniary interest of all securities reported in this Schedule 13D is owned by the private funds and client accounts advised by GLAM. Except for the purpose of determining beneficial ownership under Section 13(d) of the Securities Exchange Act of 1934, as amended, GLAM, GLAM GP, and Mr. Gardner each disclaims beneficial ownership of all securities reported in this Schedule 13D.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 RELATIONSHIPS WITH RESPECT TO SECURITIES OF THE ISSUER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described in this Schedule 13D, none of the persons listed in Item 2 has any contracts, arrangements, understandings or other relationship with respect to the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Item 5(c) Table</w:t>
      </w:r>
    </w:p>
    <w:p>
      <w:pPr>
        <w:sectPr>
          <w:pgSz w:w="11900" w:h="16838" w:orient="portrait"/>
          <w:cols w:equalWidth="0" w:num="1">
            <w:col w:w="11420"/>
          </w:cols>
          <w:pgMar w:left="240" w:top="6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740" w:type="dxa"/>
            <w:vAlign w:val="bottom"/>
            <w:gridSpan w:val="3"/>
          </w:tcPr>
          <w:p>
            <w:pPr>
              <w:ind w:left="1180"/>
              <w:spacing w:after="0"/>
              <w:rPr>
                <w:sz w:val="20"/>
                <w:szCs w:val="20"/>
                <w:color w:val="auto"/>
              </w:rPr>
            </w:pPr>
            <w:r>
              <w:rPr>
                <w:rFonts w:ascii="Arial" w:cs="Arial" w:eastAsia="Arial" w:hAnsi="Arial"/>
                <w:sz w:val="18"/>
                <w:szCs w:val="18"/>
                <w:color w:val="auto"/>
              </w:rPr>
              <w:t>Gardner Lewis Asset Management, L.P.</w:t>
            </w:r>
          </w:p>
        </w:tc>
      </w:tr>
      <w:tr>
        <w:trPr>
          <w:trHeight w:val="230"/>
        </w:trPr>
        <w:tc>
          <w:tcPr>
            <w:tcW w:w="2720" w:type="dxa"/>
            <w:vAlign w:val="bottom"/>
          </w:tcPr>
          <w:p>
            <w:pPr>
              <w:spacing w:after="0"/>
              <w:rPr>
                <w:sz w:val="20"/>
                <w:szCs w:val="20"/>
                <w:color w:val="auto"/>
              </w:rPr>
            </w:pPr>
          </w:p>
        </w:tc>
        <w:tc>
          <w:tcPr>
            <w:tcW w:w="5740" w:type="dxa"/>
            <w:vAlign w:val="bottom"/>
            <w:gridSpan w:val="3"/>
          </w:tcPr>
          <w:p>
            <w:pPr>
              <w:ind w:left="1180"/>
              <w:spacing w:after="0"/>
              <w:rPr>
                <w:sz w:val="20"/>
                <w:szCs w:val="20"/>
                <w:color w:val="auto"/>
              </w:rPr>
            </w:pPr>
            <w:r>
              <w:rPr>
                <w:rFonts w:ascii="Arial" w:cs="Arial" w:eastAsia="Arial" w:hAnsi="Arial"/>
                <w:sz w:val="18"/>
                <w:szCs w:val="18"/>
                <w:color w:val="auto"/>
                <w:w w:val="90"/>
              </w:rPr>
              <w:t>By: Gardner Lewis Asset Management, Inc., its general partner</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3"/>
          </w:tcPr>
          <w:p>
            <w:pPr>
              <w:ind w:left="148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6"/>
              </w:rPr>
              <w:t>W. Whitfield Gardner</w:t>
            </w:r>
          </w:p>
        </w:tc>
        <w:tc>
          <w:tcPr>
            <w:tcW w:w="218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Chairman and CEO</w:t>
            </w:r>
          </w:p>
        </w:tc>
      </w:tr>
      <w:tr>
        <w:trPr>
          <w:trHeight w:val="432"/>
        </w:trPr>
        <w:tc>
          <w:tcPr>
            <w:tcW w:w="2720" w:type="dxa"/>
            <w:vAlign w:val="bottom"/>
          </w:tcPr>
          <w:p>
            <w:pPr>
              <w:spacing w:after="0"/>
              <w:rPr>
                <w:sz w:val="24"/>
                <w:szCs w:val="24"/>
                <w:color w:val="auto"/>
              </w:rPr>
            </w:pPr>
          </w:p>
        </w:tc>
        <w:tc>
          <w:tcPr>
            <w:tcW w:w="5740" w:type="dxa"/>
            <w:vAlign w:val="bottom"/>
            <w:gridSpan w:val="3"/>
          </w:tcPr>
          <w:p>
            <w:pPr>
              <w:ind w:left="1180"/>
              <w:spacing w:after="0"/>
              <w:rPr>
                <w:sz w:val="20"/>
                <w:szCs w:val="20"/>
                <w:color w:val="auto"/>
              </w:rPr>
            </w:pPr>
            <w:r>
              <w:rPr>
                <w:rFonts w:ascii="Arial" w:cs="Arial" w:eastAsia="Arial" w:hAnsi="Arial"/>
                <w:sz w:val="18"/>
                <w:szCs w:val="18"/>
                <w:color w:val="auto"/>
              </w:rPr>
              <w:t>Gardner Lewis Asset Management, Inc.</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3"/>
          </w:tcPr>
          <w:p>
            <w:pPr>
              <w:ind w:left="148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4"/>
              </w:rPr>
              <w:t>W. Whitfield Gardner</w:t>
            </w:r>
          </w:p>
        </w:tc>
        <w:tc>
          <w:tcPr>
            <w:tcW w:w="218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Chairman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ectPr>
          <w:pgSz w:w="11900" w:h="16838" w:orient="portrait"/>
          <w:cols w:equalWidth="0" w:num="1">
            <w:col w:w="11420"/>
          </w:cols>
          <w:pgMar w:left="240" w:top="47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In accordance with Rule 13d-1(k)(1) under the Securities exchange Act of 1934, as amended, the undersigned hereby agree to the joint filing with all other reporting persons in the Schedule 13D referred to below on behalf of each of them of a statement on Schedule 13D (including amendments thereto) with respect to the Common Stock, par value $0.0001 per share, of RPX Corporation and that this Agreement be included as an Exhibit to such joint filing. This Agreement may be executed in any number of counterparts all of which taken together shall constitute one and the same instrument.</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hereby execute the Agreement this 26th day of June,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rPr>
              <w:t>Gardner Lewis Asset Management, L.P.</w:t>
            </w:r>
          </w:p>
        </w:tc>
      </w:tr>
      <w:tr>
        <w:trPr>
          <w:trHeight w:val="230"/>
        </w:trPr>
        <w:tc>
          <w:tcPr>
            <w:tcW w:w="2720" w:type="dxa"/>
            <w:vAlign w:val="bottom"/>
          </w:tcPr>
          <w:p>
            <w:pPr>
              <w:spacing w:after="0"/>
              <w:rPr>
                <w:sz w:val="20"/>
                <w:szCs w:val="20"/>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w w:val="90"/>
              </w:rPr>
              <w:t>By: Gardner Lewis Asset Management, Inc., its general partner</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5"/>
          </w:tcPr>
          <w:p>
            <w:pPr>
              <w:ind w:left="156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W. Whitfield Gardner</w:t>
            </w:r>
          </w:p>
        </w:tc>
        <w:tc>
          <w:tcPr>
            <w:tcW w:w="208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Chairman and CEO</w:t>
            </w:r>
          </w:p>
        </w:tc>
      </w:tr>
      <w:tr>
        <w:trPr>
          <w:trHeight w:val="432"/>
        </w:trPr>
        <w:tc>
          <w:tcPr>
            <w:tcW w:w="2720" w:type="dxa"/>
            <w:vAlign w:val="bottom"/>
          </w:tcPr>
          <w:p>
            <w:pPr>
              <w:spacing w:after="0"/>
              <w:rPr>
                <w:sz w:val="24"/>
                <w:szCs w:val="24"/>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rPr>
              <w:t>Gardner Lewis Asset Management, Inc.</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rPr>
              <w:t>Dated: June 26, 2018</w:t>
            </w:r>
          </w:p>
        </w:tc>
        <w:tc>
          <w:tcPr>
            <w:tcW w:w="5740" w:type="dxa"/>
            <w:vAlign w:val="bottom"/>
            <w:gridSpan w:val="5"/>
          </w:tcPr>
          <w:p>
            <w:pPr>
              <w:ind w:left="1520"/>
              <w:spacing w:after="0"/>
              <w:rPr>
                <w:sz w:val="20"/>
                <w:szCs w:val="20"/>
                <w:color w:val="auto"/>
              </w:rPr>
            </w:pPr>
            <w:r>
              <w:rPr>
                <w:rFonts w:ascii="Arial" w:cs="Arial" w:eastAsia="Arial" w:hAnsi="Arial"/>
                <w:sz w:val="18"/>
                <w:szCs w:val="18"/>
                <w:color w:val="auto"/>
              </w:rPr>
              <w:t>By: /s/ W. Whitfield Gardner</w:t>
            </w:r>
          </w:p>
        </w:tc>
      </w:tr>
      <w:tr>
        <w:trPr>
          <w:trHeight w:val="222"/>
        </w:trPr>
        <w:tc>
          <w:tcPr>
            <w:tcW w:w="2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 Whitfield Gardner</w:t>
            </w:r>
          </w:p>
        </w:tc>
        <w:tc>
          <w:tcPr>
            <w:tcW w:w="2140" w:type="dxa"/>
            <w:vAlign w:val="bottom"/>
            <w:gridSpan w:val="2"/>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47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5(c) Table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right w:val="single" w:sz="8" w:color="auto"/>
            </w:tcBorders>
            <w:gridSpan w:val="3"/>
          </w:tcPr>
          <w:p>
            <w:pPr>
              <w:ind w:left="1020"/>
              <w:spacing w:after="0" w:line="189" w:lineRule="exact"/>
              <w:rPr>
                <w:sz w:val="20"/>
                <w:szCs w:val="20"/>
                <w:color w:val="auto"/>
              </w:rPr>
            </w:pPr>
            <w:r>
              <w:rPr>
                <w:rFonts w:ascii="Arial" w:cs="Arial" w:eastAsia="Arial" w:hAnsi="Arial"/>
                <w:sz w:val="18"/>
                <w:szCs w:val="18"/>
                <w:b w:val="1"/>
                <w:bCs w:val="1"/>
                <w:color w:val="auto"/>
              </w:rPr>
              <w:t>Date of Purchase / Sale</w:t>
            </w:r>
          </w:p>
        </w:tc>
        <w:tc>
          <w:tcPr>
            <w:tcW w:w="3880" w:type="dxa"/>
            <w:vAlign w:val="bottom"/>
            <w:tcBorders>
              <w:top w:val="single" w:sz="8" w:color="auto"/>
              <w:right w:val="single" w:sz="8" w:color="auto"/>
            </w:tcBorders>
            <w:gridSpan w:val="3"/>
          </w:tcPr>
          <w:p>
            <w:pPr>
              <w:ind w:left="840"/>
              <w:spacing w:after="0" w:line="189" w:lineRule="exact"/>
              <w:rPr>
                <w:sz w:val="20"/>
                <w:szCs w:val="20"/>
                <w:color w:val="auto"/>
              </w:rPr>
            </w:pPr>
            <w:r>
              <w:rPr>
                <w:rFonts w:ascii="Arial" w:cs="Arial" w:eastAsia="Arial" w:hAnsi="Arial"/>
                <w:sz w:val="18"/>
                <w:szCs w:val="18"/>
                <w:b w:val="1"/>
                <w:bCs w:val="1"/>
                <w:color w:val="auto"/>
              </w:rPr>
              <w:t>Shares Purchased / (Sold)(#)</w:t>
            </w:r>
          </w:p>
        </w:tc>
        <w:tc>
          <w:tcPr>
            <w:tcW w:w="940" w:type="dxa"/>
            <w:vAlign w:val="bottom"/>
            <w:tcBorders>
              <w:top w:val="single" w:sz="8" w:color="auto"/>
            </w:tcBorders>
          </w:tcPr>
          <w:p>
            <w:pPr>
              <w:spacing w:after="0"/>
              <w:rPr>
                <w:sz w:val="16"/>
                <w:szCs w:val="16"/>
                <w:color w:val="auto"/>
              </w:rPr>
            </w:pPr>
          </w:p>
        </w:tc>
        <w:tc>
          <w:tcPr>
            <w:tcW w:w="2800" w:type="dxa"/>
            <w:vAlign w:val="bottom"/>
            <w:tcBorders>
              <w:top w:val="single" w:sz="8" w:color="auto"/>
              <w:right w:val="single" w:sz="8" w:color="auto"/>
            </w:tcBorders>
            <w:gridSpan w:val="2"/>
          </w:tcPr>
          <w:p>
            <w:pPr>
              <w:jc w:val="center"/>
              <w:ind w:right="960"/>
              <w:spacing w:after="0" w:line="189" w:lineRule="exact"/>
              <w:rPr>
                <w:sz w:val="20"/>
                <w:szCs w:val="20"/>
                <w:color w:val="auto"/>
              </w:rPr>
            </w:pPr>
            <w:r>
              <w:rPr>
                <w:rFonts w:ascii="Arial" w:cs="Arial" w:eastAsia="Arial" w:hAnsi="Arial"/>
                <w:sz w:val="18"/>
                <w:szCs w:val="18"/>
                <w:b w:val="1"/>
                <w:bCs w:val="1"/>
                <w:color w:val="auto"/>
                <w:w w:val="88"/>
              </w:rPr>
              <w:t>Average Purchase /</w:t>
            </w:r>
          </w:p>
        </w:tc>
      </w:tr>
      <w:tr>
        <w:trPr>
          <w:trHeight w:val="196"/>
        </w:trPr>
        <w:tc>
          <w:tcPr>
            <w:tcW w:w="1020" w:type="dxa"/>
            <w:vAlign w:val="bottom"/>
            <w:tcBorders>
              <w:left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800" w:type="dxa"/>
            <w:vAlign w:val="bottom"/>
            <w:tcBorders>
              <w:right w:val="single" w:sz="8" w:color="auto"/>
            </w:tcBorders>
            <w:gridSpan w:val="2"/>
          </w:tcPr>
          <w:p>
            <w:pPr>
              <w:jc w:val="center"/>
              <w:ind w:right="980"/>
              <w:spacing w:after="0" w:line="196" w:lineRule="exact"/>
              <w:rPr>
                <w:sz w:val="20"/>
                <w:szCs w:val="20"/>
                <w:color w:val="auto"/>
              </w:rPr>
            </w:pPr>
            <w:r>
              <w:rPr>
                <w:rFonts w:ascii="Arial" w:cs="Arial" w:eastAsia="Arial" w:hAnsi="Arial"/>
                <w:sz w:val="18"/>
                <w:szCs w:val="18"/>
                <w:b w:val="1"/>
                <w:bCs w:val="1"/>
                <w:color w:val="auto"/>
                <w:w w:val="90"/>
              </w:rPr>
              <w:t xml:space="preserve">Sale Price per Share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r>
      <w:tr>
        <w:trPr>
          <w:trHeight w:val="21"/>
        </w:trPr>
        <w:tc>
          <w:tcPr>
            <w:tcW w:w="1020" w:type="dxa"/>
            <w:vAlign w:val="bottom"/>
            <w:tcBorders>
              <w:left w:val="single" w:sz="8" w:color="auto"/>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5/14/18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126,390</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10.42</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5/16/18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3"/>
              </w:rPr>
              <w:t>700</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10.42</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5/17/18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88"/>
              </w:rPr>
              <w:t>2,324</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10.42</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5/25/18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267,948</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10.44</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5/29/18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87"/>
              </w:rPr>
              <w:t>54,937</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10.44</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10"/>
              <w:spacing w:after="0"/>
              <w:rPr>
                <w:sz w:val="20"/>
                <w:szCs w:val="20"/>
                <w:color w:val="auto"/>
              </w:rPr>
            </w:pPr>
            <w:r>
              <w:rPr>
                <w:rFonts w:ascii="Arial" w:cs="Arial" w:eastAsia="Arial" w:hAnsi="Arial"/>
                <w:sz w:val="18"/>
                <w:szCs w:val="18"/>
                <w:color w:val="auto"/>
                <w:w w:val="91"/>
              </w:rPr>
              <w:t>6/1/18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88"/>
              </w:rPr>
              <w:t>5,768</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10.45</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10"/>
              <w:spacing w:after="0"/>
              <w:rPr>
                <w:sz w:val="20"/>
                <w:szCs w:val="20"/>
                <w:color w:val="auto"/>
              </w:rPr>
            </w:pPr>
            <w:r>
              <w:rPr>
                <w:rFonts w:ascii="Arial" w:cs="Arial" w:eastAsia="Arial" w:hAnsi="Arial"/>
                <w:sz w:val="18"/>
                <w:szCs w:val="18"/>
                <w:color w:val="auto"/>
                <w:w w:val="91"/>
              </w:rPr>
              <w:t>6/4/18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228,657</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10.46</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10"/>
              <w:spacing w:after="0"/>
              <w:rPr>
                <w:sz w:val="20"/>
                <w:szCs w:val="20"/>
                <w:color w:val="auto"/>
              </w:rPr>
            </w:pPr>
            <w:r>
              <w:rPr>
                <w:rFonts w:ascii="Arial" w:cs="Arial" w:eastAsia="Arial" w:hAnsi="Arial"/>
                <w:sz w:val="18"/>
                <w:szCs w:val="18"/>
                <w:color w:val="auto"/>
                <w:w w:val="91"/>
              </w:rPr>
              <w:t>6/7/18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87"/>
              </w:rPr>
              <w:t>80,070</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10.48</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10"/>
              <w:spacing w:after="0"/>
              <w:rPr>
                <w:sz w:val="20"/>
                <w:szCs w:val="20"/>
                <w:color w:val="auto"/>
              </w:rPr>
            </w:pPr>
            <w:r>
              <w:rPr>
                <w:rFonts w:ascii="Arial" w:cs="Arial" w:eastAsia="Arial" w:hAnsi="Arial"/>
                <w:sz w:val="18"/>
                <w:szCs w:val="18"/>
                <w:color w:val="auto"/>
                <w:w w:val="91"/>
              </w:rPr>
              <w:t>6/8/18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260,940</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10.48</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6/11/18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418,263</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10.48</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6/12/18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481,552</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10.48</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6/13/18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87"/>
              </w:rPr>
              <w:t>70,667</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10.48</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6/14/18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199,409</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10.48</w:t>
            </w:r>
          </w:p>
        </w:tc>
        <w:tc>
          <w:tcPr>
            <w:tcW w:w="9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3"/>
              </w:rPr>
              <w:t>6/15/18</w:t>
            </w:r>
          </w:p>
        </w:tc>
        <w:tc>
          <w:tcPr>
            <w:tcW w:w="1020" w:type="dxa"/>
            <w:vAlign w:val="bottom"/>
            <w:tcBorders>
              <w:bottom w:val="single" w:sz="8" w:color="auto"/>
              <w:right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2"/>
              </w:rPr>
              <w:t>500,000</w:t>
            </w:r>
          </w:p>
        </w:tc>
        <w:tc>
          <w:tcPr>
            <w:tcW w:w="8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10.49</w:t>
            </w:r>
          </w:p>
        </w:tc>
        <w:tc>
          <w:tcPr>
            <w:tcW w:w="980" w:type="dxa"/>
            <w:vAlign w:val="bottom"/>
            <w:tcBorders>
              <w:bottom w:val="single" w:sz="8" w:color="auto"/>
              <w:right w:val="single" w:sz="8" w:color="auto"/>
            </w:tcBorders>
          </w:tcPr>
          <w:p>
            <w:pPr>
              <w:spacing w:after="0"/>
              <w:rPr>
                <w:sz w:val="18"/>
                <w:szCs w:val="18"/>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37"/>
        </w:trPr>
        <w:tc>
          <w:tcPr>
            <w:tcW w:w="1020" w:type="dxa"/>
            <w:vAlign w:val="bottom"/>
            <w:tcBorders>
              <w:left w:val="single" w:sz="8" w:color="auto"/>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decimal"/>
      <w:start w:val="10"/>
    </w:lvl>
  </w:abstractNum>
  <w:abstractNum w:abstractNumId="3">
    <w:nsid w:val="79E2A9E3"/>
    <w:multiLevelType w:val="hybridMultilevel"/>
    <w:lvl w:ilvl="0">
      <w:lvlJc w:val="left"/>
      <w:lvlText w:val="%1."/>
      <w:numFmt w:val="decimal"/>
      <w:start w:val="11"/>
    </w:lvl>
    <w:lvl w:ilvl="1">
      <w:lvlJc w:val="left"/>
      <w:lvlText w:val="%2"/>
      <w:numFmt w:val="decimal"/>
      <w:start w:val="1"/>
    </w:lvl>
  </w:abstractNum>
  <w:abstractNum w:abstractNumId="4">
    <w:nsid w:val="7545E146"/>
    <w:multiLevelType w:val="hybridMultilevel"/>
    <w:lvl w:ilvl="0">
      <w:lvlJc w:val="left"/>
      <w:lvlText w:val="%1."/>
      <w:numFmt w:val="decimal"/>
      <w:start w:val="14"/>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lvl w:ilvl="1">
      <w:lvlJc w:val="left"/>
      <w:lvlText w:val="%2."/>
      <w:numFmt w:val="decimal"/>
      <w:start w:val="10"/>
    </w:lvl>
  </w:abstractNum>
  <w:abstractNum w:abstractNumId="7">
    <w:nsid w:val="12200854"/>
    <w:multiLevelType w:val="hybridMultilevel"/>
    <w:lvl w:ilvl="0">
      <w:lvlJc w:val="left"/>
      <w:lvlText w:val="%1."/>
      <w:numFmt w:val="decimal"/>
      <w:start w:val="11"/>
    </w:lvl>
    <w:lvl w:ilvl="1">
      <w:lvlJc w:val="left"/>
      <w:lvlText w:val="%2"/>
      <w:numFmt w:val="decimal"/>
      <w:start w:val="1"/>
    </w:lvl>
  </w:abstractNum>
  <w:abstractNum w:abstractNumId="8">
    <w:nsid w:val="4DB127F8"/>
    <w:multiLevelType w:val="hybridMultilevel"/>
    <w:lvl w:ilvl="0">
      <w:lvlJc w:val="left"/>
      <w:lvlText w:val="%1."/>
      <w:numFmt w:val="decimal"/>
      <w:start w:val="1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2019-12-07T21:27:47Z</dcterms:created>
  <dcterms:modified xsi:type="dcterms:W3CDTF">2019-12-07T21:27:47Z</dcterms:modified>
</cp:coreProperties>
</file>